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center"/>
        <w:textAlignment w:val="auto"/>
        <w:rPr>
          <w:rFonts w:hint="default" w:ascii="Times New Roman" w:hAnsi="Times New Roman" w:eastAsia="方正小标宋_GBK" w:cs="Times New Roman"/>
          <w:b w:val="0"/>
          <w:bCs w:val="0"/>
          <w:sz w:val="40"/>
          <w:szCs w:val="40"/>
          <w:lang w:val="en-US" w:eastAsia="zh-CN"/>
        </w:rPr>
      </w:pPr>
      <w:r>
        <w:rPr>
          <w:rFonts w:hint="default" w:ascii="Times New Roman" w:hAnsi="Times New Roman" w:eastAsia="方正小标宋_GBK" w:cs="Times New Roman"/>
          <w:b w:val="0"/>
          <w:bCs w:val="0"/>
          <w:sz w:val="40"/>
          <w:szCs w:val="40"/>
          <w:lang w:eastAsia="zh-CN"/>
        </w:rPr>
        <w:t>麦盖提县</w:t>
      </w:r>
      <w:r>
        <w:rPr>
          <w:rFonts w:hint="default" w:ascii="Times New Roman" w:hAnsi="Times New Roman" w:eastAsia="方正小标宋_GBK" w:cs="Times New Roman"/>
          <w:b w:val="0"/>
          <w:bCs w:val="0"/>
          <w:sz w:val="40"/>
          <w:szCs w:val="40"/>
          <w:lang w:val="en-US" w:eastAsia="zh-CN"/>
        </w:rPr>
        <w:t>11个乡（镇、场）国土空间规划</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center"/>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小标宋_GBK" w:cs="Times New Roman"/>
          <w:b w:val="0"/>
          <w:bCs w:val="0"/>
          <w:sz w:val="40"/>
          <w:szCs w:val="40"/>
          <w:lang w:val="en-US" w:eastAsia="zh-CN"/>
        </w:rPr>
        <w:t>决策依据</w:t>
      </w:r>
    </w:p>
    <w:p>
      <w:pPr>
        <w:keepNext w:val="0"/>
        <w:keepLines w:val="0"/>
        <w:pageBreakBefore w:val="0"/>
        <w:widowControl w:val="0"/>
        <w:numPr>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方正仿宋_GBK" w:cs="Times New Roman"/>
          <w:b/>
          <w:bCs/>
          <w:sz w:val="32"/>
          <w:szCs w:val="32"/>
        </w:rPr>
      </w:pP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bookmarkStart w:id="0" w:name="_Hlk153876161"/>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法律法规</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中华人民共和国土地管理法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（2019年修正）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中华人民共和国城乡规划法》（2019年修正）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中华人民共和国文物保护法》（2017年修正）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中华人民共和国环境保护法》（2014年修订）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中华人民共和国森林法》（2019年修订）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中华人民共和国湿地保护法》（2021年修订）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基本农田保护条例》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新疆维吾尔自治区实施&lt;中华人民共和国城乡规划法&gt;办法》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新疆维吾尔自治区实施&lt;中华人民共和国土地管理法&gt;办法》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其他相关法律法规及地方法规。</w:t>
      </w:r>
    </w:p>
    <w:p>
      <w:pPr>
        <w:keepNext w:val="0"/>
        <w:keepLines w:val="0"/>
        <w:pageBreakBefore w:val="0"/>
        <w:widowControl w:val="0"/>
        <w:numPr>
          <w:ilvl w:val="-1"/>
          <w:numId w:val="0"/>
        </w:numPr>
        <w:tabs>
          <w:tab w:val="left" w:pos="546"/>
        </w:tabs>
        <w:kinsoku/>
        <w:wordWrap/>
        <w:overflowPunct/>
        <w:topLinePunct w:val="0"/>
        <w:autoSpaceDE/>
        <w:autoSpaceDN/>
        <w:bidi w:val="0"/>
        <w:adjustRightInd/>
        <w:snapToGrid/>
        <w:spacing w:after="0" w:line="57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政策文件</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中共中央 国务院关于建立国土空间规划体系并监督实施的若干意见》（中发〔2019〕18号）；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中共中央办公厅 国务院办公厅关于在国土空间规划中统筹划定落实三条控制线的指导意见》（厅字〔2019〕48号）；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中央农办 农业农村部 自然资源部 国家发展改革委 财政部关于统筹推进村庄规划工作的意见》（农规发〔2019〕1号）；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自然资源部 农业农村部关于加强和改进永久基本农田保护工作的通知》（自然资规〔2019〕1号）；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自然资源部办公厅关于加强村庄规划促进乡村振兴的通知》（自然资办发〔2019〕35号）；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自然资源部关于全面开展国土空间规划工作的通知》（自然资发〔2019〕87号）；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自然资源部办公厅关于加强国土空间规划监督管理的通知》（自然资办发〔2020〕27号）；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自治区党委 自治区人民政府关于建立国土空间规划体系并监督实施的意见》（新党发〔2020〕18号）；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关于在自治区国土空间规划中统筹划定落实三条控制线的实施意见》（新党厅字〔2020〕56号）；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自然资源部 农业农村部 国家林业和草原局关于严格耕地用途管制关问题的通知》（自然资发〔2021〕16</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自然资源部办公厅关于进一步加强国土空间规划编制和实施管理的通知》（自然资办发〔2022〕186号）；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印发《自治区全面推进乡村振兴示范引领县创建标准（试行）》、《自治区全面推进乡村振兴示范乡镇创建标准（试行）》、《自治区全面推进乡村振兴示范村创建标准（试行）》的通知（新党农领办〔2021〕88号）；</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其他相关政策性文件。</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标准规范</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国土空间调查、规划、用途管制用地用海分类指南》（2023年）；</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基本农田划定技术规程》（TD/T1032-2011）；</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第三次全国国土调查技术规程》（TD/T1055-2019）；</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市级国土空间总体规划编制指南》（试行）；</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镇规划标准》（GB50188-2007）；</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历史文化名城名镇名村保护规划编制要求》（试行）；</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社区生活圈规划技术指南》（TD/T1062-2021）；</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新疆维吾尔自治区乡镇国土空间总体规划编制技术规程》（试行）；</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其他相关标准规范性文件。</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相关规划</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新疆维吾尔自治区乡村振兴战略规划》（2018-2022年）；</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喀什地区国土空间总体规划》（2021-2035年）；</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喀什地区国民经济和社会发展第十四个五年规划2035年远景目标纲要》；</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《麦盖提</w:t>
      </w:r>
      <w:r>
        <w:rPr>
          <w:rFonts w:hint="default" w:ascii="Times New Roman" w:hAnsi="Times New Roman" w:eastAsia="方正仿宋_GBK" w:cs="Times New Roman"/>
          <w:sz w:val="32"/>
          <w:szCs w:val="32"/>
        </w:rPr>
        <w:t>县国土空间总体规划》（2021-2035年）；</w:t>
      </w:r>
    </w:p>
    <w:p>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《麦盖提</w:t>
      </w:r>
      <w:r>
        <w:rPr>
          <w:rFonts w:hint="default" w:ascii="Times New Roman" w:hAnsi="Times New Roman" w:eastAsia="方正仿宋_GBK" w:cs="Times New Roman"/>
          <w:sz w:val="32"/>
          <w:szCs w:val="32"/>
        </w:rPr>
        <w:t>县国民经济和社会发展第十四个五年规划和2035年远景目标纲要》；</w:t>
      </w:r>
    </w:p>
    <w:p>
      <w:pPr>
        <w:keepNext w:val="0"/>
        <w:keepLines w:val="0"/>
        <w:pageBreakBefore w:val="0"/>
        <w:kinsoku/>
        <w:wordWrap/>
        <w:overflowPunct/>
        <w:topLinePunct w:val="0"/>
        <w:autoSpaceDE/>
        <w:autoSpaceDN/>
        <w:bidi w:val="0"/>
        <w:spacing w:after="0" w:line="570" w:lineRule="exact"/>
        <w:ind w:firstLine="640" w:firstLineChars="200"/>
        <w:textAlignment w:val="auto"/>
      </w:pPr>
      <w:bookmarkStart w:id="1" w:name="_GoBack"/>
      <w:bookmarkEnd w:id="1"/>
      <w:r>
        <w:rPr>
          <w:rFonts w:hint="default" w:ascii="Times New Roman" w:hAnsi="Times New Roman" w:eastAsia="方正仿宋_GBK" w:cs="Times New Roman"/>
          <w:sz w:val="32"/>
          <w:szCs w:val="32"/>
        </w:rPr>
        <w:t>其他国家、新疆自治区、喀什地区、</w:t>
      </w:r>
      <w:r>
        <w:rPr>
          <w:rFonts w:hint="default" w:ascii="Times New Roman" w:hAnsi="Times New Roman" w:eastAsia="方正仿宋_GBK" w:cs="Times New Roman"/>
          <w:sz w:val="32"/>
          <w:szCs w:val="32"/>
          <w:lang w:eastAsia="zh-CN"/>
        </w:rPr>
        <w:t>麦盖提</w:t>
      </w:r>
      <w:r>
        <w:rPr>
          <w:rFonts w:hint="default" w:ascii="Times New Roman" w:hAnsi="Times New Roman" w:eastAsia="方正仿宋_GBK" w:cs="Times New Roman"/>
          <w:sz w:val="32"/>
          <w:szCs w:val="32"/>
        </w:rPr>
        <w:t>县相关法律法规、政策文件、标准规范及相关规划</w:t>
      </w:r>
      <w:bookmarkEnd w:id="0"/>
      <w:r>
        <w:rPr>
          <w:rFonts w:hint="default" w:ascii="Times New Roman" w:hAnsi="Times New Roman" w:eastAsia="方正仿宋_GBK" w:cs="Times New Roman"/>
          <w:sz w:val="32"/>
          <w:szCs w:val="32"/>
        </w:rPr>
        <w:t>。</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5A1A1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2025-11-03T05:27:20Z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3634C22611884D4780A3D441524E115A</vt:lpwstr>
  </property>
</Properties>
</file>