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20BE0">
      <w:pPr>
        <w:jc w:val="center"/>
        <w:rPr>
          <w:rFonts w:ascii="方正小标宋简体" w:eastAsia="方正小标宋简体"/>
          <w:sz w:val="44"/>
          <w:szCs w:val="44"/>
        </w:rPr>
      </w:pPr>
    </w:p>
    <w:p w14:paraId="4BEA6832">
      <w:pPr>
        <w:jc w:val="center"/>
        <w:rPr>
          <w:rFonts w:ascii="方正小标宋简体" w:eastAsia="方正小标宋简体"/>
          <w:sz w:val="44"/>
          <w:szCs w:val="44"/>
        </w:rPr>
      </w:pPr>
    </w:p>
    <w:p w14:paraId="130B3F75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麦盖提</w:t>
      </w:r>
      <w:r>
        <w:rPr>
          <w:rFonts w:hint="eastAsia" w:ascii="方正小标宋简体" w:eastAsia="方正小标宋简体"/>
          <w:sz w:val="44"/>
          <w:szCs w:val="44"/>
        </w:rPr>
        <w:t>县</w:t>
      </w:r>
      <w:r>
        <w:rPr>
          <w:rFonts w:hint="default" w:ascii="方正小标宋简体" w:eastAsia="方正小标宋简体"/>
          <w:sz w:val="44"/>
          <w:szCs w:val="44"/>
          <w:lang w:val="en-US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巩固拓展脱贫攻坚成果和乡村振兴项目</w:t>
      </w:r>
      <w:r>
        <w:rPr>
          <w:rFonts w:hint="eastAsia" w:ascii="方正小标宋简体" w:eastAsia="方正小标宋简体"/>
          <w:sz w:val="44"/>
          <w:szCs w:val="44"/>
        </w:rPr>
        <w:t>实施方案</w:t>
      </w:r>
    </w:p>
    <w:p w14:paraId="620BE617">
      <w:pPr>
        <w:rPr>
          <w:rFonts w:ascii="方正小标宋简体" w:eastAsia="方正小标宋简体"/>
          <w:sz w:val="44"/>
          <w:szCs w:val="44"/>
        </w:rPr>
      </w:pPr>
    </w:p>
    <w:p w14:paraId="0ED3D601">
      <w:pPr>
        <w:pStyle w:val="2"/>
      </w:pPr>
    </w:p>
    <w:p w14:paraId="58BB8551">
      <w:pPr>
        <w:rPr>
          <w:rFonts w:ascii="方正小标宋简体" w:eastAsia="方正小标宋简体"/>
          <w:sz w:val="44"/>
          <w:szCs w:val="44"/>
        </w:rPr>
      </w:pPr>
    </w:p>
    <w:p w14:paraId="50545866">
      <w:pPr>
        <w:rPr>
          <w:rFonts w:ascii="方正小标宋简体" w:eastAsia="方正小标宋简体"/>
          <w:sz w:val="44"/>
          <w:szCs w:val="44"/>
        </w:rPr>
      </w:pPr>
    </w:p>
    <w:p w14:paraId="3E565C87">
      <w:pPr>
        <w:rPr>
          <w:rFonts w:ascii="方正小标宋简体" w:eastAsia="方正小标宋简体"/>
          <w:sz w:val="44"/>
          <w:szCs w:val="44"/>
        </w:rPr>
      </w:pPr>
    </w:p>
    <w:p w14:paraId="3122CE00">
      <w:pPr>
        <w:rPr>
          <w:rFonts w:ascii="方正小标宋简体" w:eastAsia="方正小标宋简体"/>
          <w:sz w:val="44"/>
          <w:szCs w:val="44"/>
        </w:rPr>
      </w:pPr>
    </w:p>
    <w:p w14:paraId="60623C12">
      <w:pPr>
        <w:rPr>
          <w:rFonts w:ascii="方正小标宋简体" w:eastAsia="方正小标宋简体"/>
          <w:sz w:val="44"/>
          <w:szCs w:val="44"/>
        </w:rPr>
      </w:pPr>
    </w:p>
    <w:p w14:paraId="0818B177">
      <w:pPr>
        <w:rPr>
          <w:rFonts w:ascii="方正小标宋简体" w:eastAsia="方正小标宋简体"/>
          <w:sz w:val="44"/>
          <w:szCs w:val="44"/>
        </w:rPr>
      </w:pPr>
    </w:p>
    <w:p w14:paraId="3BBD62C7">
      <w:pPr>
        <w:rPr>
          <w:rFonts w:ascii="方正小标宋简体" w:eastAsia="方正小标宋简体"/>
          <w:sz w:val="44"/>
          <w:szCs w:val="44"/>
        </w:rPr>
      </w:pPr>
    </w:p>
    <w:p w14:paraId="001033D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left="2880" w:hanging="2880" w:hangingChars="900"/>
        <w:jc w:val="both"/>
        <w:textAlignment w:val="auto"/>
        <w:rPr>
          <w:rFonts w:hint="eastAsia" w:ascii="方正黑体简体" w:hAnsi="方正黑体简体" w:eastAsia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/>
          <w:sz w:val="32"/>
          <w:szCs w:val="32"/>
          <w:lang w:val="en-US" w:eastAsia="zh-CN"/>
        </w:rPr>
        <w:t xml:space="preserve">        </w:t>
      </w:r>
      <w:r>
        <w:rPr>
          <w:rFonts w:hint="eastAsia" w:ascii="方正黑体简体" w:hAnsi="方正黑体简体" w:eastAsia="方正黑体简体"/>
          <w:sz w:val="32"/>
          <w:szCs w:val="32"/>
        </w:rPr>
        <w:t>项目名称：</w:t>
      </w:r>
      <w:r>
        <w:rPr>
          <w:rFonts w:hint="eastAsia" w:ascii="方正黑体简体" w:hAnsi="方正黑体简体" w:eastAsia="方正黑体简体"/>
          <w:sz w:val="32"/>
          <w:szCs w:val="32"/>
          <w:lang w:val="en-US" w:eastAsia="zh-CN"/>
        </w:rPr>
        <w:t>麦盖提县吐曼塔勒乡产业孵化园变压器建设项目</w:t>
      </w:r>
    </w:p>
    <w:p w14:paraId="05F918A0">
      <w:pPr>
        <w:spacing w:line="560" w:lineRule="exact"/>
        <w:ind w:firstLine="1280" w:firstLineChars="400"/>
        <w:rPr>
          <w:rFonts w:hint="default" w:ascii="方正黑体简体" w:hAnsi="方正黑体简体" w:eastAsia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/>
          <w:sz w:val="32"/>
          <w:szCs w:val="32"/>
        </w:rPr>
        <w:t>项目主管单位：</w:t>
      </w:r>
      <w:r>
        <w:rPr>
          <w:rFonts w:hint="eastAsia" w:ascii="方正黑体简体" w:hAnsi="方正黑体简体" w:eastAsia="方正黑体简体"/>
          <w:sz w:val="32"/>
          <w:szCs w:val="32"/>
          <w:lang w:val="en-US" w:eastAsia="zh-CN"/>
        </w:rPr>
        <w:t>麦盖提县农业农村局</w:t>
      </w:r>
    </w:p>
    <w:p w14:paraId="2A79730A">
      <w:pPr>
        <w:spacing w:line="560" w:lineRule="exact"/>
        <w:ind w:firstLine="1280" w:firstLineChars="400"/>
        <w:rPr>
          <w:rFonts w:hint="default" w:ascii="方正黑体简体" w:hAnsi="方正黑体简体" w:eastAsia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/>
          <w:sz w:val="32"/>
          <w:szCs w:val="32"/>
        </w:rPr>
        <w:t>项目实施单位：</w:t>
      </w:r>
      <w:r>
        <w:rPr>
          <w:rFonts w:hint="eastAsia" w:ascii="方正黑体简体" w:hAnsi="方正黑体简体" w:eastAsia="方正黑体简体"/>
          <w:sz w:val="32"/>
          <w:szCs w:val="32"/>
          <w:lang w:val="en-US" w:eastAsia="zh-CN"/>
        </w:rPr>
        <w:t>麦盖提县吐曼塔勒乡人民政府</w:t>
      </w:r>
    </w:p>
    <w:p w14:paraId="25E21842">
      <w:pPr>
        <w:spacing w:line="560" w:lineRule="exact"/>
        <w:ind w:firstLine="1280" w:firstLineChars="400"/>
        <w:rPr>
          <w:rFonts w:hint="default" w:ascii="方正黑体简体" w:hAnsi="方正黑体简体" w:eastAsia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/>
          <w:sz w:val="32"/>
          <w:szCs w:val="32"/>
        </w:rPr>
        <w:t>编制时间：</w:t>
      </w:r>
      <w:r>
        <w:rPr>
          <w:rFonts w:hint="eastAsia" w:ascii="方正黑体简体" w:hAnsi="方正黑体简体" w:eastAsia="方正黑体简体"/>
          <w:sz w:val="32"/>
          <w:szCs w:val="32"/>
          <w:lang w:val="en-US" w:eastAsia="zh-CN"/>
        </w:rPr>
        <w:t>2025年1月</w:t>
      </w:r>
    </w:p>
    <w:p w14:paraId="24F956FB">
      <w:pPr>
        <w:rPr>
          <w:rFonts w:ascii="方正黑体简体" w:hAnsi="方正黑体简体" w:eastAsia="方正黑体简体"/>
          <w:sz w:val="32"/>
          <w:szCs w:val="32"/>
        </w:rPr>
      </w:pPr>
      <w:r>
        <w:rPr>
          <w:rFonts w:ascii="方正黑体简体" w:hAnsi="方正黑体简体" w:eastAsia="方正黑体简体"/>
          <w:sz w:val="32"/>
          <w:szCs w:val="32"/>
        </w:rPr>
        <w:br w:type="page"/>
      </w:r>
    </w:p>
    <w:p w14:paraId="6763D7F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jc w:val="center"/>
        <w:textAlignment w:val="auto"/>
        <w:rPr>
          <w:rFonts w:hint="eastAsia" w:ascii="方正小标宋简体" w:hAnsi="方正黑体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黑体简体" w:eastAsia="方正小标宋简体"/>
          <w:sz w:val="36"/>
          <w:szCs w:val="36"/>
          <w:lang w:val="en-US" w:eastAsia="zh-CN"/>
        </w:rPr>
        <w:t>麦盖提县吐曼塔勒乡产业孵化园变压器</w:t>
      </w:r>
    </w:p>
    <w:p w14:paraId="4B5A353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jc w:val="center"/>
        <w:textAlignment w:val="auto"/>
        <w:rPr>
          <w:rFonts w:hint="eastAsia" w:ascii="方正小标宋简体" w:hAnsi="方正黑体简体" w:eastAsia="方正小标宋简体"/>
          <w:sz w:val="36"/>
          <w:szCs w:val="36"/>
        </w:rPr>
      </w:pPr>
      <w:r>
        <w:rPr>
          <w:rFonts w:hint="eastAsia" w:ascii="方正小标宋简体" w:hAnsi="方正黑体简体" w:eastAsia="方正小标宋简体"/>
          <w:sz w:val="36"/>
          <w:szCs w:val="36"/>
          <w:lang w:val="en-US" w:eastAsia="zh-CN"/>
        </w:rPr>
        <w:t>建设</w:t>
      </w:r>
      <w:r>
        <w:rPr>
          <w:rFonts w:hint="eastAsia" w:ascii="方正小标宋简体" w:hAnsi="方正黑体简体" w:eastAsia="方正小标宋简体"/>
          <w:sz w:val="36"/>
          <w:szCs w:val="36"/>
        </w:rPr>
        <w:t>项目实施方案</w:t>
      </w:r>
    </w:p>
    <w:p w14:paraId="1423C5CE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outlineLvl w:val="0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1.基本情况</w:t>
      </w:r>
    </w:p>
    <w:p w14:paraId="7CA26407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项目库编号</w:t>
      </w:r>
    </w:p>
    <w:p w14:paraId="6DD377FC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Tmtl-001</w:t>
      </w:r>
    </w:p>
    <w:p w14:paraId="08ABF943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2项目名称</w:t>
      </w:r>
    </w:p>
    <w:p w14:paraId="00FD78D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firstLine="560" w:firstLineChars="200"/>
        <w:jc w:val="left"/>
        <w:textAlignment w:val="auto"/>
        <w:rPr>
          <w:rFonts w:ascii="方正楷体简体" w:hAnsi="方正楷体简体" w:eastAsia="方正楷体简体" w:cs="方正楷体简体"/>
          <w:sz w:val="28"/>
          <w:szCs w:val="28"/>
        </w:rPr>
      </w:pPr>
      <w:r>
        <w:rPr>
          <w:rFonts w:hint="eastAsia" w:ascii="仿宋_GB2312" w:hAnsi="仿宋_GB2312" w:eastAsia="仿宋_GB2312" w:cs="Times New Roman"/>
          <w:kern w:val="0"/>
          <w:sz w:val="28"/>
          <w:szCs w:val="30"/>
          <w:lang w:val="en-US" w:eastAsia="zh-CN"/>
        </w:rPr>
        <w:t>麦盖提县吐曼塔勒乡产业孵化园变压器建设项目</w:t>
      </w:r>
    </w:p>
    <w:p w14:paraId="533F13DE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3项目主管单位</w:t>
      </w:r>
    </w:p>
    <w:p w14:paraId="3A4F2E58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default" w:ascii="方正楷体简体" w:hAnsi="方正楷体简体" w:eastAsia="方正楷体简体" w:cs="方正楷体简体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  <w:t>麦盖提县农业农村局</w:t>
      </w:r>
    </w:p>
    <w:p w14:paraId="12B2C17F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4项目实施单位</w:t>
      </w:r>
    </w:p>
    <w:p w14:paraId="138C806A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ascii="方正楷体简体" w:hAnsi="方正楷体简体" w:eastAsia="方正楷体简体" w:cs="方正楷体简体"/>
          <w:sz w:val="28"/>
          <w:szCs w:val="28"/>
        </w:rPr>
      </w:pPr>
      <w:r>
        <w:rPr>
          <w:rFonts w:hint="eastAsia" w:ascii="仿宋_GB2312" w:hAnsi="仿宋_GB2312" w:eastAsia="仿宋_GB2312" w:cs="Times New Roman"/>
          <w:kern w:val="0"/>
          <w:sz w:val="28"/>
          <w:szCs w:val="30"/>
          <w:lang w:val="en-US" w:eastAsia="zh-CN"/>
        </w:rPr>
        <w:t>麦盖提县吐曼塔勒乡人民政府</w:t>
      </w:r>
    </w:p>
    <w:p w14:paraId="23FB47B2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5项目建设性质</w:t>
      </w:r>
    </w:p>
    <w:p w14:paraId="18FEF8DE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方正楷体简体" w:hAnsi="方正楷体简体" w:eastAsia="方正楷体简体" w:cs="方正楷体简体"/>
          <w:sz w:val="28"/>
          <w:szCs w:val="28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  <w:t>新建</w:t>
      </w:r>
    </w:p>
    <w:p w14:paraId="0F495B21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6项目类别</w:t>
      </w:r>
    </w:p>
    <w:p w14:paraId="22416574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Times New Roman"/>
          <w:kern w:val="0"/>
          <w:sz w:val="28"/>
          <w:szCs w:val="30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28"/>
          <w:szCs w:val="30"/>
          <w:lang w:val="en-US" w:eastAsia="zh-CN"/>
        </w:rPr>
        <w:t>产业发展</w:t>
      </w:r>
    </w:p>
    <w:p w14:paraId="1767A7FC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</w:t>
      </w:r>
      <w:r>
        <w:rPr>
          <w:rFonts w:hint="eastAsia" w:ascii="仿宋_GB2312" w:hAnsi="仿宋_GB2312" w:eastAsia="仿宋_GB2312" w:cs="Times New Roman"/>
          <w:kern w:val="0"/>
          <w:sz w:val="28"/>
          <w:szCs w:val="30"/>
          <w:lang w:val="en-US" w:eastAsia="zh-CN" w:bidi="ar-SA"/>
        </w:rPr>
        <w:t xml:space="preserve">7 </w:t>
      </w:r>
      <w:r>
        <w:rPr>
          <w:rFonts w:hint="eastAsia" w:ascii="仿宋" w:hAnsi="仿宋" w:eastAsia="仿宋" w:cs="仿宋"/>
          <w:sz w:val="28"/>
          <w:szCs w:val="28"/>
        </w:rPr>
        <w:t>项目建设内容</w:t>
      </w:r>
    </w:p>
    <w:p w14:paraId="36C9E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kern w:val="0"/>
          <w:sz w:val="28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0"/>
          <w:sz w:val="28"/>
          <w:szCs w:val="30"/>
          <w:lang w:val="en-US" w:eastAsia="zh-CN" w:bidi="ar-SA"/>
        </w:rPr>
        <w:t>在</w:t>
      </w:r>
      <w:r>
        <w:rPr>
          <w:rFonts w:hint="default" w:ascii="仿宋_GB2312" w:hAnsi="仿宋_GB2312" w:eastAsia="仿宋_GB2312" w:cs="Times New Roman"/>
          <w:kern w:val="0"/>
          <w:sz w:val="28"/>
          <w:szCs w:val="30"/>
          <w:lang w:val="en-US" w:eastAsia="zh-CN" w:bidi="ar-SA"/>
        </w:rPr>
        <w:t>吐曼塔勒乡吐曼塔勒村产业孵化园新建1台1250千瓦的变压器及配电室</w:t>
      </w:r>
      <w:r>
        <w:rPr>
          <w:rFonts w:hint="eastAsia" w:ascii="仿宋_GB2312" w:hAnsi="仿宋_GB2312" w:eastAsia="仿宋_GB2312" w:cs="Times New Roman"/>
          <w:kern w:val="0"/>
          <w:sz w:val="28"/>
          <w:szCs w:val="30"/>
          <w:lang w:val="en-US" w:eastAsia="zh-CN" w:bidi="ar-SA"/>
        </w:rPr>
        <w:t>。</w:t>
      </w:r>
    </w:p>
    <w:p w14:paraId="47158E59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项目建设期限</w:t>
      </w:r>
    </w:p>
    <w:p w14:paraId="5557F892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default" w:ascii="仿宋_GB2312" w:hAnsi="仿宋_GB2312" w:eastAsia="仿宋_GB2312" w:cs="Times New Roman"/>
          <w:kern w:val="0"/>
          <w:sz w:val="28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0"/>
          <w:sz w:val="28"/>
          <w:szCs w:val="30"/>
          <w:lang w:val="en-US" w:eastAsia="zh-CN" w:bidi="ar-SA"/>
        </w:rPr>
        <w:t>2025年3月-2025年5月</w:t>
      </w:r>
    </w:p>
    <w:p w14:paraId="22C9E1BB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10项目建设地点及基本情况</w:t>
      </w:r>
    </w:p>
    <w:p w14:paraId="7BDF4C5F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0"/>
        <w:rPr>
          <w:rFonts w:hint="eastAsia" w:ascii="仿宋_GB2312" w:hAnsi="仿宋_GB2312" w:eastAsia="仿宋_GB2312" w:cs="Times New Roman"/>
          <w:kern w:val="0"/>
          <w:sz w:val="28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0"/>
          <w:sz w:val="28"/>
          <w:szCs w:val="30"/>
          <w:lang w:val="en-US" w:eastAsia="zh-CN" w:bidi="ar-SA"/>
        </w:rPr>
        <w:t>吐曼塔勒乡位于麦盖提县城东北部，距县城38公里，东与农三师45团相连，南与央塔克乡相邻，北与库尔玛乡相交，西以叶尔羌河为界与巴楚县英吾斯塘乡隔河相望，总面积283平方公里，其中耕地面积15.38万亩，林地面积8.4万亩，荒草地面积10万亩，公共积累田7.8万亩。现有红枣6.7万亩，核桃1.4万亩，节水滴灌2.4万亩。全乡有15个村委会，68个村民小组。辖区总户数7764户，总人口27988人。</w:t>
      </w:r>
    </w:p>
    <w:p w14:paraId="4ACD4698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outlineLvl w:val="0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ascii="楷体" w:hAnsi="楷体" w:eastAsia="楷体" w:cs="楷体"/>
          <w:b/>
          <w:bCs/>
          <w:sz w:val="28"/>
          <w:szCs w:val="28"/>
        </w:rPr>
        <w:t>2.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项目立项情况</w:t>
      </w:r>
    </w:p>
    <w:p w14:paraId="74BDD2EF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项目建设依据</w:t>
      </w:r>
    </w:p>
    <w:p w14:paraId="19E5DD68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仿宋_GB2312" w:hAnsi="仿宋_GB2312" w:eastAsia="仿宋_GB2312" w:cs="Times New Roman"/>
          <w:kern w:val="0"/>
          <w:sz w:val="28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0"/>
          <w:sz w:val="28"/>
          <w:szCs w:val="30"/>
          <w:lang w:val="en-US" w:eastAsia="zh-CN" w:bidi="ar-SA"/>
        </w:rPr>
        <w:t>上级通知精神。</w:t>
      </w:r>
    </w:p>
    <w:p w14:paraId="006AD985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2.2</w:t>
      </w:r>
      <w:r>
        <w:rPr>
          <w:rFonts w:hint="eastAsia" w:ascii="仿宋" w:hAnsi="仿宋" w:eastAsia="仿宋" w:cs="仿宋"/>
          <w:sz w:val="28"/>
          <w:szCs w:val="28"/>
        </w:rPr>
        <w:t>立项批复的建设内容及规模</w:t>
      </w:r>
    </w:p>
    <w:p w14:paraId="00540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="方正楷体简体" w:hAnsi="方正楷体简体" w:eastAsia="方正楷体简体" w:cs="方正楷体简体"/>
          <w:sz w:val="28"/>
          <w:szCs w:val="28"/>
        </w:rPr>
      </w:pPr>
      <w:r>
        <w:rPr>
          <w:rFonts w:hint="eastAsia" w:ascii="仿宋_GB2312" w:hAnsi="仿宋_GB2312" w:eastAsia="仿宋_GB2312" w:cs="Times New Roman"/>
          <w:kern w:val="0"/>
          <w:sz w:val="28"/>
          <w:szCs w:val="30"/>
          <w:lang w:val="en-US" w:eastAsia="zh-CN" w:bidi="ar-SA"/>
        </w:rPr>
        <w:t>在</w:t>
      </w:r>
      <w:r>
        <w:rPr>
          <w:rFonts w:hint="default" w:ascii="仿宋_GB2312" w:hAnsi="仿宋_GB2312" w:eastAsia="仿宋_GB2312" w:cs="Times New Roman"/>
          <w:kern w:val="0"/>
          <w:sz w:val="28"/>
          <w:szCs w:val="30"/>
          <w:lang w:val="en-US" w:eastAsia="zh-CN" w:bidi="ar-SA"/>
        </w:rPr>
        <w:t>吐曼塔勒乡吐曼塔勒村产业孵化园新建1台1250千瓦的变压器及配电室</w:t>
      </w:r>
      <w:r>
        <w:rPr>
          <w:rFonts w:hint="eastAsia" w:ascii="仿宋_GB2312" w:hAnsi="仿宋_GB2312" w:eastAsia="仿宋_GB2312" w:cs="Times New Roman"/>
          <w:kern w:val="0"/>
          <w:sz w:val="28"/>
          <w:szCs w:val="30"/>
          <w:lang w:val="en-US" w:eastAsia="zh-CN" w:bidi="ar-SA"/>
        </w:rPr>
        <w:t>。</w:t>
      </w:r>
    </w:p>
    <w:p w14:paraId="6625CF33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2.3</w:t>
      </w:r>
      <w:r>
        <w:rPr>
          <w:rFonts w:hint="eastAsia" w:ascii="仿宋" w:hAnsi="仿宋" w:eastAsia="仿宋" w:cs="仿宋"/>
          <w:sz w:val="28"/>
          <w:szCs w:val="28"/>
        </w:rPr>
        <w:t>项目建设的必要性和可行性</w:t>
      </w:r>
    </w:p>
    <w:p w14:paraId="407DF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kern w:val="0"/>
          <w:sz w:val="28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0"/>
          <w:sz w:val="28"/>
          <w:szCs w:val="30"/>
          <w:lang w:val="en-US" w:eastAsia="zh-CN" w:bidi="ar-SA"/>
        </w:rPr>
        <w:t>产业孵化园内企业的生产设备、照明系统、办公电器等用电量巨大，对电力的稳定性和持续性要求极高。例如，农产品加工企业的大型加工设备需要稳定的电压才能保证产品质量，电商服务企业的服务器运行不能有丝毫断电风险。建设新的变压器是保障这些企业正常运转的基础条件。</w:t>
      </w:r>
    </w:p>
    <w:p w14:paraId="52D553A2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outlineLvl w:val="0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ascii="楷体" w:hAnsi="楷体" w:eastAsia="楷体" w:cs="楷体"/>
          <w:b/>
          <w:bCs/>
          <w:sz w:val="28"/>
          <w:szCs w:val="28"/>
        </w:rPr>
        <w:t>3.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施工设计（设计或技术方案）</w:t>
      </w:r>
    </w:p>
    <w:p w14:paraId="22CB0EF1">
      <w:pPr>
        <w:numPr>
          <w:ilvl w:val="0"/>
          <w:numId w:val="0"/>
        </w:numPr>
        <w:spacing w:line="560" w:lineRule="exac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_GB2312" w:hAnsi="仿宋_GB2312" w:eastAsia="仿宋_GB2312" w:cs="Times New Roman"/>
          <w:kern w:val="0"/>
          <w:sz w:val="28"/>
          <w:szCs w:val="30"/>
          <w:lang w:val="en-US" w:eastAsia="zh-CN" w:bidi="ar-SA"/>
        </w:rPr>
        <w:t>.1项目设计（技术依据）</w:t>
      </w:r>
    </w:p>
    <w:p w14:paraId="475C0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kern w:val="0"/>
          <w:sz w:val="28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0"/>
          <w:sz w:val="28"/>
          <w:szCs w:val="30"/>
          <w:lang w:val="en-US" w:eastAsia="zh-CN" w:bidi="ar-SA"/>
        </w:rPr>
        <w:t>1.现行的国家有关建筑设计规范、规程和规定。</w:t>
      </w:r>
    </w:p>
    <w:p w14:paraId="70AA9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kern w:val="0"/>
          <w:sz w:val="28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0"/>
          <w:sz w:val="28"/>
          <w:szCs w:val="30"/>
          <w:lang w:val="en-US" w:eastAsia="zh-CN" w:bidi="ar-SA"/>
        </w:rPr>
        <w:t>2.其他现行的国家及省、市有关的建筑设计规范、规程和规定。</w:t>
      </w:r>
    </w:p>
    <w:p w14:paraId="4196C8BF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outlineLvl w:val="0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ascii="楷体" w:hAnsi="楷体" w:eastAsia="楷体" w:cs="楷体"/>
          <w:b/>
          <w:bCs/>
          <w:sz w:val="28"/>
          <w:szCs w:val="28"/>
        </w:rPr>
        <w:t>4.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投资概算和资金筹措</w:t>
      </w:r>
    </w:p>
    <w:p w14:paraId="4CF7C657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4.1</w:t>
      </w:r>
      <w:r>
        <w:rPr>
          <w:rFonts w:hint="eastAsia" w:ascii="仿宋" w:hAnsi="仿宋" w:eastAsia="仿宋" w:cs="仿宋"/>
          <w:sz w:val="28"/>
          <w:szCs w:val="28"/>
        </w:rPr>
        <w:t>项目总投资</w:t>
      </w:r>
    </w:p>
    <w:p w14:paraId="7EFE6F17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default" w:ascii="仿宋_GB2312" w:hAnsi="仿宋_GB2312" w:eastAsia="仿宋_GB2312" w:cs="Times New Roman"/>
          <w:kern w:val="0"/>
          <w:sz w:val="28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0"/>
          <w:sz w:val="28"/>
          <w:szCs w:val="30"/>
          <w:lang w:val="en-US" w:eastAsia="zh-CN" w:bidi="ar-SA"/>
        </w:rPr>
        <w:t>100万元</w:t>
      </w:r>
    </w:p>
    <w:p w14:paraId="4BC3DB35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4.2</w:t>
      </w:r>
      <w:r>
        <w:rPr>
          <w:rFonts w:hint="eastAsia" w:ascii="仿宋" w:hAnsi="仿宋" w:eastAsia="仿宋" w:cs="仿宋"/>
          <w:sz w:val="28"/>
          <w:szCs w:val="28"/>
        </w:rPr>
        <w:t>资金筹措</w:t>
      </w:r>
    </w:p>
    <w:p w14:paraId="5568A112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default" w:ascii="仿宋_GB2312" w:hAnsi="仿宋_GB2312" w:eastAsia="仿宋_GB2312" w:cs="Times New Roman"/>
          <w:kern w:val="0"/>
          <w:sz w:val="28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0"/>
          <w:sz w:val="28"/>
          <w:szCs w:val="30"/>
          <w:lang w:val="en-US" w:eastAsia="zh-CN" w:bidi="ar-SA"/>
        </w:rPr>
        <w:t>中央财政衔接资金</w:t>
      </w:r>
    </w:p>
    <w:p w14:paraId="36D8355F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4.3</w:t>
      </w:r>
      <w:r>
        <w:rPr>
          <w:rFonts w:hint="eastAsia" w:ascii="仿宋" w:hAnsi="仿宋" w:eastAsia="仿宋" w:cs="仿宋"/>
          <w:sz w:val="28"/>
          <w:szCs w:val="28"/>
        </w:rPr>
        <w:t>资金使用和管理</w:t>
      </w:r>
    </w:p>
    <w:p w14:paraId="2576BCF0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Times New Roman"/>
          <w:kern w:val="0"/>
          <w:sz w:val="28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0"/>
          <w:sz w:val="28"/>
          <w:szCs w:val="30"/>
          <w:lang w:val="en-US" w:eastAsia="zh-CN" w:bidi="ar-SA"/>
        </w:rPr>
        <w:t>衔接资金使用和管理应按照《中央财政衔接推进乡村振兴补助资金管理办法》（财农〔2021〕19号）、《新疆维吾尔自治区财政资金衔接推进乡村振兴补助资金（巩固拓展脱贫攻坚成果和乡村振兴任务）项目管理办法（暂行）》（新乡振〔2021〕32号）、《新疆维吾尔自治区财政衔接推进乡村振兴补助资金管理办法》（新财规〔2021〕11号）等相关文件要求。项目实施单位依据项目计划和实施进度,提出支付申请并提供相关真实、合规的证明材料，制定资金使用计划，经审核后按照国库集中支付管理制度的规定和程序及时支付资金。从国库直接支付到衔接资金项目承担的企业、商户或脱贫户、监测对象个人。严格执行专款专用，杜绝挤占、挪用项目资金，严禁虚列支出、以拨代支虚增项目进度。项目资金支付后,在审计或检查中发现资金使用存在违法违规问题的，应及时追回、收回。对资金使用严格监管，防止资金使用不精准、虚报冒领。为加快资金支出进度，衔接资金项目可实行预付款制，预付资金总额合计原则上不超过应付该项目资金总额的50%，其中:基础建设类项目预付资金原则上不超过合同金额的 30%。</w:t>
      </w:r>
    </w:p>
    <w:p w14:paraId="115808A1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outlineLvl w:val="0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ascii="楷体" w:hAnsi="楷体" w:eastAsia="楷体" w:cs="楷体"/>
          <w:b/>
          <w:bCs/>
          <w:sz w:val="28"/>
          <w:szCs w:val="28"/>
        </w:rPr>
        <w:t>5.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项目实施保障措施</w:t>
      </w:r>
    </w:p>
    <w:p w14:paraId="64F6161E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5.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技术保障措施</w:t>
      </w:r>
    </w:p>
    <w:p w14:paraId="2FC292B8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Times New Roman"/>
          <w:kern w:val="0"/>
          <w:sz w:val="28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0"/>
          <w:sz w:val="28"/>
          <w:szCs w:val="30"/>
          <w:lang w:val="en-US" w:eastAsia="zh-CN" w:bidi="ar-SA"/>
        </w:rPr>
        <w:t>建设类需符合相关行业规范，畜牧类需考虑动物防疫，饲草料保障、养殖技术指导等，种植类项目需考虑种植所需的保障技术及农户的如何培训指导等</w:t>
      </w:r>
    </w:p>
    <w:p w14:paraId="724E08A8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5.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项目管理、监督检查制度</w:t>
      </w:r>
    </w:p>
    <w:p w14:paraId="0BF4A6B7">
      <w:pPr>
        <w:spacing w:line="540" w:lineRule="exact"/>
        <w:ind w:firstLine="560" w:firstLineChars="200"/>
        <w:rPr>
          <w:rFonts w:hint="eastAsia" w:ascii="仿宋_GB2312" w:hAnsi="仿宋_GB2312" w:eastAsia="仿宋_GB2312" w:cs="Times New Roman"/>
          <w:kern w:val="0"/>
          <w:sz w:val="28"/>
          <w:szCs w:val="30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28"/>
          <w:szCs w:val="30"/>
          <w:lang w:val="en-US" w:eastAsia="zh-CN"/>
        </w:rPr>
        <w:t>为保质保量按时完成该项目，需实行目标管理责任制，明确领导小组各成员的职责，全面推行项目建设责任制、项目法人责任制，建立健全扶贫资产公开公示、定期巡查、绩效考核、结果反馈等检查机制，对项目经营运行、收益分配、后期管护等环节进行全程监督，保障扶贫资产安全有效。</w:t>
      </w:r>
    </w:p>
    <w:p w14:paraId="0FD926F2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5.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验收管理</w:t>
      </w:r>
    </w:p>
    <w:p w14:paraId="5B73C215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ascii="方正楷体简体" w:hAnsi="方正楷体简体" w:eastAsia="方正楷体简体" w:cs="方正楷体简体"/>
          <w:sz w:val="28"/>
          <w:szCs w:val="28"/>
        </w:rPr>
      </w:pPr>
      <w:r>
        <w:rPr>
          <w:rFonts w:hint="eastAsia" w:ascii="仿宋_GB2312" w:hAnsi="仿宋_GB2312" w:eastAsia="仿宋_GB2312" w:cs="Times New Roman"/>
          <w:kern w:val="0"/>
          <w:sz w:val="28"/>
          <w:szCs w:val="30"/>
          <w:lang w:val="en-US" w:eastAsia="zh-CN" w:bidi="ar-SA"/>
        </w:rPr>
        <w:t>根据《新疆维吾尔自治区财政资金衔接推进乡村振兴补助资金（巩固拓展脱贫攻坚成果和乡村振兴任务）项目管理办法（暂行）》（新乡振〔2021〕32号）等相关文件要求，坚持项目竣工验收制度，遵照属地管理、“谁审批、谁验收”的原则，乡村两级验收合格后报县级部门验收。</w:t>
      </w:r>
    </w:p>
    <w:p w14:paraId="268EC9B2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5.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运营模式和运营管理</w:t>
      </w:r>
    </w:p>
    <w:p w14:paraId="71C8C858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Times New Roman"/>
          <w:kern w:val="0"/>
          <w:sz w:val="28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0"/>
          <w:sz w:val="28"/>
          <w:szCs w:val="30"/>
          <w:lang w:val="en-US" w:eastAsia="zh-CN" w:bidi="ar-SA"/>
        </w:rPr>
        <w:t>根据《新疆维吾尔自治区财政资金衔接推进乡村振兴补助资金（巩固拓展脱贫攻坚成果和乡村振兴任务）项目管理办法（暂行）》（新乡振〔2021〕32号）第四章第十七条规定：项目建设单位收到竣工验收报告后,应及时完成项目竣工财务决算和资产移交。按照自治区扶贫项目资产后续管理要求,及时做好资 产确权、资产交接、投入使用、后续管护、收益分配等工作。</w:t>
      </w:r>
    </w:p>
    <w:p w14:paraId="0E0020D7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ascii="仿宋" w:hAnsi="仿宋" w:eastAsia="仿宋" w:cs="仿宋"/>
          <w:sz w:val="28"/>
          <w:szCs w:val="28"/>
        </w:rPr>
        <w:t>5.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5联农带农机制</w:t>
      </w:r>
      <w:bookmarkStart w:id="0" w:name="_GoBack"/>
      <w:bookmarkEnd w:id="0"/>
    </w:p>
    <w:p w14:paraId="3334ACA0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Times New Roman"/>
          <w:kern w:val="0"/>
          <w:sz w:val="28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0"/>
          <w:sz w:val="28"/>
          <w:szCs w:val="30"/>
          <w:lang w:val="en-US" w:eastAsia="zh-CN" w:bidi="ar-SA"/>
        </w:rPr>
        <w:t>满足产业孵化园用电需求，改善就业环境，促进农户就近就业，吸纳脱贫户及监测户≥10人就业。</w:t>
      </w:r>
    </w:p>
    <w:p w14:paraId="06276062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outlineLvl w:val="0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ascii="楷体" w:hAnsi="楷体" w:eastAsia="楷体" w:cs="楷体"/>
          <w:b/>
          <w:bCs/>
          <w:sz w:val="28"/>
          <w:szCs w:val="28"/>
        </w:rPr>
        <w:t>6.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项目实施进度</w:t>
      </w:r>
    </w:p>
    <w:p w14:paraId="028167C1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6.1</w:t>
      </w:r>
      <w:r>
        <w:rPr>
          <w:rFonts w:hint="eastAsia" w:ascii="仿宋" w:hAnsi="仿宋" w:eastAsia="仿宋" w:cs="仿宋"/>
          <w:sz w:val="28"/>
          <w:szCs w:val="28"/>
        </w:rPr>
        <w:t>项目实施进度计划</w:t>
      </w:r>
    </w:p>
    <w:p w14:paraId="3625ECB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仿宋_GB2312" w:hAnsi="仿宋_GB2312" w:eastAsia="仿宋_GB2312" w:cs="Times New Roman"/>
          <w:kern w:val="0"/>
          <w:sz w:val="28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0"/>
          <w:sz w:val="28"/>
          <w:szCs w:val="30"/>
          <w:lang w:val="en-US" w:eastAsia="zh-CN" w:bidi="ar-SA"/>
        </w:rPr>
        <w:t>项目实施期为3个月，即2025年3月-2025年5月，实施进度如下：</w:t>
      </w:r>
    </w:p>
    <w:p w14:paraId="67F7F56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仿宋_GB2312" w:hAnsi="仿宋_GB2312" w:eastAsia="仿宋_GB2312" w:cs="Times New Roman"/>
          <w:kern w:val="0"/>
          <w:sz w:val="28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0"/>
          <w:sz w:val="28"/>
          <w:szCs w:val="30"/>
          <w:lang w:val="en-US" w:eastAsia="zh-CN" w:bidi="ar-SA"/>
        </w:rPr>
        <w:t>2025年3月：完成项目立项任务并对项目进行发包工作</w:t>
      </w:r>
    </w:p>
    <w:p w14:paraId="3465056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仿宋_GB2312" w:hAnsi="仿宋_GB2312" w:eastAsia="仿宋_GB2312" w:cs="Times New Roman"/>
          <w:kern w:val="0"/>
          <w:sz w:val="28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0"/>
          <w:sz w:val="28"/>
          <w:szCs w:val="30"/>
          <w:lang w:val="en-US" w:eastAsia="zh-CN" w:bidi="ar-SA"/>
        </w:rPr>
        <w:t>2025年3月至4月下旬：项目竣工验收并完成审核结算；</w:t>
      </w:r>
    </w:p>
    <w:p w14:paraId="34E92CA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仿宋_GB2312" w:hAnsi="仿宋_GB2312" w:eastAsia="仿宋_GB2312" w:cs="Times New Roman"/>
          <w:kern w:val="0"/>
          <w:sz w:val="28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0"/>
          <w:sz w:val="28"/>
          <w:szCs w:val="30"/>
          <w:lang w:val="en-US" w:eastAsia="zh-CN" w:bidi="ar-SA"/>
        </w:rPr>
        <w:t>2022年5月：</w:t>
      </w:r>
      <w:r>
        <w:rPr>
          <w:rFonts w:hint="eastAsia" w:ascii="仿宋_GB2312" w:hAnsi="仿宋_GB2312" w:eastAsia="仿宋_GB2312" w:cs="Times New Roman"/>
          <w:b w:val="0"/>
          <w:bCs w:val="0"/>
          <w:kern w:val="0"/>
          <w:sz w:val="28"/>
          <w:szCs w:val="30"/>
          <w:lang w:val="en-US" w:eastAsia="zh-CN" w:bidi="ar-SA"/>
        </w:rPr>
        <w:t>完成项目档案整理归档</w:t>
      </w:r>
      <w:r>
        <w:rPr>
          <w:rFonts w:hint="eastAsia" w:ascii="仿宋_GB2312" w:hAnsi="仿宋_GB2312" w:eastAsia="仿宋_GB2312" w:cs="Times New Roman"/>
          <w:kern w:val="0"/>
          <w:sz w:val="28"/>
          <w:szCs w:val="30"/>
          <w:lang w:val="en-US" w:eastAsia="zh-CN" w:bidi="ar-SA"/>
        </w:rPr>
        <w:t>。</w:t>
      </w:r>
    </w:p>
    <w:p w14:paraId="57165E64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6.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项目公告公示</w:t>
      </w:r>
    </w:p>
    <w:p w14:paraId="2725F12E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Times New Roman"/>
          <w:kern w:val="0"/>
          <w:sz w:val="28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0"/>
          <w:sz w:val="28"/>
          <w:szCs w:val="30"/>
          <w:lang w:val="en-US" w:eastAsia="zh-CN" w:bidi="ar-SA"/>
        </w:rPr>
        <w:t>衔接资金项目实施需按《新疆维吾尔自治区财政资金衔接推进乡村振兴补助资金（巩固拓展脱贫攻坚成果和乡村振兴任务）项目管理办法（暂行）》（新乡振〔2021〕32号）第四章第十九条规定，项目实施单位要严格执行信息公开制度,认真贯彻执行国家和自治区有关公告公示要求,全面做好资金分配使用、县级项目库建设、项目计划、实施方案、项目执行、收益分配、后期管护、资产管理等各个环节公告公示工作。</w:t>
      </w:r>
    </w:p>
    <w:p w14:paraId="1A676816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outlineLvl w:val="0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ascii="楷体" w:hAnsi="楷体" w:eastAsia="楷体" w:cs="楷体"/>
          <w:b/>
          <w:bCs/>
          <w:sz w:val="28"/>
          <w:szCs w:val="28"/>
        </w:rPr>
        <w:t>7.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项目绩效目标及效益分析</w:t>
      </w:r>
    </w:p>
    <w:p w14:paraId="02221EF9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7.1年度目标</w:t>
      </w:r>
    </w:p>
    <w:p w14:paraId="40FFF3FF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7.1.1项目覆盖情况</w:t>
      </w:r>
    </w:p>
    <w:p w14:paraId="57A86D10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仿宋_GB2312" w:hAnsi="仿宋_GB2312" w:eastAsia="仿宋_GB2312" w:cs="Times New Roman"/>
          <w:kern w:val="0"/>
          <w:sz w:val="28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0"/>
          <w:sz w:val="28"/>
          <w:szCs w:val="30"/>
          <w:lang w:val="en-US" w:eastAsia="zh-CN" w:bidi="ar-SA"/>
        </w:rPr>
        <w:t>盘活产业孵化园内扶贫资产，增加租金收入，同时也增加当地居民的就业岗位，提高收入，改善生活。</w:t>
      </w:r>
    </w:p>
    <w:p w14:paraId="0C02FA64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7.</w:t>
      </w:r>
      <w:r>
        <w:rPr>
          <w:rFonts w:hint="eastAsia" w:ascii="仿宋" w:hAnsi="仿宋" w:eastAsia="仿宋" w:cs="仿宋"/>
          <w:sz w:val="28"/>
          <w:szCs w:val="28"/>
        </w:rPr>
        <w:t>2经济效益</w:t>
      </w:r>
    </w:p>
    <w:p w14:paraId="29B42CB7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7.2.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间接效益</w:t>
      </w:r>
    </w:p>
    <w:p w14:paraId="6D1DE9A2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Times New Roman"/>
          <w:kern w:val="0"/>
          <w:sz w:val="28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0"/>
          <w:sz w:val="28"/>
          <w:szCs w:val="30"/>
          <w:lang w:val="en-US" w:eastAsia="zh-CN" w:bidi="ar-SA"/>
        </w:rPr>
        <w:t>满足产业孵化园用电需求，改善就业环境，促进农户就近就业，吸纳脱贫户及监测户≥10人就业。</w:t>
      </w:r>
    </w:p>
    <w:p w14:paraId="474A7BF0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7.</w:t>
      </w:r>
      <w:r>
        <w:rPr>
          <w:rFonts w:hint="eastAsia" w:ascii="仿宋" w:hAnsi="仿宋" w:eastAsia="仿宋" w:cs="仿宋"/>
          <w:sz w:val="28"/>
          <w:szCs w:val="28"/>
        </w:rPr>
        <w:t>3社会效益</w:t>
      </w:r>
    </w:p>
    <w:p w14:paraId="444CFFCB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仿宋_GB2312" w:eastAsia="仿宋_GB2312" w:cs="Times New Roman"/>
          <w:kern w:val="0"/>
          <w:sz w:val="28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0"/>
          <w:sz w:val="28"/>
          <w:szCs w:val="30"/>
          <w:lang w:val="en-US" w:eastAsia="zh-CN" w:bidi="ar-SA"/>
        </w:rPr>
        <w:t>产业孵化园的发展能够创造大量就业机会，吸引外出务工人员返乡就业创业，增加居民收入。同时，企业的发展壮大也将带动上下游产业链的协同发展，促进当地经济繁荣，提升麦盖提县吐曼塔勒乡的整体经济实力。</w:t>
      </w:r>
    </w:p>
    <w:p w14:paraId="40D17298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7.</w:t>
      </w:r>
      <w:r>
        <w:rPr>
          <w:rFonts w:hint="eastAsia" w:ascii="仿宋" w:hAnsi="仿宋" w:eastAsia="仿宋" w:cs="仿宋"/>
          <w:sz w:val="28"/>
          <w:szCs w:val="28"/>
        </w:rPr>
        <w:t>4生态效益</w:t>
      </w:r>
    </w:p>
    <w:p w14:paraId="36F2DD84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7.</w:t>
      </w:r>
      <w:r>
        <w:rPr>
          <w:rFonts w:hint="eastAsia" w:ascii="仿宋" w:hAnsi="仿宋" w:eastAsia="仿宋" w:cs="仿宋"/>
          <w:sz w:val="28"/>
          <w:szCs w:val="28"/>
        </w:rPr>
        <w:t>5可持续性影响</w:t>
      </w:r>
    </w:p>
    <w:p w14:paraId="5A48DFEB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仿宋_GB2312" w:eastAsia="仿宋_GB2312" w:cs="Times New Roman"/>
          <w:kern w:val="0"/>
          <w:sz w:val="28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0"/>
          <w:sz w:val="28"/>
          <w:szCs w:val="30"/>
          <w:lang w:val="en-US" w:eastAsia="zh-CN" w:bidi="ar-SA"/>
        </w:rPr>
        <w:t>本项目建成后项目持续运行期限不低于15年。电力作为重要的基础设施，对于产业孵化园的长远发展至关重要。完善的电力设施不仅能够提高园区的竞争力，还能为后续的基础设施建设和公共服务提升奠定坚实基础。</w:t>
      </w:r>
    </w:p>
    <w:p w14:paraId="4FB2589E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outlineLvl w:val="0"/>
        <w:rPr>
          <w:rFonts w:ascii="方正楷体简体" w:hAnsi="方正楷体简体" w:eastAsia="方正楷体简体" w:cs="方正楷体简体"/>
          <w:sz w:val="28"/>
          <w:szCs w:val="28"/>
        </w:rPr>
      </w:pPr>
    </w:p>
    <w:sectPr>
      <w:pgSz w:w="11906" w:h="16838"/>
      <w:pgMar w:top="1984" w:right="1531" w:bottom="1701" w:left="1531" w:header="851" w:footer="992" w:gutter="0"/>
      <w:cols w:space="425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Yb2gj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4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89"/>
    <w:rsid w:val="00036ACC"/>
    <w:rsid w:val="00096F1A"/>
    <w:rsid w:val="001C0158"/>
    <w:rsid w:val="00286DB6"/>
    <w:rsid w:val="00290EF7"/>
    <w:rsid w:val="0036566E"/>
    <w:rsid w:val="00407F2D"/>
    <w:rsid w:val="004B669C"/>
    <w:rsid w:val="00577A4A"/>
    <w:rsid w:val="0092513B"/>
    <w:rsid w:val="00A0692A"/>
    <w:rsid w:val="00A06F97"/>
    <w:rsid w:val="00A21A15"/>
    <w:rsid w:val="00A400FD"/>
    <w:rsid w:val="00B24B29"/>
    <w:rsid w:val="00DC3189"/>
    <w:rsid w:val="00E165F2"/>
    <w:rsid w:val="020E7EB7"/>
    <w:rsid w:val="04E62892"/>
    <w:rsid w:val="091B02D8"/>
    <w:rsid w:val="0A136190"/>
    <w:rsid w:val="0CD1749B"/>
    <w:rsid w:val="1888740D"/>
    <w:rsid w:val="1A584B63"/>
    <w:rsid w:val="1E1660C5"/>
    <w:rsid w:val="1E6E30FE"/>
    <w:rsid w:val="208C2876"/>
    <w:rsid w:val="209020F7"/>
    <w:rsid w:val="22AF5101"/>
    <w:rsid w:val="261A0C88"/>
    <w:rsid w:val="29A11F55"/>
    <w:rsid w:val="2DC66C82"/>
    <w:rsid w:val="328C0773"/>
    <w:rsid w:val="36E57249"/>
    <w:rsid w:val="37E071AC"/>
    <w:rsid w:val="3A2B2D7A"/>
    <w:rsid w:val="3C8D220B"/>
    <w:rsid w:val="3CEC23BE"/>
    <w:rsid w:val="3DF26BEC"/>
    <w:rsid w:val="3EE0082F"/>
    <w:rsid w:val="3FAC311E"/>
    <w:rsid w:val="4A3C32E7"/>
    <w:rsid w:val="4BD25714"/>
    <w:rsid w:val="4C2E58E4"/>
    <w:rsid w:val="4E0B195A"/>
    <w:rsid w:val="622D0D14"/>
    <w:rsid w:val="6535126D"/>
    <w:rsid w:val="674555B8"/>
    <w:rsid w:val="6D012174"/>
    <w:rsid w:val="6EF308E2"/>
    <w:rsid w:val="6FB8461B"/>
    <w:rsid w:val="6FF73669"/>
    <w:rsid w:val="71E4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 w:cs="Arial"/>
      <w:b/>
      <w:bCs/>
      <w:kern w:val="44"/>
      <w:sz w:val="28"/>
      <w:szCs w:val="44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HYb2gj" w:hAnsi="Times New Roman" w:eastAsia="HYb2gj" w:cs="HYb2gj"/>
      <w:color w:val="000000"/>
      <w:sz w:val="24"/>
      <w:szCs w:val="24"/>
      <w:lang w:val="en-US" w:eastAsia="zh-CN" w:bidi="ar-SA"/>
    </w:rPr>
  </w:style>
  <w:style w:type="character" w:customStyle="1" w:styleId="10">
    <w:name w:val="标题 1 字符"/>
    <w:basedOn w:val="8"/>
    <w:link w:val="3"/>
    <w:qFormat/>
    <w:uiPriority w:val="9"/>
    <w:rPr>
      <w:rFonts w:ascii="Times New Roman" w:hAnsi="Times New Roman" w:eastAsia="黑体" w:cs="Arial"/>
      <w:b/>
      <w:bCs/>
      <w:kern w:val="44"/>
      <w:sz w:val="28"/>
      <w:szCs w:val="44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2647</Words>
  <Characters>2826</Characters>
  <Lines>21</Lines>
  <Paragraphs>6</Paragraphs>
  <TotalTime>1</TotalTime>
  <ScaleCrop>false</ScaleCrop>
  <LinksUpToDate>false</LinksUpToDate>
  <CharactersWithSpaces>2853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2020-01-26T00:42:00Z</dcterms:created>
  <dc:creator>ThinkPad</dc:creator>
  <cp:lastModifiedBy>WPS_1670858713</cp:lastModifiedBy>
  <cp:lastPrinted>2025-05-13T02:15:36Z</cp:lastPrinted>
  <dcterms:modified xsi:type="dcterms:W3CDTF">2025-05-13T02:15:48Z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62B734851B204B5D8BF87714182BD4F7_13</vt:lpwstr>
  </property>
  <property fmtid="{D5CDD505-2E9C-101B-9397-08002B2CF9AE}" pid="4" name="KSOTemplateDocerSaveRecord">
    <vt:lpwstr>eyJoZGlkIjoiOWU2NzJjMzkyZTBhOTk1ODEzMmQwY2ExNTgwMjZmMDYiLCJ1c2VySWQiOiIxNDU5MzAyMzc0In0=</vt:lpwstr>
  </property>
</Properties>
</file>