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386D80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before="0" w:after="0" w:line="240" w:lineRule="auto"/>
        <w:ind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0"/>
          <w:sz w:val="40"/>
          <w:szCs w:val="40"/>
          <w:highlight w:val="none"/>
          <w:lang w:val="en-US" w:eastAsia="zh-CN" w:bidi="zh-CN"/>
          <w14:ligatures w14:val="none"/>
        </w:rPr>
      </w:pPr>
      <w:bookmarkStart w:id="0" w:name="_Toc209426600"/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0"/>
          <w:sz w:val="40"/>
          <w:szCs w:val="40"/>
          <w:highlight w:val="none"/>
          <w:lang w:val="en-US" w:eastAsia="zh-CN" w:bidi="zh-CN"/>
          <w14:ligatures w14:val="none"/>
        </w:rPr>
        <w:t>麦盖提县农业农村现代化发展“十五五”规划</w:t>
      </w:r>
    </w:p>
    <w:p w14:paraId="6CDB7F4B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spacing w:before="0" w:after="0" w:line="0" w:lineRule="atLeast"/>
        <w:ind w:firstLine="0" w:firstLineChars="0"/>
        <w:jc w:val="center"/>
        <w:textAlignment w:val="auto"/>
        <w:rPr>
          <w:rFonts w:hint="eastAsia" w:ascii="Times New Roman" w:hAnsi="Times New Roman" w:eastAsia="方正楷体_GBK" w:cs="Times New Roman"/>
          <w:b/>
          <w:bCs/>
          <w:color w:val="auto"/>
          <w:sz w:val="36"/>
          <w:szCs w:val="36"/>
          <w:highlight w:val="none"/>
          <w:lang w:val="en-US" w:eastAsia="zh-CN"/>
          <w14:ligatures w14:val="none"/>
        </w:rPr>
      </w:pPr>
      <w:r>
        <w:rPr>
          <w:rFonts w:hint="eastAsia" w:ascii="Times New Roman" w:hAnsi="Times New Roman" w:eastAsia="方正楷体_GBK" w:cs="Times New Roman"/>
          <w:b/>
          <w:bCs/>
          <w:color w:val="auto"/>
          <w:sz w:val="36"/>
          <w:szCs w:val="36"/>
          <w:highlight w:val="none"/>
          <w:lang w:val="en-US" w:eastAsia="zh-CN"/>
          <w14:ligatures w14:val="none"/>
        </w:rPr>
        <w:t>（</w:t>
      </w:r>
      <w:r>
        <w:rPr>
          <w:rFonts w:hint="eastAsia" w:eastAsia="方正楷体_GBK" w:cs="Times New Roman"/>
          <w:b/>
          <w:bCs/>
          <w:color w:val="auto"/>
          <w:sz w:val="36"/>
          <w:szCs w:val="36"/>
          <w:highlight w:val="none"/>
          <w:lang w:val="en-US" w:eastAsia="zh-CN"/>
          <w14:ligatures w14:val="none"/>
        </w:rPr>
        <w:t>社会公开稿</w:t>
      </w:r>
      <w:r>
        <w:rPr>
          <w:rFonts w:hint="eastAsia" w:ascii="Times New Roman" w:hAnsi="Times New Roman" w:eastAsia="方正楷体_GBK" w:cs="Times New Roman"/>
          <w:b/>
          <w:bCs/>
          <w:color w:val="auto"/>
          <w:sz w:val="36"/>
          <w:szCs w:val="36"/>
          <w:highlight w:val="none"/>
          <w:lang w:val="en-US" w:eastAsia="zh-CN"/>
          <w14:ligatures w14:val="none"/>
        </w:rPr>
        <w:t>）</w:t>
      </w:r>
    </w:p>
    <w:p w14:paraId="4AE2DC2B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360" w:lineRule="auto"/>
        <w:ind w:left="0" w:leftChars="0" w:right="0" w:rightChars="0" w:firstLine="0" w:firstLineChars="0"/>
        <w:jc w:val="center"/>
        <w:textAlignment w:val="auto"/>
        <w:rPr>
          <w:rFonts w:hint="eastAsia" w:ascii="Times New Roman" w:hAnsi="Times New Roman" w:eastAsia="方正黑体_GBK" w:cs="方正黑体_GBK"/>
          <w:b w:val="0"/>
          <w:bCs w:val="0"/>
          <w:color w:val="auto"/>
          <w:kern w:val="2"/>
          <w:sz w:val="44"/>
          <w:szCs w:val="44"/>
          <w:highlight w:val="none"/>
          <w:lang w:val="en-US" w:eastAsia="zh-CN" w:bidi="ar-SA"/>
          <w14:ligatures w14:val="none"/>
        </w:rPr>
      </w:pPr>
    </w:p>
    <w:p w14:paraId="6B2208FD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360" w:lineRule="auto"/>
        <w:ind w:left="0" w:leftChars="0" w:right="0" w:rightChars="0" w:firstLine="0" w:firstLineChars="0"/>
        <w:jc w:val="center"/>
        <w:textAlignment w:val="auto"/>
        <w:rPr>
          <w:rFonts w:hint="eastAsia" w:ascii="Times New Roman" w:hAnsi="Times New Roman" w:eastAsia="方正黑体_GBK" w:cs="方正黑体_GBK"/>
          <w:b w:val="0"/>
          <w:bCs w:val="0"/>
          <w:color w:val="auto"/>
          <w:kern w:val="2"/>
          <w:sz w:val="44"/>
          <w:szCs w:val="44"/>
          <w:highlight w:val="none"/>
          <w:lang w:val="en-US" w:eastAsia="zh-CN" w:bidi="ar-SA"/>
          <w14:ligatures w14:val="none"/>
        </w:rPr>
      </w:pPr>
    </w:p>
    <w:p w14:paraId="72C1D0C0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方正仿宋_GBK" w:cs="方正仿宋_GBK"/>
          <w:b w:val="0"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方正仿宋_GBK" w:cs="方正仿宋_GBK"/>
          <w:b w:val="0"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“十五五”时期（2026-2030年）是</w:t>
      </w:r>
      <w:r>
        <w:rPr>
          <w:rFonts w:hint="eastAsia" w:eastAsia="方正仿宋_GBK" w:cs="方正仿宋_GBK"/>
          <w:b w:val="0"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中</w:t>
      </w:r>
      <w:r>
        <w:rPr>
          <w:rFonts w:hint="eastAsia" w:ascii="Times New Roman" w:hAnsi="Times New Roman" w:eastAsia="方正仿宋_GBK" w:cs="方正仿宋_GBK"/>
          <w:b w:val="0"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国全面建设社会主义现代化国家</w:t>
      </w:r>
      <w:r>
        <w:rPr>
          <w:rFonts w:hint="eastAsia" w:eastAsia="方正仿宋_GBK" w:cs="方正仿宋_GBK"/>
          <w:b w:val="0"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新征程</w:t>
      </w:r>
      <w:r>
        <w:rPr>
          <w:rFonts w:hint="eastAsia" w:ascii="Times New Roman" w:hAnsi="Times New Roman" w:eastAsia="方正仿宋_GBK" w:cs="方正仿宋_GBK"/>
          <w:b w:val="0"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的关键五年，也是</w:t>
      </w:r>
      <w:r>
        <w:rPr>
          <w:rFonts w:hint="eastAsia" w:eastAsia="方正仿宋_GBK" w:cs="方正仿宋_GBK"/>
          <w:b w:val="0"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加快</w:t>
      </w:r>
      <w:r>
        <w:rPr>
          <w:rFonts w:hint="eastAsia" w:ascii="Times New Roman" w:hAnsi="Times New Roman" w:eastAsia="方正仿宋_GBK" w:cs="方正仿宋_GBK"/>
          <w:b w:val="0"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农业农村现代化、</w:t>
      </w:r>
      <w:r>
        <w:rPr>
          <w:rFonts w:hint="eastAsia" w:eastAsia="方正仿宋_GBK" w:cs="方正仿宋_GBK"/>
          <w:b w:val="0"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扎实推进</w:t>
      </w:r>
      <w:r>
        <w:rPr>
          <w:rFonts w:hint="eastAsia" w:ascii="Times New Roman" w:hAnsi="Times New Roman" w:eastAsia="方正仿宋_GBK" w:cs="方正仿宋_GBK"/>
          <w:b w:val="0"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乡村振兴的战略攻坚期。本规划</w:t>
      </w:r>
      <w:r>
        <w:rPr>
          <w:rFonts w:hint="eastAsia" w:eastAsia="方正仿宋_GBK" w:cs="方正仿宋_GBK"/>
          <w:b w:val="0"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坚持</w:t>
      </w:r>
      <w:r>
        <w:rPr>
          <w:rFonts w:hint="eastAsia" w:ascii="Times New Roman" w:hAnsi="Times New Roman" w:eastAsia="方正仿宋_GBK" w:cs="方正仿宋_GBK"/>
          <w:b w:val="0"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以习近平新时代中国特色社会主义思想为指导，</w:t>
      </w:r>
      <w:r>
        <w:rPr>
          <w:rFonts w:hint="eastAsia" w:eastAsia="方正仿宋_GBK" w:cs="方正仿宋_GBK"/>
          <w:b w:val="0"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深入贯彻落实习近平总书记关于“三农”工作重要论述和重要指示精神，</w:t>
      </w:r>
      <w:r>
        <w:rPr>
          <w:rFonts w:hint="eastAsia" w:ascii="Times New Roman" w:hAnsi="Times New Roman" w:eastAsia="方正仿宋_GBK" w:cs="方正仿宋_GBK"/>
          <w:b w:val="0"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完整、准确、全面贯彻</w:t>
      </w:r>
      <w:r>
        <w:rPr>
          <w:rFonts w:hint="eastAsia" w:eastAsia="方正仿宋_GBK" w:cs="方正仿宋_GBK"/>
          <w:b w:val="0"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新时代党的治疆方略，坚持和加强党对“三农”工作的全面领导，完整准确全面贯彻新发展理念，</w:t>
      </w:r>
      <w:r>
        <w:rPr>
          <w:rFonts w:hint="eastAsia" w:ascii="Times New Roman" w:hAnsi="Times New Roman" w:eastAsia="方正仿宋_GBK" w:cs="方正仿宋_GBK"/>
          <w:b w:val="0"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系统构建“粮食安全为底线、科技创新为驱动、绿色低碳为导向、城乡融合为路径、共同富裕为目标”的发展体系，推动实现农业增效益、农村增活力、农民增收入，不断开创“三农”工作新局面，为2035年基本实现农业农村现代化奠定坚实基础。</w:t>
      </w:r>
    </w:p>
    <w:p w14:paraId="49E4F60D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360" w:lineRule="auto"/>
        <w:ind w:left="0" w:leftChars="0" w:right="0" w:rightChars="0" w:firstLine="0" w:firstLineChars="0"/>
        <w:jc w:val="center"/>
        <w:textAlignment w:val="auto"/>
        <w:rPr>
          <w:rFonts w:hint="eastAsia" w:ascii="Times New Roman" w:hAnsi="Times New Roman" w:eastAsia="方正黑体_GBK" w:cs="方正黑体_GBK"/>
          <w:b w:val="0"/>
          <w:bCs w:val="0"/>
          <w:color w:val="auto"/>
          <w:kern w:val="2"/>
          <w:sz w:val="44"/>
          <w:szCs w:val="44"/>
          <w:highlight w:val="none"/>
          <w:lang w:val="en-US" w:eastAsia="zh-CN" w:bidi="ar-SA"/>
          <w14:ligatures w14:val="none"/>
        </w:rPr>
      </w:pPr>
    </w:p>
    <w:p w14:paraId="54977176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360" w:lineRule="auto"/>
        <w:ind w:left="0" w:leftChars="0" w:right="0" w:rightChars="0" w:firstLine="0" w:firstLineChars="0"/>
        <w:jc w:val="center"/>
        <w:textAlignment w:val="auto"/>
        <w:rPr>
          <w:rFonts w:hint="eastAsia" w:ascii="Times New Roman" w:hAnsi="Times New Roman" w:eastAsia="方正黑体_GBK" w:cs="方正黑体_GBK"/>
          <w:b w:val="0"/>
          <w:bCs w:val="0"/>
          <w:color w:val="auto"/>
          <w:kern w:val="2"/>
          <w:sz w:val="44"/>
          <w:szCs w:val="44"/>
          <w:highlight w:val="none"/>
          <w:lang w:val="en-US" w:eastAsia="zh-CN" w:bidi="ar-SA"/>
          <w14:ligatures w14:val="none"/>
        </w:rPr>
      </w:pPr>
    </w:p>
    <w:p w14:paraId="60C61E52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360" w:lineRule="auto"/>
        <w:ind w:left="0" w:leftChars="0" w:right="0" w:rightChars="0" w:firstLine="0" w:firstLineChars="0"/>
        <w:jc w:val="center"/>
        <w:textAlignment w:val="auto"/>
        <w:rPr>
          <w:rFonts w:hint="eastAsia" w:ascii="Times New Roman" w:hAnsi="Times New Roman" w:eastAsia="方正黑体_GBK" w:cs="方正黑体_GBK"/>
          <w:b w:val="0"/>
          <w:bCs w:val="0"/>
          <w:color w:val="auto"/>
          <w:kern w:val="2"/>
          <w:sz w:val="44"/>
          <w:szCs w:val="44"/>
          <w:highlight w:val="none"/>
          <w:lang w:val="en-US" w:eastAsia="zh-CN" w:bidi="ar-SA"/>
          <w14:ligatures w14:val="none"/>
        </w:rPr>
      </w:pPr>
    </w:p>
    <w:p w14:paraId="14DDA22F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360" w:lineRule="auto"/>
        <w:ind w:left="0" w:leftChars="0" w:right="0" w:rightChars="0" w:firstLine="0" w:firstLineChars="0"/>
        <w:jc w:val="center"/>
        <w:textAlignment w:val="auto"/>
        <w:rPr>
          <w:rFonts w:hint="eastAsia" w:ascii="Times New Roman" w:hAnsi="Times New Roman" w:eastAsia="方正黑体_GBK" w:cs="方正黑体_GBK"/>
          <w:b w:val="0"/>
          <w:bCs w:val="0"/>
          <w:color w:val="auto"/>
          <w:kern w:val="2"/>
          <w:sz w:val="44"/>
          <w:szCs w:val="44"/>
          <w:highlight w:val="none"/>
          <w:lang w:val="en-US" w:eastAsia="zh-CN" w:bidi="ar-SA"/>
          <w14:ligatures w14:val="none"/>
        </w:rPr>
      </w:pPr>
    </w:p>
    <w:p w14:paraId="4AD4BC11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360" w:lineRule="auto"/>
        <w:ind w:left="0" w:leftChars="0" w:right="0" w:rightChars="0" w:firstLine="0" w:firstLineChars="0"/>
        <w:jc w:val="center"/>
        <w:textAlignment w:val="auto"/>
        <w:rPr>
          <w:rFonts w:hint="eastAsia" w:ascii="Times New Roman" w:hAnsi="Times New Roman" w:eastAsia="方正黑体_GBK" w:cs="方正黑体_GBK"/>
          <w:b w:val="0"/>
          <w:bCs w:val="0"/>
          <w:color w:val="auto"/>
          <w:kern w:val="2"/>
          <w:sz w:val="44"/>
          <w:szCs w:val="44"/>
          <w:highlight w:val="none"/>
          <w:lang w:val="en-US" w:eastAsia="zh-CN" w:bidi="ar-SA"/>
          <w14:ligatures w14:val="none"/>
        </w:rPr>
      </w:pPr>
    </w:p>
    <w:p w14:paraId="6BC75D7F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360" w:lineRule="auto"/>
        <w:ind w:left="0" w:leftChars="0" w:right="0" w:rightChars="0" w:firstLine="0" w:firstLineChars="0"/>
        <w:jc w:val="center"/>
        <w:textAlignment w:val="auto"/>
        <w:rPr>
          <w:rFonts w:hint="eastAsia" w:ascii="Times New Roman" w:hAnsi="Times New Roman" w:eastAsia="方正黑体_GBK" w:cs="方正黑体_GBK"/>
          <w:b w:val="0"/>
          <w:bCs w:val="0"/>
          <w:color w:val="auto"/>
          <w:kern w:val="2"/>
          <w:sz w:val="44"/>
          <w:szCs w:val="44"/>
          <w:highlight w:val="none"/>
          <w:lang w:val="en-US" w:eastAsia="zh-CN" w:bidi="ar-SA"/>
          <w14:ligatures w14:val="none"/>
        </w:rPr>
      </w:pPr>
      <w:r>
        <w:rPr>
          <w:rFonts w:hint="eastAsia" w:ascii="Times New Roman" w:hAnsi="Times New Roman" w:eastAsia="方正黑体_GBK" w:cs="方正黑体_GBK"/>
          <w:b w:val="0"/>
          <w:bCs w:val="0"/>
          <w:color w:val="auto"/>
          <w:kern w:val="2"/>
          <w:sz w:val="44"/>
          <w:szCs w:val="44"/>
          <w:highlight w:val="none"/>
          <w:lang w:val="en-US" w:eastAsia="zh-CN" w:bidi="ar-SA"/>
          <w14:ligatures w14:val="none"/>
        </w:rPr>
        <w:t>目 录</w:t>
      </w:r>
    </w:p>
    <w:p w14:paraId="52E69BBD">
      <w:pPr>
        <w:pStyle w:val="7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2"/>
        <w:textAlignment w:val="auto"/>
        <w:rPr>
          <w:rFonts w:hint="eastAsia" w:ascii="Times New Roman" w:hAnsi="Times New Roman" w:eastAsiaTheme="minorEastAsia"/>
          <w:b w:val="0"/>
          <w:bCs w:val="0"/>
          <w:color w:val="auto"/>
          <w:sz w:val="22"/>
          <w:highlight w:val="none"/>
        </w:rPr>
      </w:pPr>
      <w:r>
        <w:rPr>
          <w:rFonts w:ascii="Times New Roman" w:hAnsi="Times New Roman"/>
          <w:b w:val="0"/>
          <w:bCs w:val="0"/>
          <w:color w:val="auto"/>
          <w:highlight w:val="none"/>
        </w:rPr>
        <w:fldChar w:fldCharType="begin"/>
      </w:r>
      <w:r>
        <w:rPr>
          <w:rFonts w:ascii="Times New Roman" w:hAnsi="Times New Roman"/>
          <w:b w:val="0"/>
          <w:bCs w:val="0"/>
          <w:color w:val="auto"/>
          <w:highlight w:val="none"/>
        </w:rPr>
        <w:instrText xml:space="preserve"> TOC \o "1-2" \h \z \u </w:instrText>
      </w:r>
      <w:r>
        <w:rPr>
          <w:rFonts w:ascii="Times New Roman" w:hAnsi="Times New Roman"/>
          <w:b w:val="0"/>
          <w:bCs w:val="0"/>
          <w:color w:val="auto"/>
          <w:highlight w:val="none"/>
        </w:rPr>
        <w:fldChar w:fldCharType="separate"/>
      </w:r>
      <w:r>
        <w:rPr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instrText xml:space="preserve"> HYPERLINK \l "_Toc209426600" </w:instrText>
      </w:r>
      <w:r>
        <w:rPr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t>第一章 发展基础与环境</w:t>
      </w:r>
      <w:r>
        <w:rPr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tab/>
      </w:r>
      <w:r>
        <w:rPr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instrText xml:space="preserve"> PAGEREF _Toc209426600 \h </w:instrText>
      </w:r>
      <w:r>
        <w:rPr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separate"/>
      </w:r>
      <w:r>
        <w:rPr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t>1</w:t>
      </w:r>
      <w:r>
        <w:rPr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end"/>
      </w:r>
      <w:r>
        <w:rPr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end"/>
      </w:r>
    </w:p>
    <w:p w14:paraId="2645CACB">
      <w:pPr>
        <w:pStyle w:val="8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2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HYPERLINK \l "_Toc209426601"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 xml:space="preserve">第一节 </w:t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  <w:lang w:eastAsia="zh-CN"/>
        </w:rPr>
        <w:t>“</w:t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十四五</w:t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  <w:lang w:eastAsia="zh-CN"/>
        </w:rPr>
        <w:t>”</w:t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 xml:space="preserve"> 主要成效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ab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PAGEREF _Toc209426601 \h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5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</w:p>
    <w:p w14:paraId="26BE128C">
      <w:pPr>
        <w:pStyle w:val="8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0"/>
        <w:textAlignment w:val="auto"/>
        <w:rPr>
          <w:rFonts w:hint="eastAsia" w:ascii="Times New Roman" w:hAnsi="Times New Roman" w:eastAsia="方正黑体_GBK" w:cs="方正黑体_GBK"/>
          <w:b w:val="0"/>
          <w:bCs w:val="0"/>
          <w:color w:val="auto"/>
          <w:sz w:val="2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HYPERLINK \l "_Toc209426602"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第二节 发展环境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ab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</w:p>
    <w:p w14:paraId="64257081">
      <w:pPr>
        <w:pStyle w:val="7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2"/>
        <w:textAlignment w:val="auto"/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</w:pP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begin"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instrText xml:space="preserve"> HYPERLINK \l "_Toc209426603" </w:instrText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t>第二章 总体要求及规划目标</w:t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tab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begin"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instrText xml:space="preserve"> PAGEREF _Toc209426603 \h </w:instrText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t>8</w:t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end"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end"/>
      </w:r>
    </w:p>
    <w:p w14:paraId="2DC9F755">
      <w:pPr>
        <w:pStyle w:val="8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2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HYPERLINK \l "_Toc209426604"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第一节 指导思想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ab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PAGEREF _Toc209426604 \h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8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</w:p>
    <w:p w14:paraId="0192D407">
      <w:pPr>
        <w:pStyle w:val="8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2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HYPERLINK \l "_Toc209426605"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第二节 基本原则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ab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PAGEREF _Toc209426605 \h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8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</w:p>
    <w:p w14:paraId="5A0EE8F6">
      <w:pPr>
        <w:pStyle w:val="8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0"/>
        <w:textAlignment w:val="auto"/>
        <w:rPr>
          <w:rFonts w:hint="eastAsia" w:ascii="Times New Roman" w:hAnsi="Times New Roman" w:eastAsiaTheme="minorEastAsia"/>
          <w:b w:val="0"/>
          <w:bCs w:val="0"/>
          <w:color w:val="auto"/>
          <w:sz w:val="2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HYPERLINK \l "_Toc209426606"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第三节 发展目标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ab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PAGEREF _Toc209426606 \h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9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</w:p>
    <w:p w14:paraId="616FC9BA">
      <w:pPr>
        <w:pStyle w:val="7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2"/>
        <w:textAlignment w:val="auto"/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</w:pP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begin"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instrText xml:space="preserve"> HYPERLINK \l "_Toc209426607" </w:instrText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t>第三章 优化产业布局</w:t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tab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begin"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instrText xml:space="preserve"> PAGEREF _Toc209426607 \h </w:instrText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t>9</w:t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end"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end"/>
      </w:r>
    </w:p>
    <w:p w14:paraId="0E6F6348">
      <w:pPr>
        <w:pStyle w:val="8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2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HYPERLINK \l "_Toc209426608"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第一节 优质粮棉种植区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ab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PAGEREF _Toc209426608 \h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10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</w:p>
    <w:p w14:paraId="3831A1D5">
      <w:pPr>
        <w:pStyle w:val="8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2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HYPERLINK \l "_Toc209426609"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 xml:space="preserve">第二节 </w:t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sz w:val="28"/>
          <w:szCs w:val="28"/>
          <w:highlight w:val="none"/>
        </w:rPr>
        <w:t>特色</w:t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sz w:val="28"/>
          <w:szCs w:val="28"/>
          <w:highlight w:val="none"/>
          <w:lang w:val="en-US" w:eastAsia="zh-CN"/>
        </w:rPr>
        <w:t>作物种植和水产养殖区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ab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PAGEREF _Toc209426609 \h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10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</w:p>
    <w:p w14:paraId="51306034">
      <w:pPr>
        <w:pStyle w:val="8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2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HYPERLINK \l "_Toc209426610"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第三节 设施农业生产区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ab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PAGEREF _Toc209426610 \h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10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</w:p>
    <w:p w14:paraId="6D468D30">
      <w:pPr>
        <w:pStyle w:val="8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2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HYPERLINK \l "_Toc209426611"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第四节 特色林果业发展区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ab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PAGEREF _Toc209426611 \h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11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</w:p>
    <w:p w14:paraId="03673EA0">
      <w:pPr>
        <w:pStyle w:val="8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2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HYPERLINK \l "_Toc209426612"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第五节 现代畜牧业养殖区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ab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PAGEREF _Toc209426612 \h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11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</w:p>
    <w:p w14:paraId="2C597405">
      <w:pPr>
        <w:pStyle w:val="8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0"/>
        <w:textAlignment w:val="auto"/>
        <w:rPr>
          <w:rFonts w:hint="eastAsia" w:ascii="Times New Roman" w:hAnsi="Times New Roman" w:eastAsiaTheme="minorEastAsia"/>
          <w:b w:val="0"/>
          <w:bCs w:val="0"/>
          <w:color w:val="auto"/>
          <w:sz w:val="2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HYPERLINK \l "_Toc209426613"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第六节 中草药</w:t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  <w:lang w:val="en-US" w:eastAsia="zh-CN"/>
        </w:rPr>
        <w:t>示范区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ab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PAGEREF _Toc209426613 \h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11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</w:p>
    <w:p w14:paraId="2BE2AB0B">
      <w:pPr>
        <w:pStyle w:val="7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2"/>
        <w:textAlignment w:val="auto"/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</w:pP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begin"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instrText xml:space="preserve"> HYPERLINK \l "_Toc209426614" </w:instrText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t>第四章 增强重要农产品供给保障能力</w:t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tab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begin"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instrText xml:space="preserve"> PAGEREF _Toc209426614 \h </w:instrText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t>11</w:t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end"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end"/>
      </w:r>
    </w:p>
    <w:p w14:paraId="10BF8610">
      <w:pPr>
        <w:pStyle w:val="8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2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HYPERLINK \l "_Toc209426615"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第一节 夯实农业生产能力基础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ab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PAGEREF _Toc209426615 \h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12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</w:p>
    <w:p w14:paraId="3BFF13FB">
      <w:pPr>
        <w:pStyle w:val="8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2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HYPERLINK \l "_Toc209426616"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第二节 提升粮食等重要农产品生产水平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ab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PAGEREF _Toc209426616 \h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12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</w:p>
    <w:p w14:paraId="3B21AECC">
      <w:pPr>
        <w:pStyle w:val="8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2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HYPERLINK \l "_Toc209426617"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 xml:space="preserve">第三节 </w:t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sz w:val="28"/>
          <w:szCs w:val="28"/>
          <w:highlight w:val="none"/>
        </w:rPr>
        <w:t>做优特色</w:t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sz w:val="28"/>
          <w:szCs w:val="28"/>
          <w:highlight w:val="none"/>
          <w:lang w:val="en-US" w:eastAsia="zh-CN"/>
        </w:rPr>
        <w:t>种植业和渔业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ab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PAGEREF _Toc209426617 \h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12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</w:p>
    <w:p w14:paraId="2A25C0D2">
      <w:pPr>
        <w:pStyle w:val="8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2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HYPERLINK \l "_Toc209426618"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 xml:space="preserve">第四节 </w:t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  <w:lang w:val="en-US" w:eastAsia="zh-CN"/>
        </w:rPr>
        <w:t>发展</w:t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设施农业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ab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PAGEREF _Toc209426618 \h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13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</w:p>
    <w:p w14:paraId="0084B920">
      <w:pPr>
        <w:pStyle w:val="8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2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HYPERLINK \l "_Toc209426619"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第五节 高效林果业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ab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PAGEREF _Toc209426619 \h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13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</w:p>
    <w:p w14:paraId="25750550">
      <w:pPr>
        <w:pStyle w:val="8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0"/>
        <w:textAlignment w:val="auto"/>
        <w:rPr>
          <w:rFonts w:hint="eastAsia" w:ascii="Times New Roman" w:hAnsi="Times New Roman" w:eastAsia="方正仿宋_GBK"/>
          <w:b w:val="0"/>
          <w:bCs w:val="0"/>
          <w:color w:val="auto"/>
          <w:sz w:val="2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HYPERLINK \l "_Toc209426620"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第六节 现代畜牧养殖业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ab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  <w:lang w:val="en-US" w:eastAsia="zh-CN"/>
        </w:rPr>
        <w:t>0</w:t>
      </w:r>
    </w:p>
    <w:p w14:paraId="7A6654E4">
      <w:pPr>
        <w:pStyle w:val="7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2"/>
        <w:textAlignment w:val="auto"/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</w:pP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begin"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instrText xml:space="preserve"> HYPERLINK \l "_Toc209426621" </w:instrText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t>第五章 强化农业科技支撑作用</w:t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tab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begin"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instrText xml:space="preserve"> PAGEREF _Toc209426621 \h </w:instrText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t>14</w:t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end"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end"/>
      </w:r>
    </w:p>
    <w:p w14:paraId="5137FC54">
      <w:pPr>
        <w:pStyle w:val="8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2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HYPERLINK \l "_Toc209426622"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第一节 农业科技推广服务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ab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PAGEREF _Toc209426622 \h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14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</w:p>
    <w:p w14:paraId="3A96DA66">
      <w:pPr>
        <w:pStyle w:val="8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2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HYPERLINK \l "_Toc209426623"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第二节 农业防灾减灾能力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ab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PAGEREF _Toc209426623 \h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15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</w:p>
    <w:p w14:paraId="43C00F54">
      <w:pPr>
        <w:pStyle w:val="8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2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HYPERLINK \l "_Toc209426624"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第三节 现代化预制种基地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ab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PAGEREF _Toc209426624 \h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15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</w:p>
    <w:p w14:paraId="4262F128">
      <w:pPr>
        <w:pStyle w:val="8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2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HYPERLINK \l "_Toc209426625"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第四节 农机装备升级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ab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PAGEREF _Toc209426625 \h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15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</w:p>
    <w:p w14:paraId="68CE4A4F">
      <w:pPr>
        <w:pStyle w:val="8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0"/>
        <w:textAlignment w:val="auto"/>
        <w:rPr>
          <w:rFonts w:hint="eastAsia" w:ascii="Times New Roman" w:hAnsi="Times New Roman" w:eastAsiaTheme="minorEastAsia"/>
          <w:b w:val="0"/>
          <w:bCs w:val="0"/>
          <w:color w:val="auto"/>
          <w:sz w:val="2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HYPERLINK \l "_Toc209426626"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第五节 数字技术与现代农业结合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ab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PAGEREF _Toc209426626 \h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15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</w:p>
    <w:p w14:paraId="478F780D">
      <w:pPr>
        <w:pStyle w:val="7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2"/>
        <w:textAlignment w:val="auto"/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</w:pP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begin"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instrText xml:space="preserve"> HYPERLINK \l "_Toc209426627" </w:instrText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t>第六章 完善现代农业经营体系</w:t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tab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begin"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instrText xml:space="preserve"> PAGEREF _Toc209426627 \h </w:instrText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t>16</w:t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end"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end"/>
      </w:r>
    </w:p>
    <w:p w14:paraId="0C2539E9">
      <w:pPr>
        <w:pStyle w:val="8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2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HYPERLINK \l "_Toc209426628"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第一节 农业农村改革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ab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PAGEREF _Toc209426628 \h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16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</w:p>
    <w:p w14:paraId="2A6A1185">
      <w:pPr>
        <w:pStyle w:val="8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2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HYPERLINK \l "_Toc209426629"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第二节 土地承包租赁机制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ab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PAGEREF _Toc209426629 \h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16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</w:p>
    <w:p w14:paraId="55C6D010">
      <w:pPr>
        <w:pStyle w:val="8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2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HYPERLINK \l "_Toc209426630"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第三节 家庭经营集约化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ab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PAGEREF _Toc209426630 \h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17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</w:p>
    <w:p w14:paraId="023E7E84">
      <w:pPr>
        <w:pStyle w:val="8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2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HYPERLINK \l "_Toc209426631"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第四节 农村集体经济活权赋能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ab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PAGEREF _Toc209426631 \h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17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</w:p>
    <w:p w14:paraId="787DB811">
      <w:pPr>
        <w:pStyle w:val="8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2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HYPERLINK \l "_Toc209426632"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第五节 新型农业经营主体提质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ab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PAGEREF _Toc209426632 \h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17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</w:p>
    <w:p w14:paraId="1C2EA560">
      <w:pPr>
        <w:pStyle w:val="8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2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HYPERLINK \l "_Toc209426633"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第六节 农业社会化服务体系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ab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PAGEREF _Toc209426633 \h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18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  <w:bookmarkStart w:id="62" w:name="_GoBack"/>
      <w:bookmarkEnd w:id="62"/>
    </w:p>
    <w:p w14:paraId="66D1DA7F">
      <w:pPr>
        <w:pStyle w:val="8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0"/>
        <w:textAlignment w:val="auto"/>
        <w:rPr>
          <w:rFonts w:hint="eastAsia" w:ascii="Times New Roman" w:hAnsi="Times New Roman" w:eastAsiaTheme="minorEastAsia"/>
          <w:b w:val="0"/>
          <w:bCs w:val="0"/>
          <w:color w:val="auto"/>
          <w:sz w:val="2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HYPERLINK \l "_Toc209426634"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第七节 农业援疆推进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ab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PAGEREF _Toc209426634 \h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18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</w:p>
    <w:p w14:paraId="244757AF">
      <w:pPr>
        <w:pStyle w:val="7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2"/>
        <w:textAlignment w:val="auto"/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</w:pP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begin"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instrText xml:space="preserve"> HYPERLINK \l "_Toc209426635" </w:instrText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t>第七章 推进农业产业全链条升级</w:t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tab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begin"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instrText xml:space="preserve"> PAGEREF _Toc209426635 \h </w:instrText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t>18</w:t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end"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end"/>
      </w:r>
    </w:p>
    <w:p w14:paraId="5011370B">
      <w:pPr>
        <w:pStyle w:val="8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2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HYPERLINK \l "_Toc209426636"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第一节 农产品加工流通升级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ab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PAGEREF _Toc209426636 \h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18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</w:p>
    <w:p w14:paraId="1F3F7067">
      <w:pPr>
        <w:pStyle w:val="8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2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HYPERLINK \l "_Toc209426637"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第二节 农业品牌化提升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ab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PAGEREF _Toc209426637 \h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18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</w:p>
    <w:p w14:paraId="5B46DD27">
      <w:pPr>
        <w:pStyle w:val="8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2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HYPERLINK \l "_Toc209426638"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第三节 乡村特色产业发展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ab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PAGEREF _Toc209426638 \h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19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</w:p>
    <w:p w14:paraId="1F02A7C3">
      <w:pPr>
        <w:pStyle w:val="8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2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HYPERLINK \l "_Toc209426639"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第四节 产业融合发展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ab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PAGEREF _Toc209426639 \h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19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</w:p>
    <w:p w14:paraId="561DC98D">
      <w:pPr>
        <w:pStyle w:val="8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0"/>
        <w:textAlignment w:val="auto"/>
        <w:rPr>
          <w:rFonts w:hint="eastAsia" w:ascii="Times New Roman" w:hAnsi="Times New Roman" w:eastAsiaTheme="minorEastAsia"/>
          <w:b w:val="0"/>
          <w:bCs w:val="0"/>
          <w:color w:val="auto"/>
          <w:sz w:val="2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HYPERLINK \l "_Toc209426640"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第五节 农业绿色转型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ab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PAGEREF _Toc209426640 \h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20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</w:p>
    <w:p w14:paraId="7BF1B031">
      <w:pPr>
        <w:pStyle w:val="7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2"/>
        <w:textAlignment w:val="auto"/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</w:pP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begin"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instrText xml:space="preserve"> HYPERLINK \l "_Toc209426641" </w:instrText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t>第八章 宜居宜业和美乡村建设</w:t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tab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begin"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instrText xml:space="preserve"> PAGEREF _Toc209426641 \h </w:instrText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t>20</w:t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end"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end"/>
      </w:r>
    </w:p>
    <w:p w14:paraId="4DA9DFA5">
      <w:pPr>
        <w:pStyle w:val="8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2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HYPERLINK \l "_Toc209426642"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第一节 乡村建设提升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ab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PAGEREF _Toc209426642 \h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20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</w:p>
    <w:p w14:paraId="5F944FA9">
      <w:pPr>
        <w:pStyle w:val="8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2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HYPERLINK \l "_Toc209426643"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第二节 乡村治理效能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ab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PAGEREF _Toc209426643 \h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20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</w:p>
    <w:p w14:paraId="46CDE8D5">
      <w:pPr>
        <w:pStyle w:val="8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2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HYPERLINK \l "_Toc209426644"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第三节 农村精神文明建设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ab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PAGEREF _Toc209426644 \h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21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</w:p>
    <w:p w14:paraId="0330B6D4">
      <w:pPr>
        <w:pStyle w:val="7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2"/>
        <w:textAlignment w:val="auto"/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</w:pP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begin"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instrText xml:space="preserve"> HYPERLINK \l "_Toc209426645" </w:instrText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t>第九章 促进农民增收致富</w:t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tab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begin"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instrText xml:space="preserve"> PAGEREF _Toc209426645 \h </w:instrText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t>21</w:t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end"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end"/>
      </w:r>
    </w:p>
    <w:p w14:paraId="3DFA8A8E">
      <w:pPr>
        <w:pStyle w:val="8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2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HYPERLINK \l "_Toc209426646"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第一节 农民素质提升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ab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PAGEREF _Toc209426646 \h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21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</w:p>
    <w:p w14:paraId="178FA089">
      <w:pPr>
        <w:pStyle w:val="8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2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HYPERLINK \l "_Toc209426647"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第二节 就业质量提高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ab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PAGEREF _Toc209426647 \h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21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</w:p>
    <w:p w14:paraId="1B0E99C7">
      <w:pPr>
        <w:pStyle w:val="8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2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HYPERLINK \l "_Toc209426648"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第三节 农民创新创业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ab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PAGEREF _Toc209426648 \h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22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</w:p>
    <w:p w14:paraId="33A1832F">
      <w:pPr>
        <w:pStyle w:val="8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0"/>
        <w:textAlignment w:val="auto"/>
        <w:rPr>
          <w:rFonts w:hint="eastAsia" w:ascii="Times New Roman" w:hAnsi="Times New Roman" w:eastAsiaTheme="minorEastAsia"/>
          <w:b w:val="0"/>
          <w:bCs w:val="0"/>
          <w:color w:val="auto"/>
          <w:sz w:val="2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HYPERLINK \l "_Toc209426649"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第四节 增收渠道拓宽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ab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PAGEREF _Toc209426649 \h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22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</w:p>
    <w:p w14:paraId="1FEE59A1">
      <w:pPr>
        <w:pStyle w:val="7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2"/>
        <w:textAlignment w:val="auto"/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</w:pP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begin"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instrText xml:space="preserve"> HYPERLINK \l "_Toc209426650" </w:instrText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t>第十章 促进融合发展</w:t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tab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begin"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instrText xml:space="preserve"> PAGEREF _Toc209426650 \h </w:instrText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t>22</w:t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end"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end"/>
      </w:r>
    </w:p>
    <w:p w14:paraId="08DE3935">
      <w:pPr>
        <w:pStyle w:val="8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2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HYPERLINK \l "_Toc209426651"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第一节 兵地融合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ab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PAGEREF _Toc209426651 \h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23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</w:p>
    <w:p w14:paraId="6D23DC07">
      <w:pPr>
        <w:pStyle w:val="8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2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HYPERLINK \l "_Toc209426652"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第二节 城乡融合发展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ab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PAGEREF _Toc209426652 \h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23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</w:p>
    <w:p w14:paraId="376D43C8">
      <w:pPr>
        <w:pStyle w:val="8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2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HYPERLINK \l "_Toc209426653"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第三节 防返贫机制完善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ab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PAGEREF _Toc209426653 \h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23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</w:p>
    <w:p w14:paraId="01135559">
      <w:pPr>
        <w:pStyle w:val="8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0"/>
        <w:jc w:val="both"/>
        <w:textAlignment w:val="auto"/>
        <w:rPr>
          <w:rFonts w:hint="eastAsia" w:ascii="Times New Roman" w:hAnsi="Times New Roman" w:eastAsiaTheme="minorEastAsia"/>
          <w:b w:val="0"/>
          <w:bCs w:val="0"/>
          <w:color w:val="auto"/>
          <w:sz w:val="2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HYPERLINK \l "_Toc209426654"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第四节 农业开放合作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ab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PAGEREF _Toc209426654 \h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23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</w:p>
    <w:p w14:paraId="3AF2B1B3">
      <w:pPr>
        <w:pStyle w:val="7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2"/>
        <w:textAlignment w:val="auto"/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</w:pP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begin"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instrText xml:space="preserve"> HYPERLINK \l "_Toc209426655" </w:instrText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t>第十一章 保障措施</w:t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tab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begin"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instrText xml:space="preserve"> PAGEREF _Toc209426655 \h </w:instrText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t>24</w:t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end"/>
      </w:r>
      <w:r>
        <w:rPr>
          <w:rStyle w:val="13"/>
          <w:rFonts w:hint="eastAsia" w:ascii="Times New Roman" w:hAnsi="Times New Roman" w:eastAsia="方正小标宋_GBK" w:cs="方正小标宋_GBK"/>
          <w:b w:val="0"/>
          <w:bCs w:val="0"/>
          <w:color w:val="auto"/>
          <w:highlight w:val="none"/>
        </w:rPr>
        <w:fldChar w:fldCharType="end"/>
      </w:r>
    </w:p>
    <w:p w14:paraId="33A96FDE">
      <w:pPr>
        <w:pStyle w:val="8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2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HYPERLINK \l "_Toc209426656"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第一节 组织领导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ab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PAGEREF _Toc209426656 \h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24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</w:p>
    <w:p w14:paraId="0F55D9E7">
      <w:pPr>
        <w:pStyle w:val="8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2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HYPERLINK \l "_Toc209426657"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第二节 衔接落实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ab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PAGEREF _Toc209426657 \h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24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</w:p>
    <w:p w14:paraId="4F69D216">
      <w:pPr>
        <w:pStyle w:val="8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2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HYPERLINK \l "_Toc209426658"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第三节 评估考核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ab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PAGEREF _Toc209426658 \h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24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</w:p>
    <w:p w14:paraId="17B2D6DD">
      <w:pPr>
        <w:pStyle w:val="8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2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HYPERLINK \l "_Toc209426659"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第四节 法制保障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ab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PAGEREF _Toc209426659 \h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25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</w:p>
    <w:p w14:paraId="6539CE75">
      <w:pPr>
        <w:pStyle w:val="8"/>
        <w:keepNext w:val="0"/>
        <w:keepLines w:val="0"/>
        <w:pageBreakBefore w:val="0"/>
        <w:widowControl w:val="0"/>
        <w:tabs>
          <w:tab w:val="right" w:leader="dot" w:pos="8296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56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2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HYPERLINK \l "_Toc209426660"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Style w:val="13"/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第五节 社会参与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ab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instrText xml:space="preserve"> PAGEREF _Toc209426660 \h </w:instrTex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separate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t>25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</w:rPr>
        <w:fldChar w:fldCharType="end"/>
      </w:r>
    </w:p>
    <w:p w14:paraId="4115603C">
      <w:pPr>
        <w:pStyle w:val="3"/>
        <w:keepNext w:val="0"/>
        <w:keepLines w:val="0"/>
        <w:pageBreakBefore w:val="0"/>
        <w:widowControl w:val="0"/>
        <w:tabs>
          <w:tab w:val="left" w:pos="1245"/>
        </w:tabs>
        <w:kinsoku/>
        <w:wordWrap/>
        <w:overflowPunct/>
        <w:topLinePunct/>
        <w:autoSpaceDE/>
        <w:autoSpaceDN/>
        <w:bidi w:val="0"/>
        <w:spacing w:before="0" w:after="0"/>
        <w:ind w:left="0" w:leftChars="0" w:firstLine="0" w:firstLineChars="0"/>
        <w:jc w:val="center"/>
        <w:textAlignment w:val="auto"/>
        <w:rPr>
          <w:rFonts w:ascii="Times New Roman" w:hAnsi="Times New Roman"/>
          <w:b w:val="0"/>
          <w:bCs w:val="0"/>
          <w:color w:val="auto"/>
          <w:highlight w:val="none"/>
        </w:rPr>
      </w:pPr>
      <w:r>
        <w:rPr>
          <w:rFonts w:ascii="Times New Roman" w:hAnsi="Times New Roman"/>
          <w:b w:val="0"/>
          <w:bCs w:val="0"/>
          <w:color w:val="auto"/>
          <w:highlight w:val="none"/>
        </w:rPr>
        <w:fldChar w:fldCharType="end"/>
      </w:r>
    </w:p>
    <w:p w14:paraId="6075E24E">
      <w:pPr>
        <w:pStyle w:val="3"/>
        <w:keepNext w:val="0"/>
        <w:keepLines w:val="0"/>
        <w:pageBreakBefore w:val="0"/>
        <w:widowControl w:val="0"/>
        <w:tabs>
          <w:tab w:val="left" w:pos="1245"/>
        </w:tabs>
        <w:kinsoku/>
        <w:wordWrap/>
        <w:overflowPunct/>
        <w:topLinePunct/>
        <w:autoSpaceDE/>
        <w:autoSpaceDN/>
        <w:bidi w:val="0"/>
        <w:spacing w:before="0" w:after="0"/>
        <w:ind w:left="0" w:leftChars="0" w:firstLine="0" w:firstLineChars="0"/>
        <w:jc w:val="center"/>
        <w:textAlignment w:val="auto"/>
        <w:rPr>
          <w:rFonts w:ascii="Times New Roman" w:hAnsi="Times New Roman"/>
          <w:b w:val="0"/>
          <w:bCs w:val="0"/>
          <w:color w:val="auto"/>
          <w:highlight w:val="none"/>
        </w:rPr>
      </w:pPr>
    </w:p>
    <w:p w14:paraId="7AF72C98">
      <w:pPr>
        <w:pStyle w:val="3"/>
        <w:keepNext w:val="0"/>
        <w:keepLines w:val="0"/>
        <w:pageBreakBefore w:val="0"/>
        <w:widowControl w:val="0"/>
        <w:tabs>
          <w:tab w:val="left" w:pos="1245"/>
        </w:tabs>
        <w:kinsoku/>
        <w:wordWrap/>
        <w:overflowPunct/>
        <w:topLinePunct/>
        <w:autoSpaceDE/>
        <w:autoSpaceDN/>
        <w:bidi w:val="0"/>
        <w:spacing w:before="0" w:after="0"/>
        <w:ind w:left="0" w:leftChars="0" w:firstLine="0" w:firstLineChars="0"/>
        <w:jc w:val="center"/>
        <w:textAlignment w:val="auto"/>
        <w:rPr>
          <w:rFonts w:ascii="Times New Roman" w:hAnsi="Times New Roman"/>
          <w:b w:val="0"/>
          <w:bCs w:val="0"/>
          <w:color w:val="auto"/>
          <w:highlight w:val="none"/>
        </w:rPr>
      </w:pPr>
    </w:p>
    <w:p w14:paraId="5DE4F7C9">
      <w:pPr>
        <w:pStyle w:val="3"/>
        <w:keepNext w:val="0"/>
        <w:keepLines w:val="0"/>
        <w:pageBreakBefore w:val="0"/>
        <w:widowControl w:val="0"/>
        <w:tabs>
          <w:tab w:val="left" w:pos="1245"/>
        </w:tabs>
        <w:kinsoku/>
        <w:wordWrap/>
        <w:overflowPunct/>
        <w:topLinePunct/>
        <w:autoSpaceDE/>
        <w:autoSpaceDN/>
        <w:bidi w:val="0"/>
        <w:spacing w:before="0" w:after="0"/>
        <w:ind w:left="0" w:leftChars="0" w:firstLine="0" w:firstLineChars="0"/>
        <w:jc w:val="center"/>
        <w:textAlignment w:val="auto"/>
        <w:rPr>
          <w:rFonts w:ascii="Times New Roman" w:hAnsi="Times New Roman"/>
          <w:b w:val="0"/>
          <w:bCs w:val="0"/>
          <w:color w:val="auto"/>
          <w:highlight w:val="none"/>
        </w:rPr>
      </w:pPr>
    </w:p>
    <w:p w14:paraId="0C80B78A">
      <w:pPr>
        <w:pStyle w:val="3"/>
        <w:keepNext w:val="0"/>
        <w:keepLines w:val="0"/>
        <w:pageBreakBefore w:val="0"/>
        <w:widowControl w:val="0"/>
        <w:tabs>
          <w:tab w:val="left" w:pos="1245"/>
        </w:tabs>
        <w:kinsoku/>
        <w:wordWrap/>
        <w:overflowPunct/>
        <w:topLinePunct/>
        <w:autoSpaceDE/>
        <w:autoSpaceDN/>
        <w:bidi w:val="0"/>
        <w:spacing w:before="0" w:after="0"/>
        <w:ind w:left="0" w:leftChars="0" w:firstLine="0" w:firstLineChars="0"/>
        <w:jc w:val="center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</w:rPr>
        <w:t>第一章 发展基础与环境</w:t>
      </w:r>
      <w:bookmarkEnd w:id="0"/>
      <w:bookmarkStart w:id="1" w:name="_Toc209426601"/>
    </w:p>
    <w:p w14:paraId="455213F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before="0" w:after="0" w:line="57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val="en-US" w:eastAsia="zh-CN"/>
        </w:rPr>
      </w:pPr>
    </w:p>
    <w:p w14:paraId="559FF775">
      <w:pPr>
        <w:pStyle w:val="2"/>
        <w:keepNext w:val="0"/>
        <w:keepLines w:val="0"/>
        <w:pageBreakBefore w:val="0"/>
        <w:widowControl w:val="0"/>
        <w:tabs>
          <w:tab w:val="center" w:pos="4482"/>
          <w:tab w:val="left" w:pos="7372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640" w:firstLineChars="200"/>
        <w:jc w:val="left"/>
        <w:textAlignment w:val="auto"/>
        <w:rPr>
          <w:rFonts w:hint="eastAsia" w:ascii="方正楷体_GBK" w:hAnsi="方正楷体_GBK" w:eastAsia="方正楷体_GBK" w:cs="方正楷体_GBK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val="en-US" w:eastAsia="zh-CN"/>
        </w:rPr>
        <w:t>“十四五”时期，麦盖提县坚持农业农村优先发展，深入实施乡村振兴战略，农业经济实现质效双升，农林牧渔业发展态势持续向好，第一产业基础地位不断巩固，为全县经济社会高质量发展提供了坚实支撑。</w:t>
      </w: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highlight w:val="none"/>
          <w:lang w:eastAsia="zh-CN"/>
        </w:rPr>
        <w:tab/>
      </w:r>
    </w:p>
    <w:p w14:paraId="1DECDB39">
      <w:pPr>
        <w:rPr>
          <w:rFonts w:hint="eastAsia"/>
          <w:color w:val="auto"/>
          <w:highlight w:val="none"/>
          <w:lang w:eastAsia="zh-CN"/>
        </w:rPr>
      </w:pPr>
    </w:p>
    <w:p w14:paraId="71D29557">
      <w:pPr>
        <w:pStyle w:val="2"/>
        <w:keepNext w:val="0"/>
        <w:keepLines w:val="0"/>
        <w:pageBreakBefore w:val="0"/>
        <w:widowControl w:val="0"/>
        <w:tabs>
          <w:tab w:val="center" w:pos="4482"/>
          <w:tab w:val="left" w:pos="7372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Times New Roman" w:hAnsi="Times New Roman" w:eastAsia="方正仿宋_GBK" w:cs="方正仿宋_GBK"/>
          <w:b/>
          <w:bCs/>
          <w:color w:val="auto"/>
          <w:sz w:val="32"/>
          <w:szCs w:val="32"/>
          <w:highlight w:val="none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</w:rPr>
        <w:t xml:space="preserve">第一节 </w:t>
      </w:r>
      <w:r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  <w:lang w:eastAsia="zh-CN"/>
        </w:rPr>
        <w:t>“</w:t>
      </w:r>
      <w:r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</w:rPr>
        <w:t>十四五</w:t>
      </w:r>
      <w:r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  <w:lang w:eastAsia="zh-CN"/>
        </w:rPr>
        <w:t>”</w:t>
      </w:r>
      <w:r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  <w:lang w:val="en-US" w:eastAsia="zh-CN"/>
        </w:rPr>
        <w:t>主要</w:t>
      </w:r>
      <w:r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</w:rPr>
        <w:t>成效</w:t>
      </w:r>
      <w:bookmarkEnd w:id="1"/>
    </w:p>
    <w:p w14:paraId="5C8C027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before="0" w:after="0" w:line="570" w:lineRule="exact"/>
        <w:ind w:left="0" w:leftChars="0" w:firstLine="643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方正仿宋_GBK"/>
          <w:b/>
          <w:bCs/>
          <w:color w:val="auto"/>
          <w:sz w:val="32"/>
          <w:szCs w:val="32"/>
          <w:highlight w:val="none"/>
        </w:rPr>
        <w:t xml:space="preserve">1.1 </w:t>
      </w:r>
      <w:r>
        <w:rPr>
          <w:rFonts w:hint="eastAsia" w:ascii="Times New Roman" w:hAnsi="Times New Roman" w:eastAsia="方正仿宋_GBK" w:cs="方正仿宋_GBK"/>
          <w:b/>
          <w:bCs/>
          <w:color w:val="auto"/>
          <w:sz w:val="32"/>
          <w:szCs w:val="32"/>
          <w:highlight w:val="none"/>
          <w:lang w:val="en-US" w:eastAsia="zh-CN"/>
        </w:rPr>
        <w:t>粮食和重要农产品保供能力大幅提升。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val="en-US" w:eastAsia="zh-CN"/>
        </w:rPr>
        <w:t>农业产业结构持续优化，形成“粮棉双核、林畜支撑”的产业格局。深入实施粮食产能提升行动，粮食综合生产能力稳步增强；加快棉花质效提升，优质棉占比和皮棉产量同步提高；推动林果业提质增效，建成南疆最大的红枣交易中心；畜牧业实现跨越式发展，畜禽种群结构持续调优，肉蛋奶供给保障水平稳步提升。</w:t>
      </w:r>
    </w:p>
    <w:p w14:paraId="0BE0A83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before="0" w:after="0" w:line="570" w:lineRule="exact"/>
        <w:ind w:left="0" w:leftChars="0" w:firstLine="643" w:firstLineChars="200"/>
        <w:jc w:val="both"/>
        <w:textAlignment w:val="auto"/>
        <w:rPr>
          <w:rFonts w:hint="eastAsia" w:ascii="Times New Roman" w:hAnsi="Times New Roman" w:eastAsia="方正仿宋_GBK" w:cs="方正仿宋_GBK"/>
          <w:b w:val="0"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方正仿宋_GBK" w:cs="方正仿宋_GBK"/>
          <w:b/>
          <w:bCs/>
          <w:color w:val="auto"/>
          <w:sz w:val="32"/>
          <w:szCs w:val="32"/>
          <w:highlight w:val="none"/>
          <w:lang w:val="en-US" w:eastAsia="zh-CN"/>
        </w:rPr>
        <w:t>1.2 脱贫攻坚成果有效巩固。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val="en-US" w:eastAsia="zh-CN"/>
        </w:rPr>
        <w:t>健全“四位一体”防返贫监测机制，精准落实“一户一策”帮扶措施，牢牢守住不发生规模性返贫底线。深化疆外合作、区内协作，落实就业帮扶政策，充分挖掘本地就业岗位，脱贫劳动力实现稳岗就业、工资性收入稳步增长。坚持将衔接资金重点用于产业发展，大力实施到户类产业项目，经营性帮扶项目资产保值增值，产业和就业帮扶成效明显，巩固拓展脱贫攻坚成果成色更足。</w:t>
      </w:r>
    </w:p>
    <w:p w14:paraId="7F424DE7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643" w:firstLineChars="200"/>
        <w:jc w:val="both"/>
        <w:textAlignment w:val="auto"/>
        <w:rPr>
          <w:rFonts w:hint="eastAsia" w:ascii="Times New Roman" w:hAnsi="Times New Roman" w:eastAsia="方正仿宋_GBK" w:cs="方正仿宋_GBK"/>
          <w:b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方正仿宋_GBK" w:cs="方正仿宋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1.3 现代农业发展不断加快。</w:t>
      </w:r>
      <w:r>
        <w:rPr>
          <w:rFonts w:hint="eastAsia" w:ascii="Times New Roman" w:hAnsi="Times New Roman" w:eastAsia="方正仿宋_GBK" w:cs="方正仿宋_GBK"/>
          <w:b w:val="0"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新型农业经营体系构建取得突破性进展，土地集约化经营水平显著提升，“企业+合作社+基地”联农带农模式加快推广。农业社会化服务体系日趋完善，县乡村三级服务网络基本建成。棉花、红枣、畜牧三大主导产业全产业链建设成效显著，农业科技进步贡献率和主要农作物良种覆盖率持续提升。</w:t>
      </w:r>
    </w:p>
    <w:p w14:paraId="0E331589">
      <w:pPr>
        <w:pStyle w:val="9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pacing w:val="6"/>
          <w:sz w:val="32"/>
          <w:szCs w:val="32"/>
          <w:highlight w:val="none"/>
          <w:u w:val="none" w:color="auto"/>
          <w:lang w:val="en-US" w:eastAsia="zh-CN"/>
        </w:rPr>
      </w:pPr>
      <w:bookmarkStart w:id="2" w:name="_Toc209426602"/>
      <w:r>
        <w:rPr>
          <w:rFonts w:hint="eastAsia" w:ascii="Times New Roman" w:hAnsi="Times New Roman" w:eastAsia="方正仿宋_GBK" w:cs="方正仿宋_GBK"/>
          <w:b/>
          <w:bCs/>
          <w:color w:val="auto"/>
          <w:sz w:val="32"/>
          <w:szCs w:val="32"/>
          <w:highlight w:val="none"/>
        </w:rPr>
        <w:t>1.</w:t>
      </w:r>
      <w:r>
        <w:rPr>
          <w:rFonts w:hint="eastAsia" w:ascii="Times New Roman" w:hAnsi="Times New Roman" w:eastAsia="方正仿宋_GBK" w:cs="方正仿宋_GBK"/>
          <w:b/>
          <w:bCs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Times New Roman" w:hAnsi="Times New Roman" w:eastAsia="方正仿宋_GBK" w:cs="方正仿宋_GBK"/>
          <w:b/>
          <w:bCs/>
          <w:color w:val="auto"/>
          <w:sz w:val="32"/>
          <w:szCs w:val="32"/>
          <w:highlight w:val="none"/>
        </w:rPr>
        <w:t xml:space="preserve"> </w:t>
      </w:r>
      <w:r>
        <w:rPr>
          <w:rFonts w:hint="eastAsia" w:ascii="Times New Roman" w:hAnsi="Times New Roman" w:eastAsia="方正仿宋_GBK" w:cs="方正仿宋_GBK"/>
          <w:b/>
          <w:bCs/>
          <w:color w:val="auto"/>
          <w:sz w:val="32"/>
          <w:szCs w:val="32"/>
          <w:highlight w:val="none"/>
          <w:lang w:val="en-US" w:eastAsia="zh-CN"/>
        </w:rPr>
        <w:t>农业科技能力加快提升</w:t>
      </w:r>
      <w:r>
        <w:rPr>
          <w:rFonts w:hint="eastAsia" w:eastAsia="方正仿宋_GBK" w:cs="方正仿宋_GBK"/>
          <w:b/>
          <w:bCs/>
          <w:color w:val="auto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pacing w:val="6"/>
          <w:sz w:val="32"/>
          <w:szCs w:val="32"/>
          <w:highlight w:val="none"/>
          <w:u w:val="none" w:color="auto"/>
          <w:lang w:val="en-US" w:eastAsia="zh-CN"/>
        </w:rPr>
        <w:t>坚持“田成方、林成网、渠相通、路相连”，加快碎片化土地整理，高标准农田和高效节水农田建设成效明显，耕地质量不断提升。主要农作物品种完成更新换代，特色作物新品种加快推广，农产品质量安全检测实现县域主要农产品全覆盖。农机装备总量持续增长，耕种收综合机械化水平大幅提升，北斗导航、无人机、采棉机等一批新装备投入使用，农业科技装备服务支撑能力持续增强。</w:t>
      </w:r>
    </w:p>
    <w:p w14:paraId="6192B7E2">
      <w:pPr>
        <w:pStyle w:val="9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643" w:firstLineChars="200"/>
        <w:jc w:val="both"/>
        <w:textAlignment w:val="auto"/>
        <w:rPr>
          <w:rFonts w:hint="eastAsia" w:ascii="Times New Roman" w:hAnsi="Times New Roman" w:eastAsia="方正仿宋_GBK" w:cs="方正仿宋_GBK"/>
          <w:b w:val="0"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方正仿宋_GBK" w:cs="方正仿宋_GBK"/>
          <w:b/>
          <w:bCs/>
          <w:color w:val="auto"/>
          <w:sz w:val="32"/>
          <w:szCs w:val="32"/>
          <w:highlight w:val="none"/>
          <w:lang w:val="en-US" w:eastAsia="zh-CN"/>
        </w:rPr>
        <w:t>1.5农业绿色转型成效显著。</w:t>
      </w:r>
      <w:r>
        <w:rPr>
          <w:rFonts w:hint="eastAsia" w:ascii="Times New Roman" w:hAnsi="Times New Roman" w:eastAsia="方正仿宋_GBK" w:cs="方正仿宋_GBK"/>
          <w:b w:val="0"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化肥农药使用量连续多年负增长，畜禽粪污综合利用率、秸秆综合利用率、农膜回收率持续提升，绿色食品、有机产品认证数量稳步增加。</w:t>
      </w:r>
    </w:p>
    <w:p w14:paraId="081199EC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firstLine="560"/>
        <w:jc w:val="both"/>
        <w:textAlignment w:val="auto"/>
        <w:rPr>
          <w:rFonts w:hint="eastAsia" w:ascii="Times New Roman" w:hAnsi="Times New Roman" w:eastAsia="方正仿宋_GBK" w:cs="方正仿宋_GBK"/>
          <w:b w:val="0"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方正仿宋_GBK" w:cs="方正仿宋_GBK"/>
          <w:b/>
          <w:bCs/>
          <w:color w:val="auto"/>
          <w:sz w:val="32"/>
          <w:szCs w:val="32"/>
          <w:highlight w:val="none"/>
          <w:lang w:val="en-US" w:eastAsia="zh-CN"/>
        </w:rPr>
        <w:t>1.</w:t>
      </w:r>
      <w:r>
        <w:rPr>
          <w:rFonts w:hint="eastAsia" w:eastAsia="方正仿宋_GBK" w:cs="方正仿宋_GBK"/>
          <w:b/>
          <w:bCs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Times New Roman" w:hAnsi="Times New Roman" w:eastAsia="方正仿宋_GBK" w:cs="方正仿宋_GBK"/>
          <w:b/>
          <w:bCs/>
          <w:color w:val="auto"/>
          <w:sz w:val="32"/>
          <w:szCs w:val="32"/>
          <w:highlight w:val="none"/>
          <w:lang w:val="en-US" w:eastAsia="zh-CN"/>
        </w:rPr>
        <w:t xml:space="preserve"> 宜居宜业和美乡村建设取得新成效。</w:t>
      </w:r>
      <w:r>
        <w:rPr>
          <w:rFonts w:hint="eastAsia" w:ascii="Times New Roman" w:hAnsi="Times New Roman" w:eastAsia="方正仿宋_GBK" w:cs="方正仿宋_GBK"/>
          <w:b w:val="0"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乡村振兴战略实施成效显著，农村基础设施实现跨越式发展，农村公路网络日益完善，行政村油路通达率大幅提升。庭院经济创新发展，“前园后圈+立体种养”模式加快推广。卫生厕所改造持续推进，和美宜居村创建成果丰硕，生活垃圾处理和污水治理水平显著提升，农村人居环境明显改善。</w:t>
      </w:r>
    </w:p>
    <w:p w14:paraId="6B11DC40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firstLine="560"/>
        <w:jc w:val="both"/>
        <w:textAlignment w:val="auto"/>
        <w:rPr>
          <w:rFonts w:hint="eastAsia" w:ascii="Times New Roman" w:hAnsi="Times New Roman" w:eastAsia="方正仿宋_GBK" w:cs="方正仿宋_GBK"/>
          <w:b w:val="0"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方正仿宋_GBK" w:cs="方正仿宋_GBK"/>
          <w:b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1.</w:t>
      </w:r>
      <w:r>
        <w:rPr>
          <w:rFonts w:hint="eastAsia" w:eastAsia="方正仿宋_GBK" w:cs="方正仿宋_GBK"/>
          <w:b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7</w:t>
      </w:r>
      <w:r>
        <w:rPr>
          <w:rFonts w:hint="eastAsia" w:ascii="Times New Roman" w:hAnsi="Times New Roman" w:eastAsia="方正仿宋_GBK" w:cs="方正仿宋_GBK"/>
          <w:b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农村发展活力不断</w:t>
      </w:r>
      <w:r>
        <w:rPr>
          <w:rFonts w:hint="eastAsia" w:eastAsia="方正仿宋_GBK" w:cs="方正仿宋_GBK"/>
          <w:b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焕发。</w:t>
      </w:r>
      <w:r>
        <w:rPr>
          <w:rFonts w:hint="eastAsia" w:ascii="Times New Roman" w:hAnsi="Times New Roman" w:eastAsia="方正仿宋_GBK" w:cs="方正仿宋_GBK"/>
          <w:b w:val="0"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深化农村改革，第二轮土地承包到期后再延长三十年试点扎实开展，农村宅基地规范管理、集体建设用地和农村集体产权制度改革稳步推进。农民专业合作社、家庭农场数量持续增长，示范创建成效明显。农业社会化服务加快发展，新型经营性服务主体不断壮大，小农户与现代农业发展实现有机衔接。</w:t>
      </w:r>
    </w:p>
    <w:p w14:paraId="37428CF8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firstLine="560"/>
        <w:jc w:val="both"/>
        <w:textAlignment w:val="auto"/>
        <w:rPr>
          <w:rFonts w:hint="eastAsia" w:ascii="Times New Roman" w:hAnsi="Times New Roman" w:eastAsia="方正仿宋_GBK" w:cs="方正仿宋_GBK"/>
          <w:b w:val="0"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方正仿宋_GBK" w:cs="方正仿宋_GBK"/>
          <w:b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1.</w:t>
      </w:r>
      <w:r>
        <w:rPr>
          <w:rFonts w:hint="eastAsia" w:eastAsia="方正仿宋_GBK" w:cs="方正仿宋_GBK"/>
          <w:b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8</w:t>
      </w:r>
      <w:r>
        <w:rPr>
          <w:rFonts w:hint="eastAsia" w:ascii="Times New Roman" w:hAnsi="Times New Roman" w:eastAsia="方正仿宋_GBK" w:cs="方正仿宋_GBK"/>
          <w:b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 xml:space="preserve"> 农民收入水平持续提升。</w:t>
      </w:r>
      <w:r>
        <w:rPr>
          <w:rFonts w:hint="eastAsia" w:ascii="Times New Roman" w:hAnsi="Times New Roman" w:eastAsia="方正仿宋_GBK" w:cs="方正仿宋_GBK"/>
          <w:b w:val="0"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农民收入保持较快增长，农村居民人均可支配收入持续增加，城乡居民收入差距逐步缩小。</w:t>
      </w:r>
    </w:p>
    <w:p w14:paraId="4A5E8676">
      <w:pPr>
        <w:pStyle w:val="2"/>
        <w:keepNext w:val="0"/>
        <w:keepLines w:val="0"/>
        <w:pageBreakBefore w:val="0"/>
        <w:widowControl w:val="0"/>
        <w:tabs>
          <w:tab w:val="center" w:pos="4482"/>
          <w:tab w:val="left" w:pos="7372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</w:rPr>
      </w:pPr>
    </w:p>
    <w:p w14:paraId="316C3E99">
      <w:pPr>
        <w:pStyle w:val="2"/>
        <w:keepNext w:val="0"/>
        <w:keepLines w:val="0"/>
        <w:pageBreakBefore w:val="0"/>
        <w:widowControl w:val="0"/>
        <w:tabs>
          <w:tab w:val="center" w:pos="4482"/>
          <w:tab w:val="left" w:pos="7372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</w:rPr>
        <w:t>第二节 发展环境</w:t>
      </w:r>
      <w:bookmarkEnd w:id="2"/>
    </w:p>
    <w:p w14:paraId="02D9DBF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firstLine="562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2.1 发展要求</w:t>
      </w:r>
    </w:p>
    <w:p w14:paraId="461081D8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firstLine="562"/>
        <w:jc w:val="both"/>
        <w:textAlignment w:val="auto"/>
        <w:rPr>
          <w:rFonts w:hint="eastAsia" w:ascii="Times New Roman" w:hAnsi="Times New Roman" w:eastAsia="方正仿宋_GBK" w:cs="方正仿宋_GBK"/>
          <w:b w:val="0"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方正仿宋_GBK" w:cs="方正仿宋_GBK"/>
          <w:b w:val="0"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深入贯彻落实习近平总书记关于“三农”工作的重要论述和重要指示精神，坚持和加强党对“三农”工作的全面领导，完整准确全面贯彻新发展理念，坚持稳中求进工作总基调，坚持农业农村优先发展，坚持城乡融合发展，坚持守正创新，锚定推进乡村全面振兴、建设农业强县目标，深入学习运用“千万工程”经验，做到“两持续、四着力”。推进高标准农田建设管护，提升耕地地力和粮食综合生产能力。加快构建棉花全产业链，优化品种结构，推广机械化采收技术，推动棉花产业链条向高端化、智能化、绿色化方向延伸。加快农文旅融合发展，推进N39沙漠旅游公路沿线农文旅融合示范带建设。依托丝绸之路经济带核心区区位优势，着力建设优质特色农产品出口生产基地，推动麦盖提灰枣、核桃、肉苁蓉等优质农产品走出新疆、迈向全国、面向世界。</w:t>
      </w:r>
    </w:p>
    <w:p w14:paraId="5657F7C0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firstLine="562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2.2 发展环境</w:t>
      </w:r>
    </w:p>
    <w:p w14:paraId="5AF6B248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firstLine="562"/>
        <w:jc w:val="both"/>
        <w:textAlignment w:val="auto"/>
        <w:rPr>
          <w:rFonts w:hint="eastAsia" w:ascii="Times New Roman" w:hAnsi="Times New Roman" w:eastAsia="方正仿宋_GBK" w:cs="方正仿宋_GBK"/>
          <w:b w:val="0"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方正仿宋_GBK" w:cs="方正仿宋_GBK"/>
          <w:b w:val="0"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在激发内生动力方面，依托防风固沙生态林工程，探索生态价值转化新路径，发展肉苁蓉接种、沙棘种植等特色沙产业，形成“生态保护+产业增值”双赢格局；推广“粮棉+经济作物”复合种植模式，提升土地综合产出效益；深度挖掘沙漠生态旅游资源，推动生态观光、科普研学、休闲体验等业态融合发展。</w:t>
      </w:r>
    </w:p>
    <w:p w14:paraId="2F5BE75D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firstLine="562"/>
        <w:jc w:val="both"/>
        <w:textAlignment w:val="auto"/>
        <w:rPr>
          <w:rFonts w:hint="eastAsia" w:ascii="Times New Roman" w:hAnsi="Times New Roman" w:eastAsia="方正仿宋_GBK" w:cs="方正仿宋_GBK"/>
          <w:b w:val="0"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方正仿宋_GBK" w:cs="方正仿宋_GBK"/>
          <w:b w:val="0"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在抢抓外部机遇方面，紧抓“一带一路”倡议带来的重大发展契机，引进先进节水灌溉技术，打造智能化高效节水农业示范区；鼓励企业搭建跨境电子商务综合服务平台，创新“数字贸易+冷链物流”模式，推动特色农产品国内国际市场份额提升。</w:t>
      </w:r>
    </w:p>
    <w:p w14:paraId="46D0C63F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firstLine="562"/>
        <w:jc w:val="both"/>
        <w:textAlignment w:val="auto"/>
        <w:rPr>
          <w:rFonts w:hint="eastAsia" w:ascii="Times New Roman" w:hAnsi="Times New Roman" w:eastAsia="方正仿宋_GBK" w:cs="方正仿宋_GBK"/>
          <w:b w:val="0"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方正仿宋_GBK" w:cs="方正仿宋_GBK"/>
          <w:b w:val="0"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在政策红利释放方面，积极争取中央和自治区政策支持，涉农转移支付资金规模稳步增长，聚焦产业发展、基础设施、公共服务等重点领域集中投入，为县域经济高质量发展注入强劲动能。</w:t>
      </w:r>
    </w:p>
    <w:p w14:paraId="2EEA3F6C">
      <w:pPr>
        <w:keepNext w:val="0"/>
        <w:keepLines w:val="0"/>
        <w:pageBreakBefore w:val="0"/>
        <w:widowControl w:val="0"/>
        <w:tabs>
          <w:tab w:val="left" w:pos="6056"/>
        </w:tabs>
        <w:kinsoku/>
        <w:wordWrap/>
        <w:overflowPunct/>
        <w:topLinePunct/>
        <w:autoSpaceDE/>
        <w:autoSpaceDN/>
        <w:bidi w:val="0"/>
        <w:spacing w:before="0" w:after="0"/>
        <w:ind w:left="0" w:leftChars="0" w:firstLine="0" w:firstLineChars="0"/>
        <w:jc w:val="center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</w:rPr>
      </w:pPr>
      <w:bookmarkStart w:id="3" w:name="_Toc209426603"/>
    </w:p>
    <w:p w14:paraId="35C69CA6">
      <w:pPr>
        <w:keepNext w:val="0"/>
        <w:keepLines w:val="0"/>
        <w:pageBreakBefore w:val="0"/>
        <w:widowControl w:val="0"/>
        <w:tabs>
          <w:tab w:val="left" w:pos="6056"/>
        </w:tabs>
        <w:kinsoku/>
        <w:wordWrap/>
        <w:overflowPunct/>
        <w:topLinePunct/>
        <w:autoSpaceDE/>
        <w:autoSpaceDN/>
        <w:bidi w:val="0"/>
        <w:spacing w:before="0" w:after="0"/>
        <w:ind w:left="0" w:leftChars="0" w:firstLine="0" w:firstLineChars="0"/>
        <w:jc w:val="center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</w:rPr>
        <w:t>第二章 总体要求及规划目标</w:t>
      </w:r>
      <w:bookmarkEnd w:id="3"/>
      <w:bookmarkStart w:id="4" w:name="_Toc209426604"/>
    </w:p>
    <w:p w14:paraId="227DF360">
      <w:pPr>
        <w:pStyle w:val="2"/>
        <w:rPr>
          <w:rFonts w:hint="eastAsia"/>
          <w:color w:val="auto"/>
          <w:highlight w:val="none"/>
        </w:rPr>
      </w:pPr>
    </w:p>
    <w:p w14:paraId="775602E1">
      <w:pPr>
        <w:pStyle w:val="2"/>
        <w:keepNext w:val="0"/>
        <w:keepLines w:val="0"/>
        <w:pageBreakBefore w:val="0"/>
        <w:widowControl w:val="0"/>
        <w:tabs>
          <w:tab w:val="center" w:pos="4482"/>
          <w:tab w:val="left" w:pos="7372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</w:rPr>
        <w:t>第一节 指导思想</w:t>
      </w:r>
      <w:bookmarkEnd w:id="4"/>
    </w:p>
    <w:p w14:paraId="2EC1E3E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  <w:bookmarkStart w:id="5" w:name="_Toc209426605"/>
      <w:r>
        <w:rPr>
          <w:rFonts w:hint="eastAsia" w:ascii="Times New Roman" w:hAnsi="Times New Roman" w:eastAsia="方正仿宋_GBK" w:cs="方正仿宋_GBK"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以推进乡村全面振兴、建设农业强县为统领，立足丝绸之路经济带核心区区位优势，统筹推进稳粮保供与特色产业发展双轨战略。聚焦现代农业体系建设核心任务，强化科技赋能推动产业数字化转型，构建粮棉稳产保供、林果提质增效、畜牧生态循环的立体化发展格局。着力深化农业农村改革，培育新型农业经营体系，促进城乡要素双向流动，探索走出具有南疆特色的农业农村现代化路径。</w:t>
      </w:r>
    </w:p>
    <w:p w14:paraId="785C27CA">
      <w:pPr>
        <w:pStyle w:val="2"/>
        <w:keepNext w:val="0"/>
        <w:keepLines w:val="0"/>
        <w:pageBreakBefore w:val="0"/>
        <w:widowControl w:val="0"/>
        <w:tabs>
          <w:tab w:val="center" w:pos="4482"/>
          <w:tab w:val="left" w:pos="7372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</w:rPr>
      </w:pPr>
    </w:p>
    <w:p w14:paraId="7E737ACD">
      <w:pPr>
        <w:pStyle w:val="2"/>
        <w:keepNext w:val="0"/>
        <w:keepLines w:val="0"/>
        <w:pageBreakBefore w:val="0"/>
        <w:widowControl w:val="0"/>
        <w:tabs>
          <w:tab w:val="center" w:pos="4482"/>
          <w:tab w:val="left" w:pos="7372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</w:rPr>
        <w:t>第二节 基本原则</w:t>
      </w:r>
      <w:bookmarkEnd w:id="5"/>
    </w:p>
    <w:p w14:paraId="3835E0E8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firstLine="56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b/>
          <w:bCs/>
          <w:color w:val="auto"/>
          <w:sz w:val="32"/>
          <w:szCs w:val="32"/>
          <w:highlight w:val="none"/>
        </w:rPr>
        <w:t>战略安全保障：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突出粮食、棉花等战略物资生产能力建设，筑牢耕地保护红线，完善重要农产品应急保障体系。</w:t>
      </w:r>
    </w:p>
    <w:p w14:paraId="2E5BFB80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firstLine="560"/>
        <w:jc w:val="left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方正仿宋_GBK"/>
          <w:b/>
          <w:bCs/>
          <w:color w:val="auto"/>
          <w:sz w:val="32"/>
          <w:szCs w:val="32"/>
          <w:highlight w:val="none"/>
        </w:rPr>
        <w:t>创新驱动发展：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val="en-US" w:eastAsia="zh-CN"/>
        </w:rPr>
        <w:t>推进农业要素数据化，构建农业数字底座，推动数字技术向农业生产全领域渗透。</w:t>
      </w:r>
    </w:p>
    <w:p w14:paraId="23BE11BD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firstLine="56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b/>
          <w:bCs/>
          <w:color w:val="auto"/>
          <w:sz w:val="32"/>
          <w:szCs w:val="32"/>
          <w:highlight w:val="none"/>
        </w:rPr>
        <w:t>全链产业培育：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val="en-US" w:eastAsia="zh-CN"/>
        </w:rPr>
        <w:t>以棉花、红枣、牛羊肉为主，延伸农业产业链条，构建生产、加工、物流、销售一体化体系，提升农产品附加值和市场竞争力。</w:t>
      </w:r>
    </w:p>
    <w:p w14:paraId="18E9C45B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firstLine="56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b/>
          <w:bCs/>
          <w:color w:val="auto"/>
          <w:sz w:val="32"/>
          <w:szCs w:val="32"/>
          <w:highlight w:val="none"/>
        </w:rPr>
        <w:t>地域特色彰显：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深度挖掘刀郎文化内涵，依托麦盖提灰枣、多浪羊、刀郎土瓜等地域名片，打造具有地理标识的特色农产品体系，培育文旅融合新业态。</w:t>
      </w:r>
    </w:p>
    <w:p w14:paraId="48DC289D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firstLine="56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b/>
          <w:bCs/>
          <w:color w:val="auto"/>
          <w:sz w:val="32"/>
          <w:szCs w:val="32"/>
          <w:highlight w:val="none"/>
        </w:rPr>
        <w:t>生态优先理念：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推行绿色生产方式，加强农业面源污染防治，持续开展防沙治沙和田间林网建设，构建资源节约型、环境友好型生产体系。</w:t>
      </w:r>
    </w:p>
    <w:p w14:paraId="1994449C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firstLine="56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方正仿宋_GBK"/>
          <w:b/>
          <w:bCs/>
          <w:color w:val="auto"/>
          <w:sz w:val="32"/>
          <w:szCs w:val="32"/>
          <w:highlight w:val="none"/>
        </w:rPr>
        <w:t>城乡统筹协调：</w:t>
      </w:r>
      <w:bookmarkStart w:id="6" w:name="_Toc209426606"/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val="en-US" w:eastAsia="zh-CN"/>
        </w:rPr>
        <w:t>构建产学研用协同体系，培育农村集体经济经理人、高素质农民，深化与科研院所、专家团队合作，加速科技成果转化应用，完善县乡村三级协同发展机制，推动基础设施互联互通和公共服务均等配置。</w:t>
      </w:r>
    </w:p>
    <w:p w14:paraId="09695EA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color w:val="auto"/>
          <w:sz w:val="32"/>
          <w:szCs w:val="32"/>
          <w:highlight w:val="none"/>
        </w:rPr>
      </w:pPr>
    </w:p>
    <w:p w14:paraId="7DE85E3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</w:rPr>
        <w:t>第三节 发展目标</w:t>
      </w:r>
      <w:bookmarkEnd w:id="6"/>
    </w:p>
    <w:p w14:paraId="057A830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b w:val="0"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  <w:bookmarkStart w:id="7" w:name="_Toc209426607"/>
      <w:r>
        <w:rPr>
          <w:rFonts w:hint="eastAsia" w:ascii="Times New Roman" w:hAnsi="Times New Roman" w:eastAsia="方正仿宋_GBK" w:cs="方正仿宋_GBK"/>
          <w:b w:val="0"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锚定推进乡村全面振兴、建设农业强县目标，综合考虑发展基础、资源禀赋和外部环境，科学设定“十五五”时期农业农村发展目标。到2030年，全县农业综合生产能力稳步增强，现代农业产业体系加快构建，乡村建设水平和治理能力明显提升，农民收入持续增长，城乡发展差距逐步缩小，农业农村现代化取得阶段性明显进展。</w:t>
      </w:r>
    </w:p>
    <w:p w14:paraId="1147AF6F">
      <w:pPr>
        <w:rPr>
          <w:rFonts w:hint="eastAsia"/>
          <w:color w:val="auto"/>
          <w:highlight w:val="none"/>
          <w:lang w:val="en-US" w:eastAsia="zh-CN"/>
        </w:rPr>
      </w:pPr>
    </w:p>
    <w:p w14:paraId="7B1FCBE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黑体_GBK" w:hAnsi="方正黑体_GBK" w:eastAsia="方正黑体_GBK" w:cs="方正黑体_GBK"/>
          <w:b w:val="0"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  <w:r>
        <w:rPr>
          <w:rFonts w:hint="eastAsia" w:ascii="方正黑体_GBK" w:hAnsi="方正黑体_GBK" w:eastAsia="方正黑体_GBK" w:cs="方正黑体_GBK"/>
          <w:b w:val="0"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第三章 优化产业布局</w:t>
      </w:r>
      <w:bookmarkEnd w:id="7"/>
    </w:p>
    <w:p w14:paraId="76B20EB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color w:val="auto"/>
          <w:sz w:val="32"/>
          <w:szCs w:val="32"/>
          <w:highlight w:val="none"/>
        </w:rPr>
      </w:pPr>
      <w:bookmarkStart w:id="8" w:name="_Toc209426608"/>
    </w:p>
    <w:p w14:paraId="138C2A0E">
      <w:pPr>
        <w:pStyle w:val="2"/>
        <w:keepNext w:val="0"/>
        <w:keepLines w:val="0"/>
        <w:pageBreakBefore w:val="0"/>
        <w:widowControl w:val="0"/>
        <w:tabs>
          <w:tab w:val="center" w:pos="4482"/>
          <w:tab w:val="left" w:pos="7372"/>
        </w:tabs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</w:rPr>
        <w:t>第一节 优质粮棉种植区</w:t>
      </w:r>
      <w:bookmarkEnd w:id="8"/>
    </w:p>
    <w:p w14:paraId="0E1D71E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640" w:firstLineChars="200"/>
        <w:jc w:val="both"/>
        <w:textAlignment w:val="auto"/>
        <w:rPr>
          <w:rFonts w:hint="eastAsia" w:ascii="方正楷体_GBK" w:hAnsi="方正楷体_GBK" w:eastAsia="方正楷体_GBK" w:cs="方正楷体_GBK"/>
          <w:color w:val="auto"/>
          <w:sz w:val="32"/>
          <w:szCs w:val="32"/>
          <w:highlight w:val="none"/>
        </w:rPr>
      </w:pPr>
      <w:bookmarkStart w:id="9" w:name="_Toc209426609"/>
      <w:r>
        <w:rPr>
          <w:rFonts w:hint="eastAsia" w:eastAsia="方正仿宋_GBK" w:cs="方正仿宋_GBK"/>
          <w:color w:val="auto"/>
          <w:sz w:val="32"/>
          <w:szCs w:val="32"/>
          <w:highlight w:val="none"/>
          <w:lang w:val="en-US" w:eastAsia="zh-CN"/>
        </w:rPr>
        <w:t>坚持稳粮优棉，优化粮棉生产区域布局，分片建设小麦、玉米、棉花高产示范区，统筹推进良种繁育基地建设，高标准创建“百亩攻关、千亩创建、万亩示范”基地，加快建设智慧粮田，促进粮棉稳产高产、提质增效。</w:t>
      </w:r>
    </w:p>
    <w:p w14:paraId="62A4289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</w:rPr>
      </w:pPr>
    </w:p>
    <w:p w14:paraId="1710CBC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</w:rPr>
        <w:t>第二节 特色</w:t>
      </w:r>
      <w:bookmarkEnd w:id="9"/>
      <w:r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  <w:lang w:val="en-US" w:eastAsia="zh-CN"/>
        </w:rPr>
        <w:t>作物种植和水产养殖区</w:t>
      </w:r>
      <w:bookmarkStart w:id="10" w:name="_Toc209426610"/>
    </w:p>
    <w:p w14:paraId="5ADD9C8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640" w:firstLineChars="200"/>
        <w:jc w:val="both"/>
        <w:textAlignment w:val="auto"/>
        <w:rPr>
          <w:rFonts w:hint="eastAsia" w:eastAsia="方正仿宋_GBK" w:cs="方正仿宋_GBK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eastAsia="方正仿宋_GBK" w:cs="方正仿宋_GBK"/>
          <w:color w:val="auto"/>
          <w:sz w:val="32"/>
          <w:szCs w:val="32"/>
          <w:highlight w:val="none"/>
          <w:lang w:val="en-US" w:eastAsia="zh-CN"/>
        </w:rPr>
        <w:t>依托棉花种植重点乡镇，因地制宜发展棉套茴香等复合种植；以市场需求为导向，发展黄芪、防风、板蓝根、艾草等中药材和小米、高粱、红薯等小杂粮种植。依托水域资源，发展澳洲龙虾、螃蟹、四大家鱼等特色水产养殖，适度开发垂钓、亲子体验等休闲渔业新业态，拓宽“水经济”发展空间。</w:t>
      </w:r>
    </w:p>
    <w:p w14:paraId="1BA8DE65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beforeLines="0" w:after="0" w:afterLines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</w:p>
    <w:p w14:paraId="176118CA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beforeLines="0" w:after="0" w:afterLines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第三节 设施农业生产区</w:t>
      </w:r>
      <w:bookmarkEnd w:id="10"/>
      <w:bookmarkStart w:id="11" w:name="_Toc209426611"/>
    </w:p>
    <w:p w14:paraId="1D615478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beforeLines="0" w:after="0" w:afterLines="0" w:line="570" w:lineRule="exact"/>
        <w:ind w:left="0" w:leftChars="0" w:firstLine="640" w:firstLineChars="200"/>
        <w:jc w:val="both"/>
        <w:textAlignment w:val="auto"/>
        <w:rPr>
          <w:rFonts w:hint="eastAsia" w:eastAsia="方正仿宋_GBK" w:cs="方正仿宋_GBK" w:asciiTheme="majorHAnsi" w:hAnsiTheme="majorHAnsi"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  <w:r>
        <w:rPr>
          <w:rFonts w:hint="eastAsia" w:eastAsia="方正仿宋_GBK" w:cs="方正仿宋_GBK" w:asciiTheme="majorHAnsi" w:hAnsiTheme="majorHAnsi"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以现有设施农业基地为基础，推进老旧温室现代化改造，提升设施农业生产条件。按照“春提早、夏排开、秋延迟、冬生产”模式，科学规划品种布局，分区发展叶菜类、茄果类蔬菜和芦笋等特色品种。</w:t>
      </w:r>
    </w:p>
    <w:p w14:paraId="76B06B22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beforeLines="0" w:after="0" w:afterLines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</w:p>
    <w:p w14:paraId="695BA8FF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beforeLines="0" w:after="0" w:afterLines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 xml:space="preserve">第四节 </w:t>
      </w:r>
      <w:bookmarkStart w:id="12" w:name="OLE_LINK4"/>
      <w:r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特色林果业</w:t>
      </w:r>
      <w:bookmarkEnd w:id="12"/>
      <w:r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发展区</w:t>
      </w:r>
      <w:bookmarkEnd w:id="11"/>
    </w:p>
    <w:p w14:paraId="7E0A7003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beforeLines="0" w:after="0" w:afterLines="0" w:line="570" w:lineRule="exact"/>
        <w:ind w:left="0" w:leftChars="0" w:firstLine="640" w:firstLineChars="200"/>
        <w:jc w:val="both"/>
        <w:textAlignment w:val="auto"/>
        <w:rPr>
          <w:rFonts w:hint="eastAsia" w:eastAsia="方正仿宋_GBK" w:cs="方正仿宋_GBK" w:asciiTheme="majorHAnsi" w:hAnsiTheme="majorHAnsi"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  <w:bookmarkStart w:id="13" w:name="_Toc209426612"/>
      <w:r>
        <w:rPr>
          <w:rFonts w:hint="eastAsia" w:eastAsia="方正仿宋_GBK" w:cs="方正仿宋_GBK" w:asciiTheme="majorHAnsi" w:hAnsiTheme="majorHAnsi"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以红枣生产区为重点，依托红枣产业研究院和产业强镇建设，加快科研成果转化，高质量推进示范园建设，辐射带动全县红枣提质增效。统筹推进核桃品种更新、老果园改造和品质提升，加快形成核桃全产业链发展格局。以特色鲜果村为引领，引导农户发展庭院“小果园”，示范带动小众果品品质和种植规模不断提升。</w:t>
      </w:r>
    </w:p>
    <w:p w14:paraId="24C64EFF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beforeLines="0" w:after="0" w:afterLines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</w:p>
    <w:p w14:paraId="427D28DB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beforeLines="0" w:after="0" w:afterLines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第五节 现代畜牧业养殖区</w:t>
      </w:r>
      <w:bookmarkEnd w:id="13"/>
    </w:p>
    <w:p w14:paraId="6DB27FF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640" w:firstLineChars="200"/>
        <w:jc w:val="both"/>
        <w:textAlignment w:val="auto"/>
        <w:rPr>
          <w:rFonts w:hint="eastAsia" w:eastAsia="方正仿宋_GBK" w:cs="方正仿宋_GBK"/>
          <w:color w:val="auto"/>
          <w:sz w:val="32"/>
          <w:szCs w:val="32"/>
          <w:highlight w:val="none"/>
          <w:lang w:val="en-US" w:eastAsia="zh-CN"/>
        </w:rPr>
      </w:pPr>
      <w:bookmarkStart w:id="14" w:name="_Toc209426613"/>
      <w:r>
        <w:rPr>
          <w:rFonts w:hint="eastAsia" w:eastAsia="方正仿宋_GBK" w:cs="方正仿宋_GBK"/>
          <w:color w:val="auto"/>
          <w:sz w:val="32"/>
          <w:szCs w:val="32"/>
          <w:highlight w:val="none"/>
          <w:lang w:val="en-US" w:eastAsia="zh-CN"/>
        </w:rPr>
        <w:t>分区域推进肉牛、肉羊品种改良，培育多浪羊多胎品系，建设养殖重点乡村；不断扩大生猪养殖规模，加强重大疫病防控；发展蛋鸡、肉鸡规模养殖，推广适宜农户散养的家禽品种，保障群众禽蛋需求，促进庭院增收。</w:t>
      </w:r>
    </w:p>
    <w:p w14:paraId="77988C79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beforeLines="0" w:after="0" w:afterLines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</w:p>
    <w:p w14:paraId="400112F4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beforeLines="0" w:after="0" w:afterLines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第六节 中草药</w:t>
      </w:r>
      <w:bookmarkEnd w:id="14"/>
      <w:r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示范区</w:t>
      </w:r>
    </w:p>
    <w:p w14:paraId="5716930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640" w:firstLineChars="200"/>
        <w:jc w:val="both"/>
        <w:textAlignment w:val="auto"/>
        <w:rPr>
          <w:rFonts w:hint="eastAsia" w:eastAsia="方正仿宋_GBK" w:cs="方正仿宋_GBK"/>
          <w:color w:val="auto"/>
          <w:sz w:val="32"/>
          <w:szCs w:val="32"/>
          <w:highlight w:val="none"/>
          <w:lang w:val="en-US" w:eastAsia="zh-CN"/>
        </w:rPr>
      </w:pPr>
      <w:bookmarkStart w:id="15" w:name="_Toc209426614"/>
      <w:r>
        <w:rPr>
          <w:rFonts w:hint="eastAsia" w:eastAsia="方正仿宋_GBK" w:cs="方正仿宋_GBK"/>
          <w:color w:val="auto"/>
          <w:sz w:val="32"/>
          <w:szCs w:val="32"/>
          <w:highlight w:val="none"/>
          <w:lang w:val="en-US" w:eastAsia="zh-CN"/>
        </w:rPr>
        <w:t>依托防沙治沙成果，以市场为导向，采取“基地示范带动、项目助力推动、群众广泛种植”模式，规模化发展大芸、甘草、大果沙枣等沙漠药材种植，因地制宜发展板蓝根、丹参、黄芩、防风、艾草等中药材。深化与中草药加工龙头企业战略合作，着力推进中药饮片、提取物、保健食品等高附加值产品开发，延伸产业链、提高附加值。</w:t>
      </w:r>
    </w:p>
    <w:p w14:paraId="1CF3F0B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黑体_GBK" w:hAnsi="方正黑体_GBK" w:eastAsia="方正黑体_GBK" w:cs="方正黑体_GBK"/>
          <w:b w:val="0"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</w:p>
    <w:p w14:paraId="69764EF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黑体_GBK" w:hAnsi="方正黑体_GBK" w:eastAsia="方正黑体_GBK" w:cs="方正黑体_GBK"/>
          <w:b w:val="0"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  <w:r>
        <w:rPr>
          <w:rFonts w:hint="eastAsia" w:ascii="方正黑体_GBK" w:hAnsi="方正黑体_GBK" w:eastAsia="方正黑体_GBK" w:cs="方正黑体_GBK"/>
          <w:b w:val="0"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第四章 增强重要农产品供给保障能力</w:t>
      </w:r>
      <w:bookmarkEnd w:id="15"/>
    </w:p>
    <w:p w14:paraId="6FC6D29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color w:val="auto"/>
          <w:sz w:val="32"/>
          <w:szCs w:val="32"/>
          <w:highlight w:val="none"/>
        </w:rPr>
      </w:pPr>
      <w:bookmarkStart w:id="16" w:name="_Toc209426615"/>
    </w:p>
    <w:p w14:paraId="4506880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第一节 夯实农业生产能力基础</w:t>
      </w:r>
      <w:bookmarkEnd w:id="16"/>
    </w:p>
    <w:p w14:paraId="006D122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640" w:firstLineChars="200"/>
        <w:jc w:val="both"/>
        <w:textAlignment w:val="auto"/>
        <w:rPr>
          <w:rFonts w:hint="eastAsia" w:eastAsia="方正仿宋_GBK" w:cs="方正仿宋_GBK"/>
          <w:color w:val="auto"/>
          <w:sz w:val="32"/>
          <w:szCs w:val="32"/>
          <w:highlight w:val="none"/>
          <w:lang w:val="en-US" w:eastAsia="zh-CN"/>
        </w:rPr>
      </w:pPr>
      <w:bookmarkStart w:id="17" w:name="_Toc209426616"/>
      <w:r>
        <w:rPr>
          <w:rFonts w:hint="eastAsia" w:eastAsia="方正仿宋_GBK" w:cs="方正仿宋_GBK"/>
          <w:color w:val="auto"/>
          <w:sz w:val="32"/>
          <w:szCs w:val="32"/>
          <w:highlight w:val="none"/>
          <w:lang w:val="en-US" w:eastAsia="zh-CN"/>
        </w:rPr>
        <w:t>围绕农业强县建设目标，持续夯实农业生产基础，确保粮食和重要农产品稳定供给。实施“种子、沃土、高产”工程，加快高标准农田建设，探索建立盐碱地改良试验示范点，推进化肥减量增效和农业面源污染治理。加强农田水利基础设施和农田防护林建设，提升农业抗风险能力。健全县乡村三级农业科技服务网络，加快新技术、新品种、新模式普及，大力推广节水灌溉技术，提高水资源利用效率。</w:t>
      </w:r>
    </w:p>
    <w:p w14:paraId="604D7AA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</w:p>
    <w:p w14:paraId="5010138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第二节 提升粮食等重要农产品生产水平</w:t>
      </w:r>
      <w:bookmarkEnd w:id="17"/>
    </w:p>
    <w:p w14:paraId="1A4496B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</w:pPr>
      <w:bookmarkStart w:id="18" w:name="_Toc209426617"/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坚决扛牢粮食安全政治责任，坚持“稳面积、优结构、攻单产、提产能、重加工、增效益”，强化耕地、种子、农机和科技支撑，深入实施粮食产能提升行动和“百亩攻关、千亩创建、万亩示范”工程，推动粮食大面积均衡增产。高质量推进高标准农田建设，深入实施种业振兴行动，加强粮食仓储和物流体系建设，保障粮食供应链安全。</w:t>
      </w:r>
    </w:p>
    <w:p w14:paraId="1D1841F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持续巩固提升棉花种植品质，坚持“优布局、提单产、重品质、提效益”，增强棉花良种繁育能力，推动棉花生产向优势产区集中，促进规模化、集约化、机械化发展。</w:t>
      </w:r>
    </w:p>
    <w:p w14:paraId="010995E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</w:p>
    <w:p w14:paraId="21BC4FE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第三节 做优特色</w:t>
      </w:r>
      <w:bookmarkEnd w:id="18"/>
      <w:r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种植业和渔业</w:t>
      </w:r>
    </w:p>
    <w:p w14:paraId="2EB1550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val="en-US" w:eastAsia="zh-CN"/>
        </w:rPr>
      </w:pPr>
      <w:bookmarkStart w:id="19" w:name="_Toc209426618"/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val="en-US" w:eastAsia="zh-CN"/>
        </w:rPr>
        <w:t>坚持农林牧渔并举，紧密结合市场需求，推广“企业（合作社）+基地+农户”模式，发展订单农业、基地农业，做优小茴香、中草药、西甜瓜等特色经济作物。依托水产基地和水库资源，发展特色水产养殖，丰富优质水产品供给。</w:t>
      </w:r>
    </w:p>
    <w:p w14:paraId="11A5C58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</w:p>
    <w:p w14:paraId="356BAB0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第四节 发展设施农业</w:t>
      </w:r>
      <w:bookmarkEnd w:id="19"/>
    </w:p>
    <w:p w14:paraId="5CF9D47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</w:pPr>
      <w:bookmarkStart w:id="20" w:name="_Toc209426619"/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大力发展以设施农业为主、拱棚和庭院经济为辅的蔬菜种植业，优化种植品种和结构，提升蔬菜产能，推广绿色种植技术和标准化生产模式，确保“菜篮子”安全。巩固提升设施蔬菜基地生产能力，完善保鲜储藏设施，重点建设设施芦笋生产基地。积极探索设施农业与乡村旅游融合发展，提升设施农业综合效益。</w:t>
      </w:r>
    </w:p>
    <w:p w14:paraId="54DAB56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</w:p>
    <w:p w14:paraId="0E90248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第五节 高效林果产业</w:t>
      </w:r>
      <w:bookmarkEnd w:id="20"/>
    </w:p>
    <w:p w14:paraId="5F21F8A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</w:pPr>
      <w:bookmarkStart w:id="21" w:name="_Toc209426620"/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坚持把产业振兴作为乡村全面振兴的重中之重，围绕红枣、核桃等干鲜果产业，着力贯通产加销、融合农文旅，稳定种植面积，增强科技赋能，推动精深加工和高附加值产品开发，加快建设特色优质干鲜果基地。推进低产低效园补植补造，提升“建园式”管理规模，强化病虫害防治和科学修剪，完善冷藏保鲜设施，提升果品精深加工率，推动林果业从抓产量向抓产品、促效益转变。持续实施红枣产业提质增效工程，建设高标准红枣示范园，推进红枣精深加工产业园建设，引进龙头企业，开发多元化深加工产品，延伸产业链、提升价值链。持续实施红枣“保险+期货”项目，加快红枣产业研究院成果转化，推动红枣现代农业产业园集聚发展。</w:t>
      </w:r>
    </w:p>
    <w:p w14:paraId="3274411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</w:p>
    <w:p w14:paraId="7938566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第六节 现代畜牧养殖业</w:t>
      </w:r>
      <w:bookmarkEnd w:id="21"/>
    </w:p>
    <w:p w14:paraId="480035C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val="en-US" w:eastAsia="zh-CN"/>
        </w:rPr>
      </w:pPr>
      <w:bookmarkStart w:id="22" w:name="_Toc209426621"/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val="en-US" w:eastAsia="zh-CN"/>
        </w:rPr>
        <w:t>落实“牧九条”系列政策措施，促进肉羊增产、肉牛提质、奶业增效。推行“经济杂交、场繁户养、规模育肥”饲养模式，落实“四良一规范”技术措施，补齐标准化集中屠宰、分割环节短板。支持养殖合作社、专业户发展，鼓励开展育肥和庭院养殖，不断扩大畜牧业群体规模。推广绿色养殖技术和标准化生产模式，构建良繁、育肥、屠宰、分割、冷藏、加工全产业链发展格局，提升畜产品品质和市场竞争力，推动绿色畜牧提档升级。</w:t>
      </w:r>
    </w:p>
    <w:p w14:paraId="76758015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黑体_GBK" w:hAnsi="方正黑体_GBK" w:eastAsia="方正黑体_GBK" w:cs="方正黑体_GBK"/>
          <w:b w:val="0"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</w:p>
    <w:p w14:paraId="11ED9F83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color w:val="auto"/>
          <w:sz w:val="32"/>
          <w:szCs w:val="32"/>
          <w:highlight w:val="none"/>
        </w:rPr>
      </w:pPr>
      <w:r>
        <w:rPr>
          <w:rFonts w:hint="eastAsia" w:ascii="方正黑体_GBK" w:hAnsi="方正黑体_GBK" w:eastAsia="方正黑体_GBK" w:cs="方正黑体_GBK"/>
          <w:b w:val="0"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第五章 强化农业科技支撑作用</w:t>
      </w:r>
      <w:bookmarkEnd w:id="22"/>
      <w:bookmarkStart w:id="23" w:name="_Toc209426622"/>
    </w:p>
    <w:p w14:paraId="51B7354F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</w:rPr>
        <w:t>第一节 农业科技推广服务</w:t>
      </w:r>
      <w:bookmarkEnd w:id="23"/>
    </w:p>
    <w:p w14:paraId="7F0ED3E0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firstLine="56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围绕农业强县建设目标，推广智能农机技术，支持各类创新主体开展农业关键核心技术协同攻关，加快科技成果转化应用。深化套种轮作与智能农机技术推广，因地制宜规划套种、复合种植模式，制定关键环节标准化技术规程。加快北斗导航系统在农机作业中的应用，建设农机精准耕作示范基地，提升农业生产效率与精准化水平。加快红枣产业研究院、肉牛羊专家试验站建设，健全县乡村三级农业科技服务网络，培育农业科技带头人和新型职业农民，加强种植养殖、农产品加工等专项培训，提升农民科技应用能力。加强与科研院所、高校合作，建立农业科技示范基地，推广智能灌溉、绿色防控、测土配方施肥等现代农业技术。</w:t>
      </w:r>
    </w:p>
    <w:p w14:paraId="412DF612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</w:rPr>
      </w:pPr>
      <w:bookmarkStart w:id="24" w:name="_Toc209426623"/>
    </w:p>
    <w:p w14:paraId="5EAA3CEE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</w:rPr>
        <w:t>第二节 农业防灾减灾能力</w:t>
      </w:r>
      <w:bookmarkEnd w:id="24"/>
    </w:p>
    <w:p w14:paraId="112CBF3B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firstLine="56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</w:pPr>
      <w:bookmarkStart w:id="25" w:name="_Toc209426624"/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加强农业防灾减灾能力建设，完善农田水利基础设施，推广节水灌溉技术，提升水资源利用效率。加强气象灾害预警体系建设，提升农业气象服务能力。推进农业保险体系建设，推出面向新型农业经营主体的信贷产品和农业保险，降低农业生产经营风险。加强病虫害监测与防控体系建设，改造提升预测预报站点，引入智能监测设备、物联网技术和数据分析平台，推广绿色防控技术，确保农产品质量安全。</w:t>
      </w:r>
    </w:p>
    <w:p w14:paraId="0F14D571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</w:rPr>
      </w:pPr>
    </w:p>
    <w:p w14:paraId="11F6BBC8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</w:rPr>
        <w:t>第三节 现代化预制种基地</w:t>
      </w:r>
      <w:bookmarkEnd w:id="25"/>
    </w:p>
    <w:p w14:paraId="502DC984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firstLine="56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</w:pPr>
      <w:bookmarkStart w:id="26" w:name="_Toc209426625"/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加快现代化预制种基地建设，提升种业保障供给能力。推进主要农作物优良品种更新换代，提高优质良种保障水平。实施肉牛、肉羊品种改良和多浪羊多胎品系繁育扩群行动，实施林果种苗保障能力提升行动，夯实畜牧业和林果业发展良种基础。加强种业科技创新，深化与科研院所、高校合作，强化种业市场监管，确保种子质量安全。</w:t>
      </w:r>
    </w:p>
    <w:p w14:paraId="12A1DA1A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</w:rPr>
        <w:t>第四节 农机装备升级</w:t>
      </w:r>
      <w:bookmarkEnd w:id="26"/>
    </w:p>
    <w:p w14:paraId="18D268A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  <w:bookmarkStart w:id="27" w:name="_Toc209426626"/>
      <w:r>
        <w:rPr>
          <w:rFonts w:hint="eastAsia" w:ascii="Times New Roman" w:hAnsi="Times New Roman" w:eastAsia="方正仿宋_GBK" w:cs="方正仿宋_GBK"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聚焦农业绿色发展、产业结构调整、规模经营和全程机械化需求，以构建标准化、区域化、规模化的全程机械化生产体系为牵引，以短板机具、高端产品、智能装备为主攻方向，加大高效、节本、绿色、智能机械有效供给。以“全程机械化+综合农事”服务中心建设为重点，推动农机合作社规范化管理、规模化经营。推广无人驾驶拖拉机、智能收割机等智能化农机装备，加强农机维修服务体系建设，提升农机作业精准度和效率。</w:t>
      </w:r>
    </w:p>
    <w:p w14:paraId="08211158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</w:rPr>
      </w:pPr>
    </w:p>
    <w:p w14:paraId="1B8B78E4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</w:rPr>
        <w:t>第五节 数字技术与现代农业结合</w:t>
      </w:r>
      <w:bookmarkEnd w:id="27"/>
    </w:p>
    <w:p w14:paraId="62FC09C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  <w:bookmarkStart w:id="28" w:name="_Toc209426627"/>
      <w:r>
        <w:rPr>
          <w:rFonts w:hint="eastAsia" w:ascii="Times New Roman" w:hAnsi="Times New Roman" w:eastAsia="方正仿宋_GBK" w:cs="方正仿宋_GBK"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促进数字技术与现代农业深度融合，搭建智慧农业大数据平台，推动涉农资源数字化、产业数字化、全局可视化、决策智能化。以“五图合一”为基础，打通产业链上下游，实现“天上看、网上管、地上查”的全产业链动态监管与服务，推进农业产业转型升级。支持电商平台与农业主体合作，开展直播带货、线上预售等新模式，拓宽农产品销售渠道。加强农村信息基础设施建设，为农业数字化转型提供基础保障。</w:t>
      </w:r>
    </w:p>
    <w:p w14:paraId="00CFC7B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黑体_GBK" w:hAnsi="方正黑体_GBK" w:eastAsia="方正黑体_GBK" w:cs="方正黑体_GBK"/>
          <w:b w:val="0"/>
          <w:bCs/>
          <w:color w:val="auto"/>
          <w:sz w:val="32"/>
          <w:szCs w:val="32"/>
          <w:highlight w:val="none"/>
        </w:rPr>
      </w:pPr>
    </w:p>
    <w:p w14:paraId="547AE94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黑体_GBK" w:hAnsi="方正黑体_GBK" w:eastAsia="方正黑体_GBK" w:cs="方正黑体_GBK"/>
          <w:b w:val="0"/>
          <w:bCs/>
          <w:color w:val="auto"/>
          <w:sz w:val="32"/>
          <w:szCs w:val="32"/>
          <w:highlight w:val="none"/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auto"/>
          <w:sz w:val="32"/>
          <w:szCs w:val="32"/>
          <w:highlight w:val="none"/>
        </w:rPr>
        <w:t>第六章 完善现代农业经营体系</w:t>
      </w:r>
      <w:bookmarkEnd w:id="28"/>
    </w:p>
    <w:p w14:paraId="402317F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color w:val="auto"/>
          <w:sz w:val="32"/>
          <w:szCs w:val="32"/>
          <w:highlight w:val="none"/>
        </w:rPr>
      </w:pPr>
      <w:bookmarkStart w:id="29" w:name="_Toc209426628"/>
    </w:p>
    <w:p w14:paraId="74A80B0D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</w:rPr>
        <w:t>第一节 农业农村改革</w:t>
      </w:r>
      <w:bookmarkEnd w:id="29"/>
    </w:p>
    <w:p w14:paraId="352FA07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640" w:firstLineChars="200"/>
        <w:jc w:val="both"/>
        <w:textAlignment w:val="auto"/>
        <w:rPr>
          <w:rFonts w:hint="eastAsia" w:ascii="方正楷体_GBK" w:hAnsi="方正楷体_GBK" w:eastAsia="方正楷体_GBK" w:cs="方正楷体_GBK"/>
          <w:color w:val="auto"/>
          <w:sz w:val="32"/>
          <w:szCs w:val="32"/>
          <w:highlight w:val="none"/>
        </w:rPr>
      </w:pPr>
      <w:bookmarkStart w:id="30" w:name="_Toc209426629"/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深化农业农村改革，稳慎推进第二轮土地承包到期后再延长三十年试点，坚持“大稳定、小调整”原则，妥善化解矛盾纠纷，加强农村土地规范化管理，遏制耕地“非农化”、防止“非粮化”，严守永久基本农田保护红线。深化宅基地“三权分置”改革，全面完成房地一体确权登记，探索闲置宅基地盘活利用，严守政策底线，确保农民权益与农村稳定。依托集体资产租赁、建设用地流转等方式引入社会资本，支持特色农业、乡村旅游等项目，促进集体经济发展和农民增收。加强农村金融和信用体系建设，为农业经营主体提供多元化金融支持。</w:t>
      </w:r>
    </w:p>
    <w:p w14:paraId="38732B47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</w:rPr>
      </w:pPr>
    </w:p>
    <w:p w14:paraId="3A226BF1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</w:rPr>
        <w:t>第二节 土地承包租赁机制</w:t>
      </w:r>
      <w:bookmarkEnd w:id="30"/>
    </w:p>
    <w:p w14:paraId="78F37DF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640" w:firstLineChars="200"/>
        <w:jc w:val="both"/>
        <w:textAlignment w:val="auto"/>
        <w:rPr>
          <w:rFonts w:hint="eastAsia" w:ascii="方正楷体_GBK" w:hAnsi="方正楷体_GBK" w:eastAsia="方正楷体_GBK" w:cs="方正楷体_GBK"/>
          <w:color w:val="auto"/>
          <w:sz w:val="32"/>
          <w:szCs w:val="32"/>
          <w:highlight w:val="none"/>
        </w:rPr>
      </w:pPr>
      <w:bookmarkStart w:id="31" w:name="_Toc209426630"/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val="en-US" w:eastAsia="zh-CN"/>
        </w:rPr>
        <w:t>推进农业要素数据化，构建农业数字底座，形成“一张图”。完善土地承包租赁机制，稳定土地承包关系，推动土地集中连片、透明高效流转，促进农业规模化、集约化发展。加强土地流转监管，保障农民合法权益，促进农村土地资源高效利用。</w:t>
      </w:r>
    </w:p>
    <w:p w14:paraId="3BAEF8B6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</w:rPr>
      </w:pPr>
    </w:p>
    <w:p w14:paraId="10163FEF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</w:rPr>
        <w:t>第三节 家庭经营集约化</w:t>
      </w:r>
      <w:bookmarkEnd w:id="31"/>
    </w:p>
    <w:p w14:paraId="4801010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640" w:firstLineChars="200"/>
        <w:jc w:val="both"/>
        <w:textAlignment w:val="auto"/>
        <w:rPr>
          <w:rFonts w:hint="eastAsia" w:ascii="方正楷体_GBK" w:hAnsi="方正楷体_GBK" w:eastAsia="方正楷体_GBK" w:cs="方正楷体_GBK"/>
          <w:color w:val="auto"/>
          <w:sz w:val="32"/>
          <w:szCs w:val="32"/>
          <w:highlight w:val="none"/>
        </w:rPr>
      </w:pPr>
      <w:bookmarkStart w:id="32" w:name="_Toc209426631"/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培育家庭农场，支持其通过土地流转实现规模化、集约化经营。加强家庭农场与农业社会化服务组织合作，提供耕种管收全程托管、农机作业、农资统购等服务，降低家庭经营成本。加强家庭农场基础设施建设，提升抗风险能力，确保家庭经营可持续发展。</w:t>
      </w:r>
    </w:p>
    <w:p w14:paraId="76A41A73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</w:rPr>
      </w:pPr>
    </w:p>
    <w:p w14:paraId="44E3C685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</w:rPr>
        <w:t>第四节 农村集体经济活权赋能</w:t>
      </w:r>
      <w:bookmarkEnd w:id="32"/>
    </w:p>
    <w:p w14:paraId="75ECE3F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</w:pPr>
      <w:bookmarkStart w:id="33" w:name="_Toc209426632"/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依托集体资产租赁、建设用地流转等方式引入社会资本，支持特色农业、乡村旅游等项目，促进集体经济发展和农民增收。深化“四个一批”行动，推动农村资源高效利用，加强农村集体经济组织管理，完善内部治理结构，确保集体经济健康发展。</w:t>
      </w:r>
    </w:p>
    <w:p w14:paraId="407C9DF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</w:p>
    <w:p w14:paraId="0A1B5CE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第五节 新型农业经营主体提质</w:t>
      </w:r>
      <w:bookmarkEnd w:id="33"/>
    </w:p>
    <w:p w14:paraId="399AE9D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</w:pPr>
      <w:bookmarkStart w:id="34" w:name="_Toc209426633"/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支持农业产业化龙头企业、农民合作社等新型农业经营主体发展壮大，推广先进农业技术和管理模式，提高农业经营效益。加强新型农业经营主体培训，提升经营管理能力，发挥联农带农作用，带动更多农户增收。</w:t>
      </w:r>
    </w:p>
    <w:p w14:paraId="739E8B2E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</w:rPr>
      </w:pPr>
    </w:p>
    <w:p w14:paraId="6749E8A9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</w:rPr>
        <w:t>第六节 农业社会化服务体系</w:t>
      </w:r>
      <w:bookmarkEnd w:id="34"/>
      <w:r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  <w:lang w:val="en-US" w:eastAsia="zh-CN"/>
        </w:rPr>
        <w:t>建设</w:t>
      </w:r>
    </w:p>
    <w:p w14:paraId="65056CB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</w:pPr>
      <w:bookmarkStart w:id="35" w:name="_Toc209426634"/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加强农业社会化服务组织与新型农业经营主体合作，提供专业化、标准化服务，发展农业适度规模经营。完善服务标准，提升服务质量，为农业生产提供高效保障。</w:t>
      </w:r>
    </w:p>
    <w:p w14:paraId="242B7FD4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</w:rPr>
      </w:pPr>
    </w:p>
    <w:p w14:paraId="6F6F5E43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</w:rPr>
        <w:t>第七节 农业援疆推进</w:t>
      </w:r>
      <w:bookmarkEnd w:id="35"/>
    </w:p>
    <w:p w14:paraId="3402BFC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</w:pPr>
      <w:bookmarkStart w:id="36" w:name="_Toc209426635"/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加强与援疆省市和重点农业企业合作，引进先进农业技术和管理经验，提升农业生产效率。支持农业援疆项目建设，加强项目管理，确保项目落地实施。</w:t>
      </w:r>
    </w:p>
    <w:p w14:paraId="6A62F55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黑体_GBK" w:hAnsi="方正黑体_GBK" w:eastAsia="方正黑体_GBK" w:cs="方正黑体_GBK"/>
          <w:b w:val="0"/>
          <w:bCs/>
          <w:color w:val="auto"/>
          <w:sz w:val="32"/>
          <w:szCs w:val="32"/>
          <w:highlight w:val="none"/>
        </w:rPr>
      </w:pPr>
    </w:p>
    <w:p w14:paraId="412C0B7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黑体_GBK" w:hAnsi="方正黑体_GBK" w:eastAsia="方正黑体_GBK" w:cs="方正黑体_GBK"/>
          <w:b w:val="0"/>
          <w:bCs/>
          <w:color w:val="auto"/>
          <w:sz w:val="32"/>
          <w:szCs w:val="32"/>
          <w:highlight w:val="none"/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auto"/>
          <w:sz w:val="32"/>
          <w:szCs w:val="32"/>
          <w:highlight w:val="none"/>
        </w:rPr>
        <w:t>第七章 推进农业产业全链条升级</w:t>
      </w:r>
      <w:bookmarkEnd w:id="36"/>
    </w:p>
    <w:p w14:paraId="11B69A0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color w:val="auto"/>
          <w:sz w:val="32"/>
          <w:szCs w:val="32"/>
          <w:highlight w:val="none"/>
        </w:rPr>
      </w:pPr>
      <w:bookmarkStart w:id="37" w:name="_Toc209426636"/>
    </w:p>
    <w:p w14:paraId="6E082DD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第一节 农产品加工流通升级</w:t>
      </w:r>
      <w:bookmarkEnd w:id="37"/>
    </w:p>
    <w:p w14:paraId="6B6B9BA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val="en-US" w:eastAsia="zh-CN"/>
        </w:rPr>
      </w:pPr>
      <w:bookmarkStart w:id="38" w:name="_Toc209426637"/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构建“产地仓储+冷链物流+交易市场”农产品流通体系，打通农产品“从田间到餐桌”的高效流通渠道。加快红枣、核桃等特色农产品精深加工，持续建设冷鲜库、交割库等冷链物流设施。依托产加销一体化和全产业链等重点项目，培育农业产业化龙头企业和产业链链主企业，打造农产品加工产业增长引擎。完善县域农贸冷鲜物流体系，健全县乡村三级物流体系，整合电商资源，拓宽农产品销售渠道。加强农产品质量安全监管，推动农产品全程可追溯，提升消费者信任度。</w:t>
      </w:r>
    </w:p>
    <w:p w14:paraId="169CFFF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</w:p>
    <w:p w14:paraId="1E3B52F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第二节 农业品牌化提升</w:t>
      </w:r>
      <w:bookmarkEnd w:id="38"/>
    </w:p>
    <w:p w14:paraId="1DEB21B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</w:pPr>
      <w:bookmarkStart w:id="39" w:name="_Toc209426638"/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加快绿色食品、有机农产品和农产品地理标志认证，积极申报“麦盖提灰枣”区域公共品牌，扩大“刀郎”商标推广使用范围，申报名特优农产品。整合电商资源，深化与疆内外大型电商平台合作，办好红枣文化节、核桃丰收节等节庆活动，培育农产品电商品牌，提升市场认知度、美誉度和公信力。支持龙头企业、合作社参与品牌创建，加强品牌保护，维护品牌形象。</w:t>
      </w:r>
    </w:p>
    <w:p w14:paraId="514FE81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</w:p>
    <w:p w14:paraId="2192A9B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第三节 乡村特色产业发展</w:t>
      </w:r>
      <w:bookmarkEnd w:id="39"/>
    </w:p>
    <w:p w14:paraId="3D029E5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val="en-US" w:eastAsia="zh-CN"/>
        </w:rPr>
      </w:pPr>
      <w:bookmarkStart w:id="40" w:name="_Toc209426639"/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加快红枣、核桃等特色林果基地建设，推广标准化生产。依托肉牛、肉羊等畜牧产业，推动规模化养殖和精深加工，延伸产业链条。建设红枣、棉花、蔬菜、特色种植专业村和多浪羊、安格斯牛、家禽养殖特色村，发展乡村旅游、休闲农业等新业态，推动产村融合、一二三产业协同发展。加强特色产业技术培训，确保特色产业可持续发展。</w:t>
      </w:r>
    </w:p>
    <w:p w14:paraId="41E736F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</w:p>
    <w:p w14:paraId="366DD44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第四节 产业融合发展</w:t>
      </w:r>
      <w:bookmarkEnd w:id="40"/>
    </w:p>
    <w:p w14:paraId="1396054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</w:pPr>
      <w:bookmarkStart w:id="41" w:name="_Toc209426640"/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推动农产品精深加工及副产物综合利用，提升产业链附加值。深入挖掘乡村文化内涵，依托红枣、多浪羊、麦西莱甫、木卡姆、农民画、沙漠、防风固沙林等独特资源优势，打造集休闲观光、农事体验、民俗体验于一体的田园综合体，培育具有麦盖提特色的农文旅融合品牌，切实把“人气流量”转化为“经济增量”。加强产业融合政策支持，优化营商环境，吸引社会资本参与。</w:t>
      </w:r>
    </w:p>
    <w:p w14:paraId="4B04600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</w:p>
    <w:p w14:paraId="4536B1A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color w:val="auto"/>
          <w:sz w:val="32"/>
          <w:szCs w:val="32"/>
          <w:highlight w:val="none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第五节 农业绿色转型</w:t>
      </w:r>
      <w:bookmarkEnd w:id="41"/>
    </w:p>
    <w:p w14:paraId="686FA2B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</w:pPr>
      <w:bookmarkStart w:id="42" w:name="_Toc209426641"/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val="en-US" w:eastAsia="zh-CN"/>
        </w:rPr>
        <w:t>积极申报绿色高产高效项目，加快农业绿色转型，推动农业可持续发展。扩大绿色食品、有机农产品认证面积，提升耕地质量和利用效率。深入推进农业节水增产增效，完善田间灌排设施，促进农业用水节约高效。推广有机肥、生物菌肥，减少农药、化肥、残膜污染，加强秸秆综合利用和农业废弃物资源化利用，推动农业循环经济发展，实现农业生态效益和经济效益双提升。</w:t>
      </w:r>
    </w:p>
    <w:p w14:paraId="4CB3B5EC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</w:rPr>
      </w:pPr>
    </w:p>
    <w:p w14:paraId="1EBAAC7F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Times New Roman" w:hAnsi="Times New Roman" w:eastAsia="仿宋" w:cstheme="minorBidi"/>
          <w:color w:val="auto"/>
          <w:kern w:val="2"/>
          <w:sz w:val="28"/>
          <w:szCs w:val="24"/>
          <w:highlight w:val="none"/>
          <w:lang w:val="en-US" w:eastAsia="zh-CN" w:bidi="ar-SA"/>
          <w14:ligatures w14:val="standardContextual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</w:rPr>
        <w:t>第八章 宜居宜业和美乡村建设</w:t>
      </w:r>
      <w:bookmarkEnd w:id="42"/>
    </w:p>
    <w:p w14:paraId="349E8E9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color w:val="auto"/>
          <w:sz w:val="32"/>
          <w:szCs w:val="32"/>
          <w:highlight w:val="none"/>
        </w:rPr>
      </w:pPr>
      <w:bookmarkStart w:id="43" w:name="_Toc209426642"/>
    </w:p>
    <w:p w14:paraId="70D0A17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第一节 乡村建设提升</w:t>
      </w:r>
      <w:bookmarkEnd w:id="43"/>
    </w:p>
    <w:p w14:paraId="462B26E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640" w:firstLineChars="200"/>
        <w:jc w:val="both"/>
        <w:textAlignment w:val="auto"/>
        <w:rPr>
          <w:rFonts w:hint="eastAsia" w:ascii="方正楷体_GBK" w:hAnsi="方正楷体_GBK" w:eastAsia="方正楷体_GBK" w:cs="方正楷体_GBK"/>
          <w:color w:val="auto"/>
          <w:sz w:val="32"/>
          <w:szCs w:val="32"/>
          <w:highlight w:val="none"/>
        </w:rPr>
      </w:pPr>
      <w:bookmarkStart w:id="44" w:name="_Toc209426643"/>
      <w:r>
        <w:rPr>
          <w:rFonts w:hint="default" w:ascii="Times New Roman" w:hAnsi="Times New Roman" w:eastAsia="方正仿宋_GBK" w:cs="Times New Roman"/>
          <w:color w:val="auto"/>
          <w:sz w:val="32"/>
          <w:szCs w:val="40"/>
          <w:highlight w:val="none"/>
          <w:lang w:val="en-US" w:eastAsia="zh-CN"/>
        </w:rPr>
        <w:t>学习运用“千万工程”经验，分类有序、片区化推进乡村振兴，加强县域基础设施一体化规划建设管护。坚持“两有两化四防”标准，持续推进农村户厕改造和后续管护，加大卫生户厕普及力度。巩固提升示范村、美丽庭院和农村污水处理建设成果。科学规划乡村路网结构，推动排水防涝、燃气管网、污水管网等基础设施建设，推进农村水电路气信基础设施提档升级，全面改善乡村综合承载能力和公共服务水平。依法盘活闲置土地和房屋，分类保障乡村发展用地。加快积分制、网格化、数字化治理方式推广运用，加强农村人居环境整治，打造美丽宜居乡村。</w:t>
      </w:r>
    </w:p>
    <w:p w14:paraId="4312FA3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</w:p>
    <w:p w14:paraId="4773132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第二节 乡村治理效能</w:t>
      </w:r>
      <w:bookmarkEnd w:id="44"/>
    </w:p>
    <w:p w14:paraId="38B5C9A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640" w:firstLineChars="200"/>
        <w:jc w:val="both"/>
        <w:textAlignment w:val="auto"/>
        <w:rPr>
          <w:rFonts w:hint="eastAsia" w:ascii="方正楷体_GBK" w:hAnsi="方正楷体_GBK" w:eastAsia="方正楷体_GBK" w:cs="方正楷体_GBK"/>
          <w:color w:val="auto"/>
          <w:sz w:val="32"/>
          <w:szCs w:val="32"/>
          <w:highlight w:val="none"/>
        </w:rPr>
      </w:pPr>
      <w:bookmarkStart w:id="45" w:name="_Toc209426644"/>
      <w:r>
        <w:rPr>
          <w:rFonts w:hint="eastAsia" w:eastAsia="方正仿宋_GBK" w:cs="方正仿宋_GBK"/>
          <w:color w:val="auto"/>
          <w:sz w:val="32"/>
          <w:szCs w:val="32"/>
          <w:highlight w:val="none"/>
          <w:lang w:val="en-US" w:eastAsia="zh-CN"/>
        </w:rPr>
        <w:t>提高强农惠农富农政策效能，构建和谐稳定的乡村社会。深化平安乡村建设，健全矛盾纠纷排查化解机制，强化国通语培训和新时代文明培育，提升农民法治意识和文明素养。加强农村集体“三资”管理队伍建设，增强乡村经济发展内生动力。加强乡村基层组织建设，提升村干部治理能力，推动乡村治理现代化。</w:t>
      </w:r>
    </w:p>
    <w:p w14:paraId="283C2CC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</w:p>
    <w:p w14:paraId="17AFF82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第三节 农村精神文明建设</w:t>
      </w:r>
      <w:bookmarkEnd w:id="45"/>
    </w:p>
    <w:p w14:paraId="38B3A4D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val="en-US" w:eastAsia="zh-CN"/>
        </w:rPr>
      </w:pPr>
      <w:bookmarkStart w:id="46" w:name="_Toc209426645"/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val="en-US" w:eastAsia="zh-CN"/>
        </w:rPr>
        <w:t>加强农村精神文明建设，推动现代文明向农村辐射，加强农村文化设施建设。抓好乡风文明提升，重点推进移风易俗，整治陈规陋习，培育文明节俭乡村新风。加强农村思想道德建设，弘扬社会主义核心价值观，开展丰富多彩的文化活动，丰富农民精神文化生活。</w:t>
      </w:r>
    </w:p>
    <w:p w14:paraId="768E76C8">
      <w:pPr>
        <w:pStyle w:val="3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黑体_GBK" w:hAnsi="方正黑体_GBK" w:eastAsia="方正黑体_GBK" w:cs="方正黑体_GBK"/>
          <w:b w:val="0"/>
          <w:bCs/>
          <w:color w:val="auto"/>
          <w:sz w:val="32"/>
          <w:szCs w:val="32"/>
          <w:highlight w:val="none"/>
        </w:rPr>
      </w:pPr>
    </w:p>
    <w:p w14:paraId="7D723B62">
      <w:pPr>
        <w:pStyle w:val="3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黑体_GBK" w:hAnsi="方正黑体_GBK" w:eastAsia="方正黑体_GBK" w:cs="方正黑体_GBK"/>
          <w:b w:val="0"/>
          <w:bCs/>
          <w:color w:val="auto"/>
          <w:sz w:val="32"/>
          <w:szCs w:val="32"/>
          <w:highlight w:val="none"/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auto"/>
          <w:sz w:val="32"/>
          <w:szCs w:val="32"/>
          <w:highlight w:val="none"/>
        </w:rPr>
        <w:t>第九章 促进农民增收致富</w:t>
      </w:r>
      <w:bookmarkEnd w:id="46"/>
    </w:p>
    <w:p w14:paraId="36D5137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  <w:bookmarkStart w:id="47" w:name="_Toc209426646"/>
      <w:r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第一节 农民素质提升</w:t>
      </w:r>
      <w:bookmarkEnd w:id="47"/>
    </w:p>
    <w:p w14:paraId="06FEE9D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val="en-US" w:eastAsia="zh-CN"/>
        </w:rPr>
      </w:pPr>
      <w:bookmarkStart w:id="48" w:name="_Toc209426647"/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val="en-US" w:eastAsia="zh-CN"/>
        </w:rPr>
        <w:t>围绕农民素质提升目标，全面加强农民技能培训和职业教育。依托县乡村三级培训网络，开展农业技术、电子商务、家政服务等实用技能培训，提升农民就业创业能力。加强农民思想道德教育，整合培训资源，优化培训内容，增强农民自我发展能力。</w:t>
      </w:r>
    </w:p>
    <w:p w14:paraId="30743BDE">
      <w:pPr>
        <w:pStyle w:val="2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</w:p>
    <w:p w14:paraId="34C98229">
      <w:pPr>
        <w:pStyle w:val="2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color w:val="auto"/>
          <w:sz w:val="32"/>
          <w:szCs w:val="32"/>
          <w:highlight w:val="none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第二节 就业质量提高</w:t>
      </w:r>
      <w:bookmarkEnd w:id="48"/>
    </w:p>
    <w:p w14:paraId="1E10146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val="en-US" w:eastAsia="zh-CN"/>
        </w:rPr>
      </w:pPr>
      <w:bookmarkStart w:id="49" w:name="_Toc209426648"/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val="en-US" w:eastAsia="zh-CN"/>
        </w:rPr>
        <w:t>依托现代农业产业园、乡村特色产业，创造更多就业岗位，吸纳农民就近就业。加强就业服务体系建设，完善就业信息平台，提供精准就业服务。加强就业政策支持，优化就业环境，促进农民高质量就业、稳定增收。</w:t>
      </w:r>
    </w:p>
    <w:p w14:paraId="5AFF028E">
      <w:pPr>
        <w:pStyle w:val="2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</w:p>
    <w:p w14:paraId="7D35454B">
      <w:pPr>
        <w:pStyle w:val="2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第三节 农民创新创业</w:t>
      </w:r>
      <w:bookmarkEnd w:id="49"/>
    </w:p>
    <w:p w14:paraId="7CF29F5D">
      <w:pPr>
        <w:pStyle w:val="2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</w:pPr>
      <w:bookmarkStart w:id="50" w:name="_Toc209426649"/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支持农民创新创业，依托乡村特色产业、乡村旅游等资源，鼓励农民创办家庭农场、合作社等新型经营主体。加强创业政策支持，提供创业培训、资金扶持等服务，降低创业门槛。加强创业典型宣传，营造良好创业氛围，激发农村发展活力。</w:t>
      </w:r>
    </w:p>
    <w:p w14:paraId="161EA37C">
      <w:pPr>
        <w:pStyle w:val="2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</w:p>
    <w:p w14:paraId="1274DD31">
      <w:pPr>
        <w:pStyle w:val="2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第四节 增收渠道拓宽</w:t>
      </w:r>
      <w:bookmarkEnd w:id="50"/>
    </w:p>
    <w:p w14:paraId="14D370D8">
      <w:pPr>
        <w:pStyle w:val="2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val="en-US" w:eastAsia="zh-CN"/>
        </w:rPr>
      </w:pPr>
      <w:bookmarkStart w:id="51" w:name="_Toc209426650"/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val="en-US" w:eastAsia="zh-CN"/>
        </w:rPr>
        <w:t>健全财政等各类资金多元投入格局，拓宽农民增收渠道。依托土地流转、资产入股等方式，增加农民财产性收入。发展乡村旅游、休闲农业等新业态，推动农民参与产业链分工，增加经营性收入。加强增收政策支持，优化收入分配机制，推动农民收入持续增长。</w:t>
      </w:r>
    </w:p>
    <w:p w14:paraId="50D69765">
      <w:pPr>
        <w:rPr>
          <w:rFonts w:hint="eastAsia"/>
          <w:color w:val="auto"/>
          <w:highlight w:val="none"/>
        </w:rPr>
      </w:pPr>
    </w:p>
    <w:p w14:paraId="0D626944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/>
        <w:autoSpaceDE/>
        <w:autoSpaceDN/>
        <w:bidi w:val="0"/>
        <w:adjustRightInd w:val="0"/>
        <w:snapToGrid w:val="0"/>
        <w:spacing w:before="0" w:after="0" w:line="570" w:lineRule="exact"/>
        <w:ind w:leftChars="0"/>
        <w:jc w:val="center"/>
        <w:textAlignment w:val="auto"/>
        <w:rPr>
          <w:rFonts w:hint="eastAsia" w:ascii="方正楷体_GBK" w:hAnsi="方正楷体_GBK" w:eastAsia="方正楷体_GBK" w:cs="方正楷体_GBK"/>
          <w:color w:val="auto"/>
          <w:sz w:val="32"/>
          <w:szCs w:val="32"/>
          <w:highlight w:val="none"/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auto"/>
          <w:sz w:val="32"/>
          <w:szCs w:val="32"/>
          <w:highlight w:val="none"/>
          <w:lang w:val="en-US" w:eastAsia="zh-CN"/>
        </w:rPr>
        <w:t xml:space="preserve">第十章 </w:t>
      </w:r>
      <w:r>
        <w:rPr>
          <w:rFonts w:hint="eastAsia" w:ascii="方正黑体_GBK" w:hAnsi="方正黑体_GBK" w:eastAsia="方正黑体_GBK" w:cs="方正黑体_GBK"/>
          <w:b w:val="0"/>
          <w:bCs/>
          <w:color w:val="auto"/>
          <w:sz w:val="32"/>
          <w:szCs w:val="32"/>
          <w:highlight w:val="none"/>
        </w:rPr>
        <w:t>促进融合发展</w:t>
      </w:r>
      <w:bookmarkEnd w:id="51"/>
      <w:bookmarkStart w:id="52" w:name="_Toc209426651"/>
    </w:p>
    <w:p w14:paraId="28CAF114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/>
        <w:autoSpaceDE/>
        <w:autoSpaceDN/>
        <w:bidi w:val="0"/>
        <w:adjustRightInd w:val="0"/>
        <w:snapToGrid w:val="0"/>
        <w:spacing w:before="0" w:after="0" w:line="570" w:lineRule="exact"/>
        <w:jc w:val="both"/>
        <w:textAlignment w:val="auto"/>
        <w:rPr>
          <w:rFonts w:hint="eastAsia" w:ascii="方正楷体_GBK" w:hAnsi="方正楷体_GBK" w:eastAsia="方正楷体_GBK" w:cs="方正楷体_GBK"/>
          <w:color w:val="auto"/>
          <w:sz w:val="32"/>
          <w:szCs w:val="32"/>
          <w:highlight w:val="none"/>
        </w:rPr>
      </w:pPr>
    </w:p>
    <w:p w14:paraId="179EC23A">
      <w:pPr>
        <w:pStyle w:val="2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第一节 兵地融合</w:t>
      </w:r>
      <w:bookmarkEnd w:id="52"/>
    </w:p>
    <w:p w14:paraId="42488F4C">
      <w:pPr>
        <w:pStyle w:val="2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val="en-US" w:eastAsia="zh-CN"/>
        </w:rPr>
      </w:pPr>
      <w:bookmarkStart w:id="53" w:name="_Toc209426652"/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val="en-US" w:eastAsia="zh-CN"/>
        </w:rPr>
        <w:t>围绕兵地融合目标，通过实地走访、座谈交流等方式，深入了解融合发展痛点，及时协调解决难点问题。加大兵地干部人才交流学习力度，通过双向挂职、联合培训等方式促进人才资源流通。整合优化农业农村资源配置，探索团乡统筹“嵌入式”融合发展模式，推动公共服务标准统一、资源共享，提升区域群众生活品质。</w:t>
      </w:r>
    </w:p>
    <w:p w14:paraId="2E9AA685">
      <w:pPr>
        <w:pStyle w:val="2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/>
        <w:autoSpaceDE/>
        <w:autoSpaceDN/>
        <w:bidi w:val="0"/>
        <w:adjustRightInd w:val="0"/>
        <w:snapToGrid w:val="0"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</w:p>
    <w:p w14:paraId="6460E494">
      <w:pPr>
        <w:pStyle w:val="2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/>
        <w:autoSpaceDE/>
        <w:autoSpaceDN/>
        <w:bidi w:val="0"/>
        <w:adjustRightInd w:val="0"/>
        <w:snapToGrid w:val="0"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color w:val="auto"/>
          <w:sz w:val="32"/>
          <w:szCs w:val="32"/>
          <w:highlight w:val="none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第二节 城乡融合发展</w:t>
      </w:r>
      <w:bookmarkEnd w:id="53"/>
    </w:p>
    <w:p w14:paraId="7FA213F8">
      <w:pPr>
        <w:pStyle w:val="2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</w:pPr>
      <w:bookmarkStart w:id="54" w:name="_Toc209426653"/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加快推进新型城镇化和乡村全面振兴，完善城乡融合发展机制，促进城乡要素平等交换、双向流动，健全强农惠农支持制度，逐步缩小城乡差距。推动城乡基本公共服务设施普惠共享、基础设施统一规划建设管理，促进基础设施向农村延伸、公共服务向农村拓展、资源要素向农村倾斜、现代文明向农村辐射，促进城乡共同繁荣发展。</w:t>
      </w:r>
    </w:p>
    <w:p w14:paraId="4155FFD7">
      <w:pPr>
        <w:pStyle w:val="2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</w:p>
    <w:p w14:paraId="101209EF">
      <w:pPr>
        <w:pStyle w:val="2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第三节 防返贫机制完善</w:t>
      </w:r>
      <w:bookmarkEnd w:id="54"/>
    </w:p>
    <w:p w14:paraId="48279849">
      <w:pPr>
        <w:pStyle w:val="2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</w:pPr>
      <w:bookmarkStart w:id="55" w:name="_Toc209426654"/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健全防返贫监测和帮扶机制，巩固拓展脱贫攻坚成果。完善防返贫动态监测机制，对脱贫不稳定户、边缘易致贫户等重点群体实施常态化监测，及时发现并消除返贫风险。用好农户“一键申报”，加强部门筛查预警、基层干部日常走访和集中排查，做到应纳尽纳。强化产业帮扶、就业帮扶、教育帮扶措施，增强脱贫群众内生发展动力。统筹开展农村低收入人口及防止返贫致贫对象认定，推动常态化帮扶体系农村人口全覆盖。</w:t>
      </w:r>
    </w:p>
    <w:p w14:paraId="34EAC65B">
      <w:pPr>
        <w:pStyle w:val="2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/>
        <w:autoSpaceDE/>
        <w:autoSpaceDN/>
        <w:bidi w:val="0"/>
        <w:adjustRightInd w:val="0"/>
        <w:snapToGrid w:val="0"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</w:p>
    <w:p w14:paraId="4241545B">
      <w:pPr>
        <w:pStyle w:val="2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/>
        <w:autoSpaceDE/>
        <w:autoSpaceDN/>
        <w:bidi w:val="0"/>
        <w:adjustRightInd w:val="0"/>
        <w:snapToGrid w:val="0"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第四节 农业开放合作</w:t>
      </w:r>
      <w:bookmarkEnd w:id="55"/>
    </w:p>
    <w:p w14:paraId="49558777">
      <w:pPr>
        <w:pStyle w:val="2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</w:pPr>
      <w:bookmarkStart w:id="56" w:name="_Toc209426655"/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深化农业开放合作，依托特色农业资源，加强与周边地区及国际市场的合作，推动农业技术、资金、人才等要素双向流动。激励各类人才下乡服务和创业就业，支持发展新型农村集体经济。支持农业企业“走出去”，参与国际农业产业链分工，提升农业竞争力。</w:t>
      </w:r>
    </w:p>
    <w:p w14:paraId="49BC61C3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黑体_GBK" w:hAnsi="方正黑体_GBK" w:eastAsia="方正黑体_GBK" w:cs="方正黑体_GBK"/>
          <w:b w:val="0"/>
          <w:bCs/>
          <w:color w:val="auto"/>
          <w:sz w:val="32"/>
          <w:szCs w:val="32"/>
          <w:highlight w:val="none"/>
        </w:rPr>
      </w:pPr>
    </w:p>
    <w:p w14:paraId="6C08D452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黑体_GBK" w:hAnsi="方正黑体_GBK" w:eastAsia="方正黑体_GBK" w:cs="方正黑体_GBK"/>
          <w:b w:val="0"/>
          <w:bCs/>
          <w:color w:val="auto"/>
          <w:sz w:val="32"/>
          <w:szCs w:val="32"/>
          <w:highlight w:val="none"/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auto"/>
          <w:sz w:val="32"/>
          <w:szCs w:val="32"/>
          <w:highlight w:val="none"/>
        </w:rPr>
        <w:t>第十一章 保障措施</w:t>
      </w:r>
      <w:bookmarkEnd w:id="56"/>
    </w:p>
    <w:p w14:paraId="665056E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color w:val="auto"/>
          <w:sz w:val="32"/>
          <w:szCs w:val="32"/>
          <w:highlight w:val="none"/>
        </w:rPr>
      </w:pPr>
      <w:bookmarkStart w:id="57" w:name="_Toc209426656"/>
    </w:p>
    <w:p w14:paraId="75A7FAA4">
      <w:pPr>
        <w:pStyle w:val="2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/>
        <w:autoSpaceDE/>
        <w:autoSpaceDN/>
        <w:bidi w:val="0"/>
        <w:adjustRightInd w:val="0"/>
        <w:snapToGrid w:val="0"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第一节 组织领导</w:t>
      </w:r>
      <w:bookmarkEnd w:id="57"/>
    </w:p>
    <w:p w14:paraId="3923D3B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640" w:firstLineChars="200"/>
        <w:jc w:val="both"/>
        <w:textAlignment w:val="auto"/>
        <w:rPr>
          <w:rFonts w:hint="eastAsia" w:ascii="方正楷体_GBK" w:hAnsi="方正楷体_GBK" w:eastAsia="方正楷体_GBK" w:cs="方正楷体_GBK"/>
          <w:color w:val="auto"/>
          <w:sz w:val="32"/>
          <w:szCs w:val="32"/>
          <w:highlight w:val="none"/>
        </w:rPr>
      </w:pPr>
      <w:bookmarkStart w:id="58" w:name="_Toc209426657"/>
      <w:r>
        <w:rPr>
          <w:rFonts w:hint="eastAsia" w:eastAsia="方正仿宋_GBK" w:cs="方正仿宋_GBK"/>
          <w:color w:val="auto"/>
          <w:sz w:val="32"/>
          <w:szCs w:val="32"/>
          <w:highlight w:val="none"/>
          <w:lang w:val="en-US" w:eastAsia="zh-CN"/>
        </w:rPr>
        <w:t>县委农村工作领导小组要加强统筹，明确行业部门职责，定期召开领导小组会议，研究解决规划实施中的重大问题，定期向县委、县人民政府汇报工作进展，及时调整优化政策措施，确保规划目标顺利实现。</w:t>
      </w:r>
    </w:p>
    <w:p w14:paraId="7443656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</w:p>
    <w:p w14:paraId="43E6149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Times New Roman" w:hAnsi="Times New Roman" w:eastAsia="方正仿宋_GBK" w:cs="方正仿宋_GBK"/>
          <w:b/>
          <w:bCs/>
          <w:color w:val="auto"/>
          <w:sz w:val="32"/>
          <w:szCs w:val="32"/>
          <w:highlight w:val="none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第二节 衔接落实</w:t>
      </w:r>
      <w:bookmarkEnd w:id="58"/>
    </w:p>
    <w:p w14:paraId="479DD70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640" w:firstLineChars="200"/>
        <w:jc w:val="both"/>
        <w:textAlignment w:val="auto"/>
        <w:rPr>
          <w:rFonts w:hint="eastAsia" w:eastAsia="方正仿宋_GBK" w:cs="方正仿宋_GBK"/>
          <w:color w:val="auto"/>
          <w:sz w:val="32"/>
          <w:szCs w:val="32"/>
          <w:highlight w:val="none"/>
          <w:lang w:val="en-US" w:eastAsia="zh-CN"/>
        </w:rPr>
      </w:pPr>
      <w:bookmarkStart w:id="59" w:name="_Toc209426658"/>
      <w:r>
        <w:rPr>
          <w:rFonts w:hint="eastAsia" w:eastAsia="方正仿宋_GBK" w:cs="方正仿宋_GBK"/>
          <w:color w:val="auto"/>
          <w:sz w:val="32"/>
          <w:szCs w:val="32"/>
          <w:highlight w:val="none"/>
          <w:lang w:val="en-US" w:eastAsia="zh-CN"/>
        </w:rPr>
        <w:t>加强与上级部门沟通协调，争取政策、资金、项目支持，确保规划与国家和自治区战略部署有效对接。将规划目标任务分解到乡镇、部门，明确责任主体和完成时限。建立规划实施动态监测机制，确保规划落地见效。</w:t>
      </w:r>
    </w:p>
    <w:p w14:paraId="4EC302A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</w:p>
    <w:p w14:paraId="534CFE5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第三节 评估考核</w:t>
      </w:r>
      <w:bookmarkEnd w:id="59"/>
    </w:p>
    <w:p w14:paraId="7A0BC26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640" w:firstLineChars="200"/>
        <w:jc w:val="both"/>
        <w:textAlignment w:val="auto"/>
        <w:rPr>
          <w:rFonts w:hint="eastAsia" w:eastAsia="方正仿宋_GBK" w:cs="方正仿宋_GBK"/>
          <w:color w:val="auto"/>
          <w:sz w:val="32"/>
          <w:szCs w:val="32"/>
          <w:highlight w:val="none"/>
          <w:lang w:val="en-US" w:eastAsia="zh-CN"/>
        </w:rPr>
      </w:pPr>
      <w:bookmarkStart w:id="60" w:name="_Toc209426659"/>
      <w:r>
        <w:rPr>
          <w:rFonts w:hint="eastAsia" w:eastAsia="方正仿宋_GBK" w:cs="方正仿宋_GBK"/>
          <w:color w:val="auto"/>
          <w:sz w:val="32"/>
          <w:szCs w:val="32"/>
          <w:highlight w:val="none"/>
          <w:lang w:val="en-US" w:eastAsia="zh-CN"/>
        </w:rPr>
        <w:t>建立健全评估考核机制，制定科学的评估指标体系，重点考核农业综合生产能力、农业高质量发展、乡村建设、高素质农民培育等关键指标。加强评估结果运用，将评估结果作为干部考核的重要依据，激励各级干部积极作为。</w:t>
      </w:r>
    </w:p>
    <w:p w14:paraId="07DCF761">
      <w:pPr>
        <w:pStyle w:val="2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/>
        <w:autoSpaceDE/>
        <w:autoSpaceDN/>
        <w:bidi w:val="0"/>
        <w:adjustRightInd w:val="0"/>
        <w:snapToGrid w:val="0"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</w:p>
    <w:p w14:paraId="77308D7E">
      <w:pPr>
        <w:pStyle w:val="2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/>
        <w:autoSpaceDE/>
        <w:autoSpaceDN/>
        <w:bidi w:val="0"/>
        <w:adjustRightInd w:val="0"/>
        <w:snapToGrid w:val="0"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第四节 法制保障</w:t>
      </w:r>
      <w:bookmarkEnd w:id="60"/>
    </w:p>
    <w:p w14:paraId="7395914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640" w:firstLineChars="200"/>
        <w:jc w:val="both"/>
        <w:textAlignment w:val="auto"/>
        <w:rPr>
          <w:rFonts w:hint="eastAsia" w:ascii="方正楷体_GBK" w:hAnsi="方正楷体_GBK" w:eastAsia="方正楷体_GBK" w:cs="方正楷体_GBK"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  <w:bookmarkStart w:id="61" w:name="_Toc209426660"/>
      <w:r>
        <w:rPr>
          <w:rFonts w:hint="eastAsia" w:eastAsia="方正仿宋_GBK" w:cs="方正仿宋_GBK"/>
          <w:color w:val="auto"/>
          <w:sz w:val="32"/>
          <w:szCs w:val="32"/>
          <w:highlight w:val="none"/>
          <w:lang w:val="en-US" w:eastAsia="zh-CN"/>
        </w:rPr>
        <w:t>严格落实《中华人民共和国国家发展规划法》《中华人民共和国城乡规划法》《中华人民共和国乡村振兴促进法》《中华人民共和国土地管理法》等法律法规，强化普法宣传，提高农民法律意识，推动法治乡村建设，为农业农村现代化发展提供法治保障。</w:t>
      </w:r>
    </w:p>
    <w:p w14:paraId="79B63EDC">
      <w:pPr>
        <w:pStyle w:val="2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/>
        <w:autoSpaceDE/>
        <w:autoSpaceDN/>
        <w:bidi w:val="0"/>
        <w:adjustRightInd w:val="0"/>
        <w:snapToGrid w:val="0"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</w:p>
    <w:p w14:paraId="2F68DA9A">
      <w:pPr>
        <w:pStyle w:val="2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/>
        <w:autoSpaceDE/>
        <w:autoSpaceDN/>
        <w:bidi w:val="0"/>
        <w:adjustRightInd w:val="0"/>
        <w:snapToGrid w:val="0"/>
        <w:spacing w:before="0" w:after="0" w:line="57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第五节 社会参与</w:t>
      </w:r>
      <w:bookmarkEnd w:id="61"/>
    </w:p>
    <w:p w14:paraId="3A3CF15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570" w:lineRule="exact"/>
        <w:ind w:left="0" w:leftChars="0" w:firstLine="640" w:firstLineChars="200"/>
        <w:jc w:val="both"/>
        <w:textAlignment w:val="auto"/>
        <w:rPr>
          <w:rFonts w:hint="eastAsia" w:eastAsia="方正仿宋_GBK" w:cs="方正仿宋_GBK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eastAsia="方正仿宋_GBK" w:cs="方正仿宋_GBK"/>
          <w:color w:val="auto"/>
          <w:sz w:val="32"/>
          <w:szCs w:val="32"/>
          <w:highlight w:val="none"/>
          <w:lang w:val="en-US" w:eastAsia="zh-CN"/>
        </w:rPr>
        <w:t>加强宣传引导，积极营造全社会关心、支持农业农村现代化发展的浓厚氛围，广泛凝聚社会共识，形成全社会共同推进的良好局面。</w:t>
      </w:r>
    </w:p>
    <w:sectPr>
      <w:headerReference r:id="rId5" w:type="default"/>
      <w:footerReference r:id="rId6" w:type="default"/>
      <w:pgSz w:w="11906" w:h="16838"/>
      <w:pgMar w:top="1984" w:right="1531" w:bottom="1701" w:left="1531" w:header="851" w:footer="737" w:gutter="0"/>
      <w:pgNumType w:fmt="decimal" w:start="1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 Light">
    <w:altName w:val="Nimbus Roman No9 L"/>
    <w:panose1 w:val="020F0302020204030204"/>
    <w:charset w:val="00"/>
    <w:family w:val="auto"/>
    <w:pitch w:val="default"/>
    <w:sig w:usb0="00000000" w:usb1="00000000" w:usb2="00000009" w:usb3="00000000" w:csb0="200001F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80A05E">
    <w:pPr>
      <w:pStyle w:val="5"/>
      <w:ind w:firstLine="0" w:firstLineChars="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FC9FF9">
                          <w:pPr>
                            <w:pStyle w:val="5"/>
                            <w:ind w:firstLine="0" w:firstLineChars="0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9FC9FF9">
                    <w:pPr>
                      <w:pStyle w:val="5"/>
                      <w:ind w:firstLine="0" w:firstLineChars="0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5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  <w:ind w:firstLine="560"/>
      </w:pPr>
      <w:r>
        <w:separator/>
      </w:r>
    </w:p>
  </w:footnote>
  <w:footnote w:type="continuationSeparator" w:id="1">
    <w:p>
      <w:pPr>
        <w:spacing w:before="0" w:after="0" w:line="360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15DC69">
    <w:pPr>
      <w:pStyle w:val="6"/>
      <w:ind w:firstLine="36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273274"/>
    <w:rsid w:val="47196B15"/>
    <w:rsid w:val="49273274"/>
    <w:rsid w:val="4A21444B"/>
    <w:rsid w:val="61F4A1B2"/>
    <w:rsid w:val="6CF83960"/>
    <w:rsid w:val="7976E3FC"/>
    <w:rsid w:val="7ED7F16C"/>
    <w:rsid w:val="BF9B4B81"/>
    <w:rsid w:val="D7CDCB73"/>
    <w:rsid w:val="FE75B48A"/>
    <w:rsid w:val="FFFE3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before="60" w:after="60" w:line="360" w:lineRule="auto"/>
      <w:ind w:firstLine="200" w:firstLineChars="200"/>
      <w:jc w:val="both"/>
    </w:pPr>
    <w:rPr>
      <w:rFonts w:ascii="Times New Roman" w:hAnsi="Times New Roman" w:eastAsia="仿宋" w:cstheme="minorBidi"/>
      <w:kern w:val="2"/>
      <w:sz w:val="28"/>
      <w:szCs w:val="24"/>
      <w:lang w:val="en-US" w:eastAsia="zh-CN" w:bidi="ar-SA"/>
      <w14:ligatures w14:val="standardContextual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480" w:after="80"/>
      <w:jc w:val="center"/>
      <w:outlineLvl w:val="0"/>
    </w:pPr>
    <w:rPr>
      <w:rFonts w:eastAsia="黑体" w:asciiTheme="majorHAnsi" w:hAnsiTheme="majorHAnsi" w:cstheme="majorBidi"/>
      <w:b/>
      <w:sz w:val="32"/>
      <w:szCs w:val="48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80" w:after="80"/>
      <w:outlineLvl w:val="1"/>
    </w:pPr>
    <w:rPr>
      <w:rFonts w:eastAsia="黑体" w:asciiTheme="majorHAnsi" w:hAnsiTheme="majorHAnsi" w:cstheme="majorBidi"/>
      <w:color w:val="000000" w:themeColor="text1"/>
      <w:szCs w:val="40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="80" w:after="80"/>
      <w:outlineLvl w:val="2"/>
    </w:pPr>
    <w:rPr>
      <w:rFonts w:asciiTheme="majorHAnsi" w:hAnsiTheme="majorHAnsi" w:cstheme="majorBidi"/>
      <w:b/>
      <w:szCs w:val="32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next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6">
    <w:name w:val="head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7">
    <w:name w:val="toc 1"/>
    <w:basedOn w:val="1"/>
    <w:next w:val="1"/>
    <w:unhideWhenUsed/>
    <w:qFormat/>
    <w:uiPriority w:val="39"/>
    <w:rPr>
      <w:b/>
    </w:rPr>
  </w:style>
  <w:style w:type="paragraph" w:styleId="8">
    <w:name w:val="toc 2"/>
    <w:basedOn w:val="1"/>
    <w:next w:val="1"/>
    <w:unhideWhenUsed/>
    <w:qFormat/>
    <w:uiPriority w:val="39"/>
    <w:pPr>
      <w:ind w:left="420" w:leftChars="200"/>
    </w:p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59"/>
    <w:pPr>
      <w:widowControl w:val="0"/>
      <w:jc w:val="both"/>
    </w:pPr>
    <w:rPr>
      <w:rFonts w:ascii="Calibri" w:hAnsi="Calibri" w:eastAsia="宋体" w:cs="Arial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Hyperlink"/>
    <w:basedOn w:val="12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customStyle="1" w:styleId="14">
    <w:name w:val="表格"/>
    <w:basedOn w:val="1"/>
    <w:qFormat/>
    <w:uiPriority w:val="0"/>
    <w:pPr>
      <w:spacing w:before="0" w:after="0"/>
      <w:ind w:firstLine="0" w:firstLineChars="0"/>
    </w:pPr>
    <w:rPr>
      <w:rFonts w:ascii="Calibri" w:hAnsi="Calibri" w:cs="Arial"/>
      <w:sz w:val="21"/>
      <w:szCs w:val="22"/>
      <w14:ligatures w14:val="none"/>
    </w:rPr>
  </w:style>
  <w:style w:type="paragraph" w:customStyle="1" w:styleId="15">
    <w:name w:val="table of authorities"/>
    <w:basedOn w:val="1"/>
    <w:next w:val="1"/>
    <w:qFormat/>
    <w:uiPriority w:val="0"/>
    <w:pPr>
      <w:widowControl w:val="0"/>
      <w:spacing w:before="0" w:beforeLines="0" w:after="0" w:afterLines="0"/>
      <w:ind w:left="420" w:leftChars="200" w:right="0"/>
      <w:jc w:val="both"/>
    </w:pPr>
    <w:rPr>
      <w:rFonts w:ascii="Calibri" w:hAnsi="Calibri" w:eastAsia="宋体" w:cs="Times New Roman"/>
      <w:kern w:val="2"/>
      <w:sz w:val="32"/>
      <w:szCs w:val="32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25</Pages>
  <Words>15945</Words>
  <Characters>16327</Characters>
  <Lines>0</Lines>
  <Paragraphs>0</Paragraphs>
  <TotalTime>60</TotalTime>
  <ScaleCrop>false</ScaleCrop>
  <LinksUpToDate>false</LinksUpToDate>
  <CharactersWithSpaces>16416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2026-09-16T14:45:00Z</dcterms:created>
  <dc:creator>殇璃</dc:creator>
  <cp:lastModifiedBy>user</cp:lastModifiedBy>
  <cp:lastPrinted>2026-09-16T17:38:21Z</cp:lastPrinted>
  <dcterms:modified xsi:type="dcterms:W3CDTF">2026-09-17T11:34:35Z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1A47A2A2E3F54D34B1213AF652940D71_13</vt:lpwstr>
  </property>
  <property fmtid="{D5CDD505-2E9C-101B-9397-08002B2CF9AE}" pid="4" name="KSOTemplateDocerSaveRecord">
    <vt:lpwstr>eyJoZGlkIjoiMWU0NjljNTE2MThmMzI1MTk2NDQ0YzM4NjM4N2UyNGYiLCJ1c2VySWQiOiI2NzQyNTE1NzMifQ==</vt:lpwstr>
  </property>
</Properties>
</file>