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rPr>
          <w:rFonts w:hint="eastAsia"/>
          <w:b w:val="0"/>
          <w:bCs w:val="0"/>
          <w:lang w:eastAsia="zh-CN"/>
        </w:rPr>
      </w:pPr>
      <w:r>
        <w:rPr>
          <w:rFonts w:hint="eastAsia"/>
          <w:b w:val="0"/>
          <w:bCs w:val="0"/>
          <w:lang w:eastAsia="zh-CN"/>
        </w:rPr>
        <w:t>麦盖提县庆“双节”首届房交会优惠政策汇编</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540" w:lineRule="exact"/>
        <w:ind w:leftChars="200"/>
        <w:textAlignment w:val="auto"/>
        <w:rPr>
          <w:rFonts w:hint="eastAsia"/>
          <w:lang w:eastAsia="zh-CN"/>
        </w:rPr>
      </w:pPr>
      <w:r>
        <w:rPr>
          <w:rFonts w:hint="eastAsia"/>
          <w:lang w:eastAsia="zh-CN"/>
        </w:rPr>
        <w:t>一、住房公积金贷款政策</w:t>
      </w:r>
    </w:p>
    <w:p>
      <w:pPr>
        <w:pStyle w:val="2"/>
        <w:keepNext/>
        <w:keepLines/>
        <w:pageBreakBefore w:val="0"/>
        <w:widowControl w:val="0"/>
        <w:kinsoku/>
        <w:wordWrap/>
        <w:overflowPunct/>
        <w:topLinePunct w:val="0"/>
        <w:autoSpaceDE/>
        <w:autoSpaceDN/>
        <w:bidi w:val="0"/>
        <w:adjustRightInd w:val="0"/>
        <w:snapToGrid w:val="0"/>
        <w:spacing w:line="540" w:lineRule="exact"/>
        <w:textAlignment w:val="auto"/>
        <w:rPr>
          <w:rFonts w:hint="eastAsia"/>
          <w:lang w:eastAsia="zh-CN"/>
        </w:rPr>
      </w:pPr>
      <w:r>
        <w:rPr>
          <w:rFonts w:hint="eastAsia"/>
          <w:lang w:eastAsia="zh-CN"/>
        </w:rPr>
        <w:t>首套住房优惠政策</w:t>
      </w:r>
    </w:p>
    <w:p>
      <w:pPr>
        <w:keepNext/>
        <w:keepLines/>
        <w:pageBreakBefore w:val="0"/>
        <w:widowControl w:val="0"/>
        <w:numPr>
          <w:ilvl w:val="0"/>
          <w:numId w:val="0"/>
        </w:numPr>
        <w:kinsoku/>
        <w:wordWrap/>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1.公积金贷款年利率1-5年2.6%，5年以上3.1%；</w:t>
      </w:r>
    </w:p>
    <w:p>
      <w:pPr>
        <w:keepNext/>
        <w:keepLines/>
        <w:pageBreakBefore w:val="0"/>
        <w:widowControl w:val="0"/>
        <w:numPr>
          <w:ilvl w:val="0"/>
          <w:numId w:val="0"/>
        </w:numPr>
        <w:kinsoku/>
        <w:wordWrap/>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2.可提取本人及配偶公积金交首付；</w:t>
      </w:r>
    </w:p>
    <w:p>
      <w:pPr>
        <w:keepNext/>
        <w:keepLines/>
        <w:pageBreakBefore w:val="0"/>
        <w:widowControl w:val="0"/>
        <w:numPr>
          <w:ilvl w:val="0"/>
          <w:numId w:val="0"/>
        </w:numPr>
        <w:kinsoku/>
        <w:wordWrap/>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3.可贷额度高达购房总款的80%；</w:t>
      </w:r>
    </w:p>
    <w:p>
      <w:pPr>
        <w:keepNext/>
        <w:keepLines/>
        <w:pageBreakBefore w:val="0"/>
        <w:widowControl w:val="0"/>
        <w:numPr>
          <w:ilvl w:val="0"/>
          <w:numId w:val="0"/>
        </w:numPr>
        <w:kinsoku/>
        <w:wordWrap/>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4.可用本人及配偶公积金余额还贷款；</w:t>
      </w:r>
    </w:p>
    <w:p>
      <w:pPr>
        <w:keepNext/>
        <w:keepLines/>
        <w:pageBreakBefore w:val="0"/>
        <w:widowControl w:val="0"/>
        <w:numPr>
          <w:ilvl w:val="0"/>
          <w:numId w:val="0"/>
        </w:numPr>
        <w:kinsoku/>
        <w:wordWrap/>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5.提前还款可减免后期应付利息。</w:t>
      </w:r>
    </w:p>
    <w:p>
      <w:pPr>
        <w:pStyle w:val="2"/>
        <w:keepNext/>
        <w:keepLines/>
        <w:pageBreakBefore w:val="0"/>
        <w:widowControl w:val="0"/>
        <w:kinsoku/>
        <w:wordWrap/>
        <w:overflowPunct/>
        <w:topLinePunct w:val="0"/>
        <w:autoSpaceDE/>
        <w:autoSpaceDN/>
        <w:bidi w:val="0"/>
        <w:adjustRightInd w:val="0"/>
        <w:snapToGrid w:val="0"/>
        <w:spacing w:line="540" w:lineRule="exact"/>
        <w:textAlignment w:val="auto"/>
        <w:rPr>
          <w:rFonts w:hint="eastAsia"/>
          <w:lang w:val="en-US" w:eastAsia="zh-CN"/>
        </w:rPr>
      </w:pPr>
      <w:r>
        <w:rPr>
          <w:rFonts w:hint="eastAsia"/>
          <w:lang w:val="en-US" w:eastAsia="zh-CN"/>
        </w:rPr>
        <w:t>便民服务措施</w:t>
      </w:r>
    </w:p>
    <w:p>
      <w:pPr>
        <w:keepNext/>
        <w:keepLines/>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ascii="方正仿宋_GBK" w:hAnsi="方正仿宋_GBK" w:eastAsia="方正仿宋_GBK" w:cs="方正仿宋_GBK"/>
          <w:sz w:val="32"/>
          <w:szCs w:val="32"/>
          <w:lang w:val="en-US" w:eastAsia="zh-CN"/>
        </w:rPr>
      </w:pPr>
      <w:r>
        <w:rPr>
          <w:rFonts w:hint="eastAsia" w:cs="方正仿宋_GBK"/>
          <w:sz w:val="32"/>
          <w:szCs w:val="32"/>
          <w:lang w:val="en-US" w:eastAsia="zh-CN"/>
        </w:rPr>
        <w:t>1.</w:t>
      </w:r>
      <w:r>
        <w:rPr>
          <w:rFonts w:hint="eastAsia" w:ascii="方正仿宋_GBK" w:hAnsi="方正仿宋_GBK" w:eastAsia="方正仿宋_GBK" w:cs="方正仿宋_GBK"/>
          <w:sz w:val="32"/>
          <w:szCs w:val="32"/>
          <w:lang w:val="en-US" w:eastAsia="zh-CN"/>
        </w:rPr>
        <w:t>减少业务资料</w:t>
      </w:r>
      <w:r>
        <w:rPr>
          <w:rFonts w:hint="eastAsia" w:cs="方正仿宋_GBK"/>
          <w:sz w:val="32"/>
          <w:szCs w:val="32"/>
          <w:lang w:val="en-US" w:eastAsia="zh-CN"/>
        </w:rPr>
        <w:t>，需准备</w:t>
      </w:r>
      <w:r>
        <w:rPr>
          <w:rFonts w:hint="eastAsia" w:ascii="方正仿宋_GBK" w:hAnsi="方正仿宋_GBK" w:eastAsia="方正仿宋_GBK" w:cs="方正仿宋_GBK"/>
          <w:sz w:val="32"/>
          <w:szCs w:val="32"/>
          <w:lang w:val="en-US" w:eastAsia="zh-CN"/>
        </w:rPr>
        <w:t>征信报告、购房合同、交款收据、预售登记证、身份证、户口本、婚姻证明、银行卡、工资卡明细</w:t>
      </w:r>
      <w:r>
        <w:rPr>
          <w:rFonts w:hint="eastAsia" w:cs="方正仿宋_GBK"/>
          <w:sz w:val="32"/>
          <w:szCs w:val="32"/>
          <w:lang w:val="en-US" w:eastAsia="zh-CN"/>
        </w:rPr>
        <w:t>；</w:t>
      </w:r>
    </w:p>
    <w:p>
      <w:pPr>
        <w:keepNext/>
        <w:keepLines/>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ascii="方正仿宋_GBK" w:hAnsi="方正仿宋_GBK" w:eastAsia="方正仿宋_GBK" w:cs="方正仿宋_GBK"/>
          <w:sz w:val="32"/>
          <w:szCs w:val="32"/>
          <w:lang w:val="en-US" w:eastAsia="zh-CN"/>
        </w:rPr>
      </w:pPr>
      <w:r>
        <w:rPr>
          <w:rFonts w:hint="eastAsia" w:cs="方正仿宋_GBK"/>
          <w:sz w:val="32"/>
          <w:szCs w:val="32"/>
          <w:lang w:val="en-US" w:eastAsia="zh-CN"/>
        </w:rPr>
        <w:t>2.</w:t>
      </w:r>
      <w:r>
        <w:rPr>
          <w:rFonts w:hint="eastAsia" w:ascii="方正仿宋_GBK" w:hAnsi="方正仿宋_GBK" w:eastAsia="方正仿宋_GBK" w:cs="方正仿宋_GBK"/>
          <w:sz w:val="32"/>
          <w:szCs w:val="32"/>
          <w:lang w:val="en-US" w:eastAsia="zh-CN"/>
        </w:rPr>
        <w:t>简化办事流程</w:t>
      </w:r>
      <w:r>
        <w:rPr>
          <w:rFonts w:hint="eastAsia" w:cs="方正仿宋_GBK"/>
          <w:sz w:val="32"/>
          <w:szCs w:val="32"/>
          <w:lang w:val="en-US" w:eastAsia="zh-CN"/>
        </w:rPr>
        <w:t>，需</w:t>
      </w:r>
      <w:r>
        <w:rPr>
          <w:rFonts w:hint="eastAsia" w:ascii="方正仿宋_GBK" w:hAnsi="方正仿宋_GBK" w:eastAsia="方正仿宋_GBK" w:cs="方正仿宋_GBK"/>
          <w:sz w:val="32"/>
          <w:szCs w:val="32"/>
          <w:lang w:val="en-US" w:eastAsia="zh-CN"/>
        </w:rPr>
        <w:t>本人及配偶带齐相关资料前往公积金管理部一次性办结提取及贷款业务</w:t>
      </w:r>
      <w:r>
        <w:rPr>
          <w:rFonts w:hint="eastAsia" w:cs="方正仿宋_GBK"/>
          <w:sz w:val="32"/>
          <w:szCs w:val="32"/>
          <w:lang w:val="en-US" w:eastAsia="zh-CN"/>
        </w:rPr>
        <w:t>；</w:t>
      </w:r>
    </w:p>
    <w:p>
      <w:pPr>
        <w:keepNext/>
        <w:keepLines/>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ascii="方正仿宋_GBK" w:hAnsi="方正仿宋_GBK" w:eastAsia="方正仿宋_GBK" w:cs="方正仿宋_GBK"/>
          <w:sz w:val="32"/>
          <w:szCs w:val="32"/>
          <w:lang w:val="en-US" w:eastAsia="zh-CN"/>
        </w:rPr>
      </w:pPr>
      <w:r>
        <w:rPr>
          <w:rFonts w:hint="eastAsia" w:cs="方正仿宋_GBK"/>
          <w:sz w:val="32"/>
          <w:szCs w:val="32"/>
          <w:lang w:val="en-US" w:eastAsia="zh-CN"/>
        </w:rPr>
        <w:t>3.</w:t>
      </w:r>
      <w:r>
        <w:rPr>
          <w:rFonts w:hint="eastAsia" w:ascii="方正仿宋_GBK" w:hAnsi="方正仿宋_GBK" w:eastAsia="方正仿宋_GBK" w:cs="方正仿宋_GBK"/>
          <w:sz w:val="32"/>
          <w:szCs w:val="32"/>
          <w:lang w:val="en-US" w:eastAsia="zh-CN"/>
        </w:rPr>
        <w:t>压缩放款时限</w:t>
      </w:r>
      <w:r>
        <w:rPr>
          <w:rFonts w:hint="eastAsia" w:cs="方正仿宋_GBK"/>
          <w:sz w:val="32"/>
          <w:szCs w:val="32"/>
          <w:lang w:val="en-US" w:eastAsia="zh-CN"/>
        </w:rPr>
        <w:t>，</w:t>
      </w:r>
      <w:r>
        <w:rPr>
          <w:rFonts w:hint="eastAsia" w:ascii="方正仿宋_GBK" w:hAnsi="方正仿宋_GBK" w:eastAsia="方正仿宋_GBK" w:cs="方正仿宋_GBK"/>
          <w:sz w:val="32"/>
          <w:szCs w:val="32"/>
          <w:lang w:val="en-US" w:eastAsia="zh-CN"/>
        </w:rPr>
        <w:t>提取资金当日到账，贷款业务当日提交受托银行办理贷款。</w:t>
      </w:r>
    </w:p>
    <w:p>
      <w:pPr>
        <w:pStyle w:val="2"/>
        <w:keepNext/>
        <w:keepLines/>
        <w:pageBreakBefore w:val="0"/>
        <w:widowControl w:val="0"/>
        <w:kinsoku/>
        <w:wordWrap/>
        <w:overflowPunct/>
        <w:topLinePunct w:val="0"/>
        <w:autoSpaceDE/>
        <w:autoSpaceDN/>
        <w:bidi w:val="0"/>
        <w:adjustRightInd w:val="0"/>
        <w:snapToGrid w:val="0"/>
        <w:spacing w:line="540" w:lineRule="exact"/>
        <w:textAlignment w:val="auto"/>
        <w:rPr>
          <w:rFonts w:hint="eastAsia"/>
          <w:lang w:val="en-US" w:eastAsia="zh-CN"/>
        </w:rPr>
      </w:pPr>
      <w:r>
        <w:rPr>
          <w:rFonts w:hint="eastAsia"/>
          <w:lang w:val="en-US" w:eastAsia="zh-CN"/>
        </w:rPr>
        <w:t>注意事项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lang w:val="en-US" w:eastAsia="zh-CN"/>
        </w:rPr>
        <w:t>第二套个人住房公积金贷款利率政策保持不变，即5年以下（含5年）和5年以上利率分别不低于3.025%和3.575%。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ascii="方正仿宋_GBK" w:hAnsi="方正仿宋_GBK" w:eastAsia="方正仿宋_GBK" w:cs="方正仿宋_GBK"/>
          <w:sz w:val="32"/>
          <w:szCs w:val="32"/>
          <w:lang w:val="en-US" w:eastAsia="zh-CN"/>
        </w:rPr>
      </w:pPr>
      <w:r>
        <w:rPr>
          <w:rFonts w:hint="eastAsia" w:cs="方正仿宋_GBK"/>
          <w:sz w:val="32"/>
          <w:szCs w:val="32"/>
          <w:lang w:val="en-US" w:eastAsia="zh-CN"/>
        </w:rPr>
        <w:t>2.</w:t>
      </w:r>
      <w:r>
        <w:rPr>
          <w:rFonts w:hint="eastAsia" w:ascii="方正仿宋_GBK" w:hAnsi="方正仿宋_GBK" w:eastAsia="方正仿宋_GBK" w:cs="方正仿宋_GBK"/>
          <w:sz w:val="32"/>
          <w:szCs w:val="32"/>
          <w:lang w:val="en-US" w:eastAsia="zh-CN"/>
        </w:rPr>
        <w:t>使用公积金贷款的，必须满足按月足额缴纳公积金6个月；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ascii="方正仿宋_GBK" w:hAnsi="方正仿宋_GBK" w:eastAsia="方正仿宋_GBK" w:cs="方正仿宋_GBK"/>
          <w:sz w:val="32"/>
          <w:szCs w:val="32"/>
          <w:lang w:val="en-US" w:eastAsia="zh-CN"/>
        </w:rPr>
      </w:pPr>
      <w:r>
        <w:rPr>
          <w:rFonts w:hint="eastAsia" w:cs="方正仿宋_GBK"/>
          <w:sz w:val="32"/>
          <w:szCs w:val="32"/>
          <w:lang w:val="en-US" w:eastAsia="zh-CN"/>
        </w:rPr>
        <w:t>3</w:t>
      </w:r>
      <w:r>
        <w:rPr>
          <w:rFonts w:hint="eastAsia" w:ascii="方正仿宋_GBK" w:hAnsi="方正仿宋_GBK" w:eastAsia="方正仿宋_GBK" w:cs="方正仿宋_GBK"/>
          <w:sz w:val="32"/>
          <w:szCs w:val="32"/>
          <w:lang w:val="en-US" w:eastAsia="zh-CN"/>
        </w:rPr>
        <w:t>.征信方面，出现连续3次或累计6次预期</w:t>
      </w:r>
      <w:r>
        <w:rPr>
          <w:rFonts w:hint="eastAsia" w:cs="方正仿宋_GBK"/>
          <w:sz w:val="32"/>
          <w:szCs w:val="32"/>
          <w:lang w:val="en-US" w:eastAsia="zh-CN"/>
        </w:rPr>
        <w:t>不得公积金贷款</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637" w:leftChars="192" w:firstLine="0" w:firstLineChars="0"/>
        <w:textAlignment w:val="auto"/>
        <w:rPr>
          <w:rFonts w:hint="eastAsia" w:ascii="方正仿宋_GBK" w:hAnsi="方正仿宋_GBK" w:eastAsia="方正仿宋_GBK" w:cs="方正仿宋_GBK"/>
          <w:b/>
          <w:bCs/>
          <w:sz w:val="32"/>
          <w:szCs w:val="32"/>
          <w:lang w:val="en-US" w:eastAsia="zh-CN"/>
        </w:rPr>
      </w:pPr>
      <w:r>
        <w:rPr>
          <w:rFonts w:hint="eastAsia" w:cs="方正仿宋_GBK"/>
          <w:sz w:val="32"/>
          <w:szCs w:val="32"/>
          <w:lang w:val="en-US" w:eastAsia="zh-CN"/>
        </w:rPr>
        <w:t>4</w:t>
      </w:r>
      <w:r>
        <w:rPr>
          <w:rFonts w:hint="eastAsia" w:ascii="方正仿宋_GBK" w:hAnsi="方正仿宋_GBK" w:eastAsia="方正仿宋_GBK" w:cs="方正仿宋_GBK"/>
          <w:sz w:val="32"/>
          <w:szCs w:val="32"/>
          <w:lang w:val="en-US" w:eastAsia="zh-CN"/>
        </w:rPr>
        <w:t>.夫妻双方公积金贷款次数</w:t>
      </w:r>
      <w:r>
        <w:rPr>
          <w:rFonts w:hint="eastAsia" w:cs="方正仿宋_GBK"/>
          <w:sz w:val="32"/>
          <w:szCs w:val="32"/>
          <w:lang w:val="en-US" w:eastAsia="zh-CN"/>
        </w:rPr>
        <w:t>累计</w:t>
      </w:r>
      <w:r>
        <w:rPr>
          <w:rFonts w:hint="eastAsia" w:ascii="方正仿宋_GBK" w:hAnsi="方正仿宋_GBK" w:eastAsia="方正仿宋_GBK" w:cs="方正仿宋_GBK"/>
          <w:sz w:val="32"/>
          <w:szCs w:val="32"/>
          <w:lang w:val="en-US" w:eastAsia="zh-CN"/>
        </w:rPr>
        <w:t>不得超过2次；</w:t>
      </w:r>
      <w:r>
        <w:rPr>
          <w:rFonts w:hint="eastAsia" w:ascii="方正仿宋_GBK" w:hAnsi="方正仿宋_GBK" w:eastAsia="方正仿宋_GBK" w:cs="方正仿宋_GBK"/>
          <w:b w:val="0"/>
          <w:bCs w:val="0"/>
          <w:sz w:val="32"/>
          <w:szCs w:val="32"/>
          <w:lang w:val="en-US" w:eastAsia="zh-CN"/>
        </w:rPr>
        <w:br w:type="textWrapping"/>
      </w:r>
      <w:r>
        <w:rPr>
          <w:rFonts w:hint="eastAsia" w:ascii="方正仿宋_GBK" w:hAnsi="方正仿宋_GBK" w:eastAsia="方正仿宋_GBK" w:cs="方正仿宋_GBK"/>
          <w:b/>
          <w:bCs/>
          <w:sz w:val="32"/>
          <w:szCs w:val="32"/>
          <w:lang w:val="en-US" w:eastAsia="zh-CN"/>
        </w:rPr>
        <w:t>政策咨询人</w:t>
      </w:r>
      <w:r>
        <w:rPr>
          <w:rFonts w:hint="eastAsia" w:cs="方正仿宋_GBK"/>
          <w:b/>
          <w:bCs/>
          <w:sz w:val="32"/>
          <w:szCs w:val="32"/>
          <w:lang w:val="en-US" w:eastAsia="zh-CN"/>
        </w:rPr>
        <w:t>及电话</w:t>
      </w:r>
      <w:r>
        <w:rPr>
          <w:rFonts w:hint="eastAsia" w:ascii="方正仿宋_GBK" w:hAnsi="方正仿宋_GBK" w:eastAsia="方正仿宋_GBK" w:cs="方正仿宋_GBK"/>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637" w:leftChars="192" w:firstLine="0" w:firstLine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val="0"/>
          <w:bCs w:val="0"/>
          <w:sz w:val="32"/>
          <w:szCs w:val="32"/>
          <w:lang w:val="en-US" w:eastAsia="zh-CN"/>
        </w:rPr>
        <w:t>李文鹏</w:t>
      </w:r>
      <w:r>
        <w:rPr>
          <w:rFonts w:hint="eastAsia" w:cs="方正仿宋_GBK"/>
          <w:b w:val="0"/>
          <w:bCs w:val="0"/>
          <w:sz w:val="32"/>
          <w:szCs w:val="32"/>
          <w:lang w:val="en-US" w:eastAsia="zh-CN"/>
        </w:rPr>
        <w:t>（麦盖提县公积金管理部干部）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ascii="方正仿宋_GBK" w:hAnsi="方正仿宋_GBK" w:eastAsia="方正仿宋_GBK" w:cs="方正仿宋_GBK"/>
          <w:b w:val="0"/>
          <w:bCs w:val="0"/>
          <w:sz w:val="32"/>
          <w:szCs w:val="32"/>
          <w:lang w:val="en-US" w:eastAsia="zh-CN"/>
        </w:rPr>
        <w:t>15299515114</w:t>
      </w:r>
      <w:r>
        <w:rPr>
          <w:rFonts w:hint="eastAsia" w:cs="方正仿宋_GBK"/>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0998-7841947</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二、商业银行贷款政策</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（一）购房贷款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1.贷款期1-5年利率，工商银行4.7%，农业银行4.2%，邮储银行4.75%，信用社5.6%；</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2.贷款期5年及以上利率，工商银行4.95%，农业银行4.95%，邮储银行4.75%，信用社6.65%。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（二）装修贷款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贷款期1-5年利率，农业银行4.8%，邮储银行4.3%-5.3%，信用社4.7%-5%。</w:t>
      </w:r>
    </w:p>
    <w:p>
      <w:pPr>
        <w:pStyle w:val="2"/>
        <w:keepNext w:val="0"/>
        <w:keepLines w:val="0"/>
        <w:pageBreakBefore w:val="0"/>
        <w:widowControl w:val="0"/>
        <w:numPr>
          <w:ilvl w:val="0"/>
          <w:numId w:val="0"/>
        </w:numPr>
        <w:tabs>
          <w:tab w:val="left" w:pos="1099"/>
        </w:tabs>
        <w:kinsoku/>
        <w:wordWrap/>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（三）还款方式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1.等额本息，贷款期每月以相等的额度平均偿还贷款本息；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cs="方正仿宋_GBK"/>
          <w:sz w:val="32"/>
          <w:szCs w:val="32"/>
          <w:lang w:val="en-US" w:eastAsia="zh-CN"/>
        </w:rPr>
      </w:pPr>
      <w:r>
        <w:rPr>
          <w:rFonts w:hint="eastAsia" w:cs="方正仿宋_GBK"/>
          <w:sz w:val="32"/>
          <w:szCs w:val="32"/>
          <w:lang w:val="en-US" w:eastAsia="zh-CN"/>
        </w:rPr>
        <w:t>2.等额本金，每月等额偿还贷款本金，贷款利息随本金随月递减。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7"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政策咨询人</w:t>
      </w:r>
      <w:r>
        <w:rPr>
          <w:rFonts w:hint="eastAsia" w:cs="方正仿宋_GBK"/>
          <w:b/>
          <w:bCs/>
          <w:sz w:val="32"/>
          <w:szCs w:val="32"/>
          <w:lang w:val="en-US" w:eastAsia="zh-CN"/>
        </w:rPr>
        <w:t>及电话</w:t>
      </w:r>
      <w:r>
        <w:rPr>
          <w:rFonts w:hint="eastAsia" w:ascii="方正仿宋_GBK" w:hAnsi="方正仿宋_GBK" w:eastAsia="方正仿宋_GBK" w:cs="方正仿宋_GBK"/>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661" w:leftChars="199" w:firstLine="0" w:firstLineChars="0"/>
        <w:textAlignment w:val="auto"/>
        <w:rPr>
          <w:rFonts w:hint="eastAsia" w:ascii="方正仿宋_GBK" w:hAnsi="方正仿宋_GBK" w:eastAsia="方正仿宋_GBK" w:cs="方正仿宋_GBK"/>
          <w:b/>
          <w:bCs/>
          <w:sz w:val="32"/>
          <w:szCs w:val="32"/>
          <w:lang w:val="en-US" w:eastAsia="zh-CN"/>
        </w:rPr>
      </w:pPr>
      <w:r>
        <w:rPr>
          <w:rFonts w:hint="eastAsia" w:cs="方正仿宋_GBK"/>
          <w:b w:val="0"/>
          <w:bCs w:val="0"/>
          <w:sz w:val="32"/>
          <w:szCs w:val="32"/>
          <w:lang w:val="en-US" w:eastAsia="zh-CN"/>
        </w:rPr>
        <w:t>金满囤（麦盖提县人民银行干部）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cs="方正仿宋_GBK"/>
          <w:b w:val="0"/>
          <w:bCs w:val="0"/>
          <w:sz w:val="32"/>
          <w:szCs w:val="32"/>
          <w:lang w:val="en-US" w:eastAsia="zh-CN"/>
        </w:rPr>
        <w:t>18699841678、</w:t>
      </w:r>
      <w:r>
        <w:rPr>
          <w:rFonts w:hint="eastAsia" w:ascii="方正仿宋_GBK" w:hAnsi="方正仿宋_GBK" w:eastAsia="方正仿宋_GBK" w:cs="方正仿宋_GBK"/>
          <w:b w:val="0"/>
          <w:bCs w:val="0"/>
          <w:sz w:val="32"/>
          <w:szCs w:val="32"/>
          <w:lang w:val="en-US" w:eastAsia="zh-CN"/>
        </w:rPr>
        <w:t>0998-</w:t>
      </w:r>
      <w:r>
        <w:rPr>
          <w:rFonts w:hint="eastAsia" w:cs="方正仿宋_GBK"/>
          <w:b w:val="0"/>
          <w:bCs w:val="0"/>
          <w:sz w:val="32"/>
          <w:szCs w:val="32"/>
          <w:lang w:val="en-US" w:eastAsia="zh-CN"/>
        </w:rPr>
        <w:t>7842195</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Lines="0" w:line="540" w:lineRule="exact"/>
        <w:ind w:firstLine="664" w:firstLineChars="200"/>
        <w:textAlignment w:val="auto"/>
        <w:rPr>
          <w:rFonts w:hint="eastAsia"/>
          <w:lang w:val="en-US" w:eastAsia="zh-CN"/>
        </w:rPr>
      </w:pPr>
      <w:r>
        <w:rPr>
          <w:rFonts w:hint="eastAsia"/>
          <w:lang w:val="en-US" w:eastAsia="zh-CN"/>
        </w:rPr>
        <w:t>三、契税先征后补政策</w:t>
      </w:r>
    </w:p>
    <w:p>
      <w:pPr>
        <w:pStyle w:val="2"/>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（一）补贴方式</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采取“先缴后补”的方式，对在活动期间符合政策标准且完成房屋交易备案的购房人实行缴纳的契税全额补贴，在依法缴纳契税并按政策规定程序申报，经县住建局将申报材料审核整理后，由县财政局具体负责补贴款的发放工作。</w:t>
      </w:r>
    </w:p>
    <w:p>
      <w:pPr>
        <w:pStyle w:val="2"/>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（二）契税缴纳标准</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1.购买家庭唯一住房或第二套改善性住房，面积为90平方米及以下的，契税为</w:t>
      </w:r>
      <w:r>
        <w:rPr>
          <w:rFonts w:hint="eastAsia"/>
          <w:lang w:eastAsia="zh-CN"/>
        </w:rPr>
        <w:t>购房总款的</w:t>
      </w:r>
      <w:r>
        <w:rPr>
          <w:rFonts w:hint="eastAsia"/>
          <w:lang w:val="en-US" w:eastAsia="zh-CN"/>
        </w:rPr>
        <w:t>1%；</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2.购买家庭唯一住房，面积为90平方米以上的，契税为</w:t>
      </w:r>
      <w:r>
        <w:rPr>
          <w:rFonts w:hint="eastAsia"/>
          <w:lang w:eastAsia="zh-CN"/>
        </w:rPr>
        <w:t>购房总款的</w:t>
      </w:r>
      <w:r>
        <w:rPr>
          <w:rFonts w:hint="eastAsia"/>
          <w:lang w:val="en-US" w:eastAsia="zh-CN"/>
        </w:rPr>
        <w:t>1.5%；</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3.购买家庭第二套改善性住房，面积为90平方米以上的，</w:t>
      </w:r>
      <w:r>
        <w:rPr>
          <w:rFonts w:hint="eastAsia"/>
          <w:lang w:eastAsia="zh-CN"/>
        </w:rPr>
        <w:t>购房总款的</w:t>
      </w:r>
      <w:r>
        <w:rPr>
          <w:rFonts w:hint="eastAsia"/>
          <w:lang w:val="en-US" w:eastAsia="zh-CN"/>
        </w:rPr>
        <w:t>2%；</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4.购买商铺，契税为</w:t>
      </w:r>
      <w:r>
        <w:rPr>
          <w:rFonts w:hint="eastAsia"/>
          <w:lang w:eastAsia="zh-CN"/>
        </w:rPr>
        <w:t>购房总款的</w:t>
      </w:r>
      <w:r>
        <w:rPr>
          <w:rFonts w:hint="eastAsia"/>
          <w:lang w:val="en-US" w:eastAsia="zh-CN"/>
        </w:rPr>
        <w:t>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637" w:leftChars="192" w:firstLine="0" w:firstLine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政策咨询人</w:t>
      </w:r>
      <w:r>
        <w:rPr>
          <w:rFonts w:hint="eastAsia" w:cs="方正仿宋_GBK"/>
          <w:b/>
          <w:bCs/>
          <w:sz w:val="32"/>
          <w:szCs w:val="32"/>
          <w:lang w:val="en-US" w:eastAsia="zh-CN"/>
        </w:rPr>
        <w:t>及电话</w:t>
      </w:r>
      <w:r>
        <w:rPr>
          <w:rFonts w:hint="eastAsia" w:ascii="方正仿宋_GBK" w:hAnsi="方正仿宋_GBK" w:eastAsia="方正仿宋_GBK" w:cs="方正仿宋_GBK"/>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637" w:leftChars="192" w:firstLine="0" w:firstLineChars="0"/>
        <w:textAlignment w:val="auto"/>
        <w:rPr>
          <w:rFonts w:hint="eastAsia" w:cs="方正仿宋_GBK"/>
          <w:b/>
          <w:bCs/>
          <w:sz w:val="32"/>
          <w:szCs w:val="32"/>
          <w:lang w:val="en-US" w:eastAsia="zh-CN"/>
        </w:rPr>
      </w:pPr>
      <w:r>
        <w:rPr>
          <w:rFonts w:hint="eastAsia" w:cs="方正仿宋_GBK"/>
          <w:b w:val="0"/>
          <w:bCs w:val="0"/>
          <w:sz w:val="32"/>
          <w:szCs w:val="32"/>
          <w:lang w:val="en-US" w:eastAsia="zh-CN"/>
        </w:rPr>
        <w:t>程磊（麦盖提县住房和城乡建设局干部）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637" w:leftChars="192" w:firstLine="0" w:firstLineChars="0"/>
        <w:textAlignment w:val="auto"/>
        <w:rPr>
          <w:rFonts w:hint="default" w:ascii="方正仿宋_GBK" w:hAnsi="方正仿宋_GBK" w:eastAsia="方正仿宋_GBK" w:cs="方正仿宋_GBK"/>
          <w:b w:val="0"/>
          <w:bCs w:val="0"/>
          <w:sz w:val="32"/>
          <w:szCs w:val="32"/>
          <w:lang w:val="en-US" w:eastAsia="zh-CN"/>
        </w:rPr>
      </w:pPr>
      <w:r>
        <w:rPr>
          <w:rFonts w:hint="eastAsia" w:cs="方正仿宋_GBK"/>
          <w:b w:val="0"/>
          <w:bCs w:val="0"/>
          <w:sz w:val="32"/>
          <w:szCs w:val="32"/>
          <w:lang w:val="en-US" w:eastAsia="zh-CN"/>
        </w:rPr>
        <w:t>18742867299、</w:t>
      </w:r>
      <w:r>
        <w:rPr>
          <w:rFonts w:hint="eastAsia" w:ascii="方正仿宋_GBK" w:hAnsi="方正仿宋_GBK" w:eastAsia="方正仿宋_GBK" w:cs="方正仿宋_GBK"/>
          <w:b w:val="0"/>
          <w:bCs w:val="0"/>
          <w:sz w:val="32"/>
          <w:szCs w:val="32"/>
          <w:lang w:val="en-US" w:eastAsia="zh-CN"/>
        </w:rPr>
        <w:t>0998-78</w:t>
      </w:r>
      <w:r>
        <w:rPr>
          <w:rFonts w:hint="eastAsia" w:cs="方正仿宋_GBK"/>
          <w:b w:val="0"/>
          <w:bCs w:val="0"/>
          <w:sz w:val="32"/>
          <w:szCs w:val="32"/>
          <w:lang w:val="en-US" w:eastAsia="zh-CN"/>
        </w:rPr>
        <w:t>60447</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637" w:leftChars="192" w:firstLine="0" w:firstLineChars="0"/>
        <w:textAlignment w:val="auto"/>
        <w:rPr>
          <w:rFonts w:hint="eastAsia" w:cs="方正仿宋_GBK"/>
          <w:b w:val="0"/>
          <w:bCs w:val="0"/>
          <w:sz w:val="32"/>
          <w:szCs w:val="32"/>
          <w:lang w:val="en-US" w:eastAsia="zh-CN"/>
        </w:rPr>
      </w:pPr>
      <w:r>
        <w:rPr>
          <w:rFonts w:hint="eastAsia" w:cs="方正仿宋_GBK"/>
          <w:b w:val="0"/>
          <w:bCs w:val="0"/>
          <w:sz w:val="32"/>
          <w:szCs w:val="32"/>
          <w:lang w:val="en-US" w:eastAsia="zh-CN"/>
        </w:rPr>
        <w:t>库尔班（麦盖提县财政局干部）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637" w:leftChars="192" w:firstLine="0" w:firstLineChars="0"/>
        <w:textAlignment w:val="auto"/>
        <w:rPr>
          <w:rFonts w:hint="default" w:ascii="方正仿宋_GBK" w:hAnsi="方正仿宋_GBK" w:eastAsia="方正仿宋_GBK" w:cs="方正仿宋_GBK"/>
          <w:b w:val="0"/>
          <w:bCs w:val="0"/>
          <w:sz w:val="32"/>
          <w:szCs w:val="32"/>
          <w:lang w:val="en-US" w:eastAsia="zh-CN"/>
        </w:rPr>
      </w:pPr>
      <w:r>
        <w:rPr>
          <w:rFonts w:hint="eastAsia" w:cs="方正仿宋_GBK"/>
          <w:b w:val="0"/>
          <w:bCs w:val="0"/>
          <w:sz w:val="32"/>
          <w:szCs w:val="32"/>
          <w:lang w:val="en-US" w:eastAsia="zh-CN"/>
        </w:rPr>
        <w:t>13899150102、</w:t>
      </w:r>
      <w:r>
        <w:rPr>
          <w:rFonts w:hint="eastAsia" w:ascii="方正仿宋_GBK" w:hAnsi="方正仿宋_GBK" w:eastAsia="方正仿宋_GBK" w:cs="方正仿宋_GBK"/>
          <w:b w:val="0"/>
          <w:bCs w:val="0"/>
          <w:sz w:val="32"/>
          <w:szCs w:val="32"/>
          <w:lang w:val="en-US" w:eastAsia="zh-CN"/>
        </w:rPr>
        <w:t>0998-78</w:t>
      </w:r>
      <w:r>
        <w:rPr>
          <w:rFonts w:hint="eastAsia" w:cs="方正仿宋_GBK"/>
          <w:b w:val="0"/>
          <w:bCs w:val="0"/>
          <w:sz w:val="32"/>
          <w:szCs w:val="32"/>
          <w:lang w:val="en-US" w:eastAsia="zh-CN"/>
        </w:rPr>
        <w:t>60447</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李军（麦盖提县税务局四级主办）</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Chars="200"/>
        <w:textAlignment w:val="auto"/>
        <w:rPr>
          <w:rFonts w:hint="eastAsia"/>
          <w:lang w:eastAsia="zh-CN"/>
        </w:rPr>
      </w:pPr>
      <w:r>
        <w:rPr>
          <w:rFonts w:hint="eastAsia"/>
          <w:lang w:val="en-US" w:eastAsia="zh-CN"/>
        </w:rPr>
        <w:t>13899143866、0998-7842403</w:t>
      </w:r>
    </w:p>
    <w:p>
      <w:pPr>
        <w:pStyle w:val="4"/>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eastAsia" w:eastAsia="方正黑体_GBK"/>
          <w:lang w:eastAsia="zh-CN"/>
        </w:rPr>
      </w:pPr>
      <w:r>
        <w:rPr>
          <w:rFonts w:hint="eastAsia"/>
          <w:lang w:eastAsia="zh-CN"/>
        </w:rPr>
        <w:t>四、住宅专项</w:t>
      </w:r>
      <w:r>
        <w:rPr>
          <w:rFonts w:hint="eastAsia"/>
        </w:rPr>
        <w:t>维修</w:t>
      </w:r>
      <w:r>
        <w:rPr>
          <w:rFonts w:hint="eastAsia"/>
          <w:lang w:eastAsia="zh-CN"/>
        </w:rPr>
        <w:t>资金政策</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right="0" w:rightChars="0" w:firstLine="664" w:firstLineChars="200"/>
        <w:jc w:val="both"/>
        <w:textAlignment w:val="auto"/>
        <w:rPr>
          <w:rFonts w:hint="eastAsia" w:ascii="方正仿宋_GBK" w:hAnsi="方正仿宋_GBK" w:eastAsia="方正仿宋_GBK" w:cs="方正仿宋_GBK"/>
          <w:i w:val="0"/>
          <w:iCs w:val="0"/>
          <w:caps w:val="0"/>
          <w:color w:val="000000"/>
          <w:spacing w:val="6"/>
          <w:sz w:val="32"/>
          <w:szCs w:val="32"/>
          <w:shd w:val="clear" w:color="auto" w:fill="FFFFFF"/>
        </w:rPr>
      </w:pPr>
      <w:r>
        <w:rPr>
          <w:rFonts w:hint="eastAsia" w:ascii="方正仿宋_GBK" w:hAnsi="方正仿宋_GBK" w:eastAsia="方正仿宋_GBK" w:cs="方正仿宋_GBK"/>
          <w:i w:val="0"/>
          <w:iCs w:val="0"/>
          <w:caps w:val="0"/>
          <w:color w:val="000000"/>
          <w:spacing w:val="6"/>
          <w:sz w:val="32"/>
          <w:szCs w:val="32"/>
          <w:shd w:val="clear" w:color="auto" w:fill="FFFFFF"/>
        </w:rPr>
        <w:t>在</w:t>
      </w:r>
      <w:r>
        <w:rPr>
          <w:rFonts w:hint="eastAsia" w:ascii="方正仿宋_GBK" w:hAnsi="方正仿宋_GBK" w:eastAsia="方正仿宋_GBK" w:cs="方正仿宋_GBK"/>
          <w:i w:val="0"/>
          <w:iCs w:val="0"/>
          <w:caps w:val="0"/>
          <w:color w:val="000000"/>
          <w:spacing w:val="6"/>
          <w:sz w:val="32"/>
          <w:szCs w:val="32"/>
          <w:shd w:val="clear" w:color="auto" w:fill="FFFFFF"/>
          <w:lang w:eastAsia="zh-CN"/>
        </w:rPr>
        <w:t>活动</w:t>
      </w:r>
      <w:r>
        <w:rPr>
          <w:rFonts w:hint="eastAsia" w:ascii="方正仿宋_GBK" w:hAnsi="方正仿宋_GBK" w:eastAsia="方正仿宋_GBK" w:cs="方正仿宋_GBK"/>
          <w:i w:val="0"/>
          <w:iCs w:val="0"/>
          <w:caps w:val="0"/>
          <w:color w:val="000000"/>
          <w:spacing w:val="6"/>
          <w:sz w:val="32"/>
          <w:szCs w:val="32"/>
          <w:shd w:val="clear" w:color="auto" w:fill="FFFFFF"/>
        </w:rPr>
        <w:t>期间，购房人在参展企业购买商品房的，按照规定标准缴纳的</w:t>
      </w:r>
      <w:r>
        <w:rPr>
          <w:rFonts w:hint="eastAsia" w:ascii="方正仿宋_GBK" w:hAnsi="方正仿宋_GBK" w:eastAsia="方正仿宋_GBK" w:cs="方正仿宋_GBK"/>
          <w:i w:val="0"/>
          <w:iCs w:val="0"/>
          <w:caps w:val="0"/>
          <w:color w:val="000000"/>
          <w:spacing w:val="6"/>
          <w:sz w:val="32"/>
          <w:szCs w:val="32"/>
          <w:shd w:val="clear" w:color="auto" w:fill="FFFFFF"/>
          <w:lang w:eastAsia="zh-CN"/>
        </w:rPr>
        <w:t>住房</w:t>
      </w:r>
      <w:r>
        <w:rPr>
          <w:rFonts w:hint="eastAsia" w:ascii="方正仿宋_GBK" w:hAnsi="方正仿宋_GBK" w:eastAsia="方正仿宋_GBK" w:cs="方正仿宋_GBK"/>
          <w:i w:val="0"/>
          <w:iCs w:val="0"/>
          <w:caps w:val="0"/>
          <w:color w:val="000000"/>
          <w:spacing w:val="6"/>
          <w:sz w:val="32"/>
          <w:szCs w:val="32"/>
          <w:shd w:val="clear" w:color="auto" w:fill="FFFFFF"/>
        </w:rPr>
        <w:t>维修基金由参展开发企业承担。</w:t>
      </w:r>
      <w:r>
        <w:rPr>
          <w:rFonts w:hint="eastAsia" w:ascii="方正仿宋_GBK" w:hAnsi="方正仿宋_GBK" w:eastAsia="方正仿宋_GBK" w:cs="方正仿宋_GBK"/>
          <w:i w:val="0"/>
          <w:iCs w:val="0"/>
          <w:caps w:val="0"/>
          <w:color w:val="000000"/>
          <w:spacing w:val="6"/>
          <w:sz w:val="32"/>
          <w:szCs w:val="32"/>
          <w:shd w:val="clear" w:color="auto" w:fill="FFFFFF"/>
          <w:lang w:eastAsia="zh-CN"/>
        </w:rPr>
        <w:t>（维修资金缴纳标准：购房总款</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2%</w:t>
      </w:r>
      <w:r>
        <w:rPr>
          <w:rFonts w:hint="eastAsia" w:ascii="方正仿宋_GBK" w:hAnsi="方正仿宋_GBK" w:eastAsia="方正仿宋_GBK" w:cs="方正仿宋_GBK"/>
          <w:i w:val="0"/>
          <w:iCs w:val="0"/>
          <w:caps w:val="0"/>
          <w:color w:val="000000"/>
          <w:spacing w:val="6"/>
          <w:sz w:val="32"/>
          <w:szCs w:val="32"/>
          <w:shd w:val="clear" w:color="auto" w:fill="FFFFFF"/>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Chars="200"/>
        <w:textAlignment w:val="auto"/>
        <w:rPr>
          <w:rFonts w:hint="eastAsia"/>
          <w:b/>
          <w:bCs/>
          <w:lang w:val="en-US" w:eastAsia="zh-CN"/>
        </w:rPr>
      </w:pPr>
      <w:r>
        <w:rPr>
          <w:rFonts w:hint="eastAsia"/>
          <w:b/>
          <w:bCs/>
          <w:lang w:val="en-US" w:eastAsia="zh-CN"/>
        </w:rPr>
        <w:t>政策咨询人及电话：</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val="en-US" w:eastAsia="zh-CN"/>
        </w:rPr>
        <w:t>程磊（麦盖提县住房和城乡建设局干部）</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Chars="200"/>
        <w:textAlignment w:val="auto"/>
        <w:rPr>
          <w:rFonts w:hint="eastAsia"/>
          <w:lang w:eastAsia="zh-CN"/>
        </w:rPr>
      </w:pPr>
      <w:r>
        <w:rPr>
          <w:rFonts w:hint="eastAsia"/>
          <w:lang w:val="en-US" w:eastAsia="zh-CN"/>
        </w:rPr>
        <w:t>各参展房地产负责人，后附联系电话</w:t>
      </w:r>
    </w:p>
    <w:p>
      <w:pPr>
        <w:pStyle w:val="4"/>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Chars="200"/>
        <w:textAlignment w:val="auto"/>
        <w:rPr>
          <w:rFonts w:hint="eastAsia"/>
        </w:rPr>
      </w:pPr>
      <w:r>
        <w:rPr>
          <w:rFonts w:hint="eastAsia"/>
          <w:lang w:eastAsia="zh-CN"/>
        </w:rPr>
        <w:t>五、房款优惠让利</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right="0" w:rightChars="0" w:firstLine="664" w:firstLineChars="200"/>
        <w:jc w:val="both"/>
        <w:textAlignment w:val="auto"/>
        <w:rPr>
          <w:rFonts w:hint="eastAsia" w:ascii="方正仿宋_GBK" w:hAnsi="方正仿宋_GBK" w:eastAsia="方正仿宋_GBK" w:cs="方正仿宋_GBK"/>
          <w:i w:val="0"/>
          <w:iCs w:val="0"/>
          <w:caps w:val="0"/>
          <w:color w:val="000000"/>
          <w:spacing w:val="6"/>
          <w:sz w:val="32"/>
          <w:szCs w:val="32"/>
          <w:shd w:val="clear" w:color="auto" w:fill="FFFFFF"/>
        </w:rPr>
      </w:pPr>
      <w:r>
        <w:rPr>
          <w:rFonts w:hint="eastAsia" w:ascii="方正仿宋_GBK" w:hAnsi="方正仿宋_GBK" w:eastAsia="方正仿宋_GBK" w:cs="方正仿宋_GBK"/>
          <w:i w:val="0"/>
          <w:iCs w:val="0"/>
          <w:caps w:val="0"/>
          <w:color w:val="000000"/>
          <w:spacing w:val="6"/>
          <w:sz w:val="32"/>
          <w:szCs w:val="32"/>
          <w:shd w:val="clear" w:color="auto" w:fill="FFFFFF"/>
          <w:lang w:eastAsia="zh-CN"/>
        </w:rPr>
        <w:t>参展</w:t>
      </w:r>
      <w:r>
        <w:rPr>
          <w:rFonts w:hint="eastAsia" w:ascii="方正仿宋_GBK" w:hAnsi="方正仿宋_GBK" w:eastAsia="方正仿宋_GBK" w:cs="方正仿宋_GBK"/>
          <w:i w:val="0"/>
          <w:iCs w:val="0"/>
          <w:caps w:val="0"/>
          <w:color w:val="000000"/>
          <w:spacing w:val="6"/>
          <w:sz w:val="32"/>
          <w:szCs w:val="32"/>
          <w:shd w:val="clear" w:color="auto" w:fill="FFFFFF"/>
        </w:rPr>
        <w:t>房地产开发企业在自愿基础上，为购买新建商品住房的个人或家庭，提供</w:t>
      </w:r>
      <w:r>
        <w:rPr>
          <w:rFonts w:hint="eastAsia" w:cs="方正仿宋_GBK"/>
          <w:i w:val="0"/>
          <w:iCs w:val="0"/>
          <w:caps w:val="0"/>
          <w:color w:val="000000"/>
          <w:spacing w:val="6"/>
          <w:sz w:val="32"/>
          <w:szCs w:val="32"/>
          <w:shd w:val="clear" w:color="auto" w:fill="FFFFFF"/>
          <w:lang w:eastAsia="zh-CN"/>
        </w:rPr>
        <w:t>活动期间降价及其他优惠活动</w:t>
      </w:r>
      <w:r>
        <w:rPr>
          <w:rFonts w:hint="eastAsia" w:ascii="方正仿宋_GBK" w:hAnsi="方正仿宋_GBK" w:eastAsia="方正仿宋_GBK" w:cs="方正仿宋_GBK"/>
          <w:i w:val="0"/>
          <w:iCs w:val="0"/>
          <w:caps w:val="0"/>
          <w:color w:val="000000"/>
          <w:spacing w:val="6"/>
          <w:sz w:val="32"/>
          <w:szCs w:val="32"/>
          <w:shd w:val="clear" w:color="auto" w:fill="FFFFFF"/>
        </w:rPr>
        <w:t>。</w:t>
      </w:r>
    </w:p>
    <w:p>
      <w:pPr>
        <w:pStyle w:val="2"/>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Chars="200"/>
        <w:textAlignment w:val="auto"/>
        <w:rPr>
          <w:rFonts w:hint="eastAsia"/>
          <w:lang w:eastAsia="zh-CN"/>
        </w:rPr>
      </w:pPr>
      <w:r>
        <w:rPr>
          <w:rFonts w:hint="eastAsia"/>
          <w:lang w:eastAsia="zh-CN"/>
        </w:rPr>
        <w:t>（一）现房</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default"/>
          <w:lang w:val="en-US" w:eastAsia="zh-CN"/>
        </w:rPr>
      </w:pPr>
      <w:r>
        <w:rPr>
          <w:rFonts w:hint="eastAsia"/>
          <w:lang w:val="en-US" w:eastAsia="zh-CN"/>
        </w:rPr>
        <w:t>1.和谐刀郎小区，位于建设路与民生路交汇处，由新疆萨巴房地产开发有限公司麦盖提县分公司开发，高层电梯房，楼层丰富，价格优惠幅度6%-13%。凡期间购房者可享购房砸金蛋抽家电大礼包活动（家电具体包括价值8000元的威斯顿壁挂炉、价值3699元的TCL65寸电视机、价值1199元小天鹅全自动洗衣机、价值690元的美的电烤箱、价值499元美的压力锅、价值399元的美的电饭煲、价值439元的美的饮水机）；可享受返还购房款现金10000元；推出特价房3199元/㎡，特价房不享受上述前两项优惠政策；</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2.天裕国际名城，位于建设北路与英买里路交汇处，由疏附县天裕房地产开发有限公司开发，高层（多层）电梯房，价格优惠幅度5%，最低房屋单价3430元/㎡，送价值2800元小米55寸电视或价值2800元TCL1.5匹空调（二选一）；</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3.众合领秀·公园里小区，位于建设路西侧，由新疆众合园房地产有限公司麦盖提分公司开发，多层电梯房，价格优惠幅度每平方米优惠188元；</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4.百汇丽景（名门）小区，位于建设中路西侧，由新疆百汇假日房地产有限责任公司开发，多层电梯房，价格优惠幅度为每平方米优惠100元，最低房屋单价3388元/㎡，送京东家电壁挂炉500元现金券一张，送价值399元九阳电饭煲和价值399元九阳电烤箱家电两件套；</w:t>
      </w:r>
    </w:p>
    <w:p>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firstLine="664" w:firstLineChars="200"/>
        <w:textAlignment w:val="auto"/>
        <w:rPr>
          <w:rFonts w:hint="eastAsia"/>
          <w:lang w:val="en-US" w:eastAsia="zh-CN"/>
        </w:rPr>
      </w:pPr>
      <w:r>
        <w:rPr>
          <w:rFonts w:hint="eastAsia"/>
          <w:lang w:val="en-US" w:eastAsia="zh-CN"/>
        </w:rPr>
        <w:t>5.华府景园小区，位于文化西路北侧，由喀什嘉陵房地产开发有限公司麦盖提县分公司开发，多层无电梯，此次参展均为5-6层，价格优惠幅度5层2.8%、6层7.7%，最低房屋单价5层2300元/㎡，6层2000元/㎡。</w:t>
      </w:r>
    </w:p>
    <w:p>
      <w:pPr>
        <w:pStyle w:val="2"/>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Chars="200"/>
        <w:textAlignment w:val="auto"/>
        <w:rPr>
          <w:rFonts w:hint="eastAsia"/>
          <w:lang w:val="en-US" w:eastAsia="zh-CN"/>
        </w:rPr>
      </w:pPr>
      <w:r>
        <w:rPr>
          <w:rFonts w:hint="eastAsia"/>
          <w:lang w:eastAsia="zh-CN"/>
        </w:rPr>
        <w:t>（二）期房</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right="0" w:rightChars="0" w:firstLine="664" w:firstLineChars="200"/>
        <w:jc w:val="both"/>
        <w:textAlignment w:val="auto"/>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pP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1.博望名城小区，位于建设路东侧，由新疆腾旺房地产开发有限公司开发，高层（多层）电梯房，价格优惠幅度5%-5.5%，最低房屋单价</w:t>
      </w:r>
      <w:r>
        <w:rPr>
          <w:rFonts w:hint="eastAsia" w:cs="方正仿宋_GBK"/>
          <w:i w:val="0"/>
          <w:iCs w:val="0"/>
          <w:caps w:val="0"/>
          <w:color w:val="000000"/>
          <w:spacing w:val="6"/>
          <w:sz w:val="32"/>
          <w:szCs w:val="32"/>
          <w:highlight w:val="none"/>
          <w:shd w:val="clear" w:color="auto" w:fill="FFFFFF"/>
          <w:lang w:val="en-US" w:eastAsia="zh-CN"/>
        </w:rPr>
        <w:t>3760</w:t>
      </w: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元/㎡，送价值2400元10Kg海尔滚筒洗衣机，送价值200元随手礼品</w:t>
      </w:r>
      <w:r>
        <w:rPr>
          <w:rFonts w:hint="eastAsia" w:cs="方正仿宋_GBK"/>
          <w:i w:val="0"/>
          <w:iCs w:val="0"/>
          <w:caps w:val="0"/>
          <w:color w:val="000000"/>
          <w:spacing w:val="6"/>
          <w:sz w:val="32"/>
          <w:szCs w:val="32"/>
          <w:highlight w:val="none"/>
          <w:shd w:val="clear" w:color="auto" w:fill="FFFFFF"/>
          <w:lang w:val="en-US" w:eastAsia="zh-CN"/>
        </w:rPr>
        <w:t>一份</w:t>
      </w: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right="0" w:rightChars="0" w:firstLine="664" w:firstLineChars="200"/>
        <w:jc w:val="both"/>
        <w:textAlignment w:val="auto"/>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pP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2.紫青花园一期，位于刀郎东路北侧，由新疆再帕尔房地产开发有限公司开发，高</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层电梯房，价格优惠幅度5%，</w:t>
      </w: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最低房屋单价</w:t>
      </w:r>
      <w:r>
        <w:rPr>
          <w:rFonts w:hint="eastAsia" w:cs="方正仿宋_GBK"/>
          <w:i w:val="0"/>
          <w:iCs w:val="0"/>
          <w:caps w:val="0"/>
          <w:color w:val="000000"/>
          <w:spacing w:val="6"/>
          <w:sz w:val="32"/>
          <w:szCs w:val="32"/>
          <w:highlight w:val="none"/>
          <w:shd w:val="clear" w:color="auto" w:fill="FFFFFF"/>
          <w:lang w:val="en-US" w:eastAsia="zh-CN"/>
        </w:rPr>
        <w:t>3648</w:t>
      </w: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元/㎡，</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送平均价值2000元的海尔洗衣机或海尔电冰箱或海尔电热水器（三选一）；</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right="0" w:rightChars="0" w:firstLine="664" w:firstLineChars="200"/>
        <w:jc w:val="both"/>
        <w:textAlignment w:val="auto"/>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pP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3.帕米尔嘉园小区</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，位于建设路与民生路交汇处，由麦盖提县帕米尔房地产开发有限责任公司开发，高层电梯房，价格优惠幅度7%-8%，</w:t>
      </w: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最低房屋单价</w:t>
      </w:r>
      <w:r>
        <w:rPr>
          <w:rFonts w:hint="eastAsia" w:cs="方正仿宋_GBK"/>
          <w:i w:val="0"/>
          <w:iCs w:val="0"/>
          <w:caps w:val="0"/>
          <w:color w:val="000000"/>
          <w:spacing w:val="6"/>
          <w:sz w:val="32"/>
          <w:szCs w:val="32"/>
          <w:highlight w:val="none"/>
          <w:shd w:val="clear" w:color="auto" w:fill="FFFFFF"/>
          <w:lang w:val="en-US" w:eastAsia="zh-CN"/>
        </w:rPr>
        <w:t>3380</w:t>
      </w: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元/㎡，</w:t>
      </w:r>
      <w:r>
        <w:rPr>
          <w:rFonts w:hint="eastAsia" w:cs="方正仿宋_GBK"/>
          <w:i w:val="0"/>
          <w:iCs w:val="0"/>
          <w:caps w:val="0"/>
          <w:color w:val="000000"/>
          <w:spacing w:val="6"/>
          <w:sz w:val="32"/>
          <w:szCs w:val="32"/>
          <w:highlight w:val="none"/>
          <w:shd w:val="clear" w:color="auto" w:fill="FFFFFF"/>
          <w:lang w:val="en-US" w:eastAsia="zh-CN"/>
        </w:rPr>
        <w:t>送</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价值2890元</w:t>
      </w:r>
      <w:r>
        <w:rPr>
          <w:rFonts w:hint="eastAsia" w:cs="方正仿宋_GBK"/>
          <w:i w:val="0"/>
          <w:iCs w:val="0"/>
          <w:caps w:val="0"/>
          <w:color w:val="000000"/>
          <w:spacing w:val="6"/>
          <w:sz w:val="32"/>
          <w:szCs w:val="32"/>
          <w:shd w:val="clear" w:color="auto" w:fill="FFFFFF"/>
          <w:lang w:val="en-US" w:eastAsia="zh-CN"/>
        </w:rPr>
        <w:t>的</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爱尔牌嵌入式保洁柜</w:t>
      </w:r>
      <w:r>
        <w:rPr>
          <w:rFonts w:hint="eastAsia" w:cs="方正仿宋_GBK"/>
          <w:i w:val="0"/>
          <w:iCs w:val="0"/>
          <w:caps w:val="0"/>
          <w:color w:val="000000"/>
          <w:spacing w:val="6"/>
          <w:sz w:val="32"/>
          <w:szCs w:val="32"/>
          <w:shd w:val="clear" w:color="auto" w:fill="FFFFFF"/>
          <w:lang w:val="en-US" w:eastAsia="zh-CN"/>
        </w:rPr>
        <w:t>和</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价值1986元</w:t>
      </w:r>
      <w:r>
        <w:rPr>
          <w:rFonts w:hint="eastAsia" w:cs="方正仿宋_GBK"/>
          <w:i w:val="0"/>
          <w:iCs w:val="0"/>
          <w:caps w:val="0"/>
          <w:color w:val="000000"/>
          <w:spacing w:val="6"/>
          <w:sz w:val="32"/>
          <w:szCs w:val="32"/>
          <w:shd w:val="clear" w:color="auto" w:fill="FFFFFF"/>
          <w:lang w:val="en-US" w:eastAsia="zh-CN"/>
        </w:rPr>
        <w:t>的</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美的热水器</w:t>
      </w:r>
      <w:r>
        <w:rPr>
          <w:rFonts w:hint="eastAsia" w:cs="方正仿宋_GBK"/>
          <w:i w:val="0"/>
          <w:iCs w:val="0"/>
          <w:caps w:val="0"/>
          <w:color w:val="000000"/>
          <w:spacing w:val="6"/>
          <w:sz w:val="32"/>
          <w:szCs w:val="32"/>
          <w:shd w:val="clear" w:color="auto" w:fill="FFFFFF"/>
          <w:lang w:val="en-US" w:eastAsia="zh-CN"/>
        </w:rPr>
        <w:t>。</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购房者</w:t>
      </w:r>
      <w:r>
        <w:rPr>
          <w:rFonts w:hint="eastAsia" w:cs="方正仿宋_GBK"/>
          <w:i w:val="0"/>
          <w:iCs w:val="0"/>
          <w:caps w:val="0"/>
          <w:color w:val="000000"/>
          <w:spacing w:val="6"/>
          <w:sz w:val="32"/>
          <w:szCs w:val="32"/>
          <w:shd w:val="clear" w:color="auto" w:fill="FFFFFF"/>
          <w:lang w:val="en-US" w:eastAsia="zh-CN"/>
        </w:rPr>
        <w:t>还</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可享砸金蛋抽奖活动，一等奖为价值6000元美的双开门冰箱，二等奖为价值4500元海尔75寸高清电视，三等奖为价值4000元的电动车，四等奖为价值3260元时代潮全自动洗衣机，</w:t>
      </w:r>
      <w:r>
        <w:rPr>
          <w:rFonts w:hint="eastAsia" w:cs="方正仿宋_GBK"/>
          <w:i w:val="0"/>
          <w:iCs w:val="0"/>
          <w:caps w:val="0"/>
          <w:color w:val="000000"/>
          <w:spacing w:val="6"/>
          <w:sz w:val="32"/>
          <w:szCs w:val="32"/>
          <w:shd w:val="clear" w:color="auto" w:fill="FFFFFF"/>
          <w:lang w:val="en-US" w:eastAsia="zh-CN"/>
        </w:rPr>
        <w:t>五</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等奖为价值580元美的微波炉，</w:t>
      </w:r>
      <w:r>
        <w:rPr>
          <w:rFonts w:hint="eastAsia" w:cs="方正仿宋_GBK"/>
          <w:i w:val="0"/>
          <w:iCs w:val="0"/>
          <w:caps w:val="0"/>
          <w:color w:val="000000"/>
          <w:spacing w:val="6"/>
          <w:sz w:val="32"/>
          <w:szCs w:val="32"/>
          <w:shd w:val="clear" w:color="auto" w:fill="FFFFFF"/>
          <w:lang w:val="en-US" w:eastAsia="zh-CN"/>
        </w:rPr>
        <w:t>六</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等奖为398元美的电饭煲，</w:t>
      </w:r>
      <w:r>
        <w:rPr>
          <w:rFonts w:hint="eastAsia" w:cs="方正仿宋_GBK"/>
          <w:i w:val="0"/>
          <w:iCs w:val="0"/>
          <w:caps w:val="0"/>
          <w:color w:val="000000"/>
          <w:spacing w:val="6"/>
          <w:sz w:val="32"/>
          <w:szCs w:val="32"/>
          <w:shd w:val="clear" w:color="auto" w:fill="FFFFFF"/>
          <w:lang w:val="en-US" w:eastAsia="zh-CN"/>
        </w:rPr>
        <w:t>七</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等奖为价值349元美的饮水机，</w:t>
      </w:r>
      <w:r>
        <w:rPr>
          <w:rFonts w:hint="eastAsia" w:cs="方正仿宋_GBK"/>
          <w:i w:val="0"/>
          <w:iCs w:val="0"/>
          <w:caps w:val="0"/>
          <w:color w:val="000000"/>
          <w:spacing w:val="6"/>
          <w:sz w:val="32"/>
          <w:szCs w:val="32"/>
          <w:shd w:val="clear" w:color="auto" w:fill="FFFFFF"/>
          <w:lang w:val="en-US" w:eastAsia="zh-CN"/>
        </w:rPr>
        <w:t>八</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等奖为价值299元美的电煮锅，</w:t>
      </w:r>
      <w:r>
        <w:rPr>
          <w:rFonts w:hint="eastAsia" w:cs="方正仿宋_GBK"/>
          <w:i w:val="0"/>
          <w:iCs w:val="0"/>
          <w:caps w:val="0"/>
          <w:color w:val="000000"/>
          <w:spacing w:val="6"/>
          <w:sz w:val="32"/>
          <w:szCs w:val="32"/>
          <w:shd w:val="clear" w:color="auto" w:fill="FFFFFF"/>
          <w:lang w:val="en-US" w:eastAsia="zh-CN"/>
        </w:rPr>
        <w:t>九</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等奖为价值199元美的热水壶等。</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40" w:lineRule="exact"/>
        <w:ind w:right="0" w:rightChars="0" w:firstLine="664" w:firstLineChars="200"/>
        <w:jc w:val="both"/>
        <w:textAlignment w:val="auto"/>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pP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4.刀郎花城小区</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，位于建设南路与刀郎西路交汇处，由新疆刀郎绿城房地产开发有限公司开发，高层电梯房，价格优惠幅度7.7%，</w:t>
      </w: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最低房屋单价</w:t>
      </w:r>
      <w:r>
        <w:rPr>
          <w:rFonts w:hint="eastAsia" w:cs="方正仿宋_GBK"/>
          <w:i w:val="0"/>
          <w:iCs w:val="0"/>
          <w:caps w:val="0"/>
          <w:color w:val="000000"/>
          <w:spacing w:val="6"/>
          <w:sz w:val="32"/>
          <w:szCs w:val="32"/>
          <w:highlight w:val="none"/>
          <w:shd w:val="clear" w:color="auto" w:fill="FFFFFF"/>
          <w:lang w:val="en-US" w:eastAsia="zh-CN"/>
        </w:rPr>
        <w:t>3380</w:t>
      </w:r>
      <w:r>
        <w:rPr>
          <w:rFonts w:hint="eastAsia" w:ascii="方正仿宋_GBK" w:hAnsi="方正仿宋_GBK" w:eastAsia="方正仿宋_GBK" w:cs="方正仿宋_GBK"/>
          <w:i w:val="0"/>
          <w:iCs w:val="0"/>
          <w:caps w:val="0"/>
          <w:color w:val="000000"/>
          <w:spacing w:val="6"/>
          <w:sz w:val="32"/>
          <w:szCs w:val="32"/>
          <w:highlight w:val="none"/>
          <w:shd w:val="clear" w:color="auto" w:fill="FFFFFF"/>
          <w:lang w:val="en-US" w:eastAsia="zh-CN"/>
        </w:rPr>
        <w:t>元/㎡，</w:t>
      </w:r>
      <w:r>
        <w:rPr>
          <w:rFonts w:hint="eastAsia" w:ascii="方正仿宋_GBK" w:hAnsi="方正仿宋_GBK" w:eastAsia="方正仿宋_GBK" w:cs="方正仿宋_GBK"/>
          <w:i w:val="0"/>
          <w:iCs w:val="0"/>
          <w:caps w:val="0"/>
          <w:color w:val="000000"/>
          <w:spacing w:val="6"/>
          <w:sz w:val="32"/>
          <w:szCs w:val="32"/>
          <w:shd w:val="clear" w:color="auto" w:fill="FFFFFF"/>
          <w:lang w:val="en-US" w:eastAsia="zh-CN"/>
        </w:rPr>
        <w:t>送总价值5000元的海尔冰箱、TCL电视机、海尔洗衣机。</w:t>
      </w:r>
    </w:p>
    <w:p>
      <w:pPr>
        <w:pStyle w:val="2"/>
        <w:keepNext w:val="0"/>
        <w:keepLines w:val="0"/>
        <w:pageBreakBefore w:val="0"/>
        <w:widowControl w:val="0"/>
        <w:numPr>
          <w:ilvl w:val="0"/>
          <w:numId w:val="0"/>
        </w:numPr>
        <w:kinsoku/>
        <w:overflowPunct/>
        <w:topLinePunct w:val="0"/>
        <w:autoSpaceDE/>
        <w:autoSpaceDN/>
        <w:bidi w:val="0"/>
        <w:ind w:leftChars="200"/>
        <w:jc w:val="center"/>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参展项目政策讲解服务单</w:t>
      </w:r>
    </w:p>
    <w:tbl>
      <w:tblPr>
        <w:tblStyle w:val="10"/>
        <w:tblW w:w="8868" w:type="dxa"/>
        <w:tblInd w:w="0" w:type="dxa"/>
        <w:shd w:val="clear" w:color="auto" w:fill="auto"/>
        <w:tblLayout w:type="fixed"/>
        <w:tblCellMar>
          <w:top w:w="0" w:type="dxa"/>
          <w:left w:w="0" w:type="dxa"/>
          <w:bottom w:w="0" w:type="dxa"/>
          <w:right w:w="0" w:type="dxa"/>
        </w:tblCellMar>
      </w:tblPr>
      <w:tblGrid>
        <w:gridCol w:w="633"/>
        <w:gridCol w:w="2535"/>
        <w:gridCol w:w="1932"/>
        <w:gridCol w:w="1990"/>
        <w:gridCol w:w="1778"/>
      </w:tblGrid>
      <w:tr>
        <w:tblPrEx>
          <w:shd w:val="clear" w:color="auto" w:fill="auto"/>
          <w:tblLayout w:type="fixed"/>
          <w:tblCellMar>
            <w:top w:w="0" w:type="dxa"/>
            <w:left w:w="0" w:type="dxa"/>
            <w:bottom w:w="0" w:type="dxa"/>
            <w:right w:w="0" w:type="dxa"/>
          </w:tblCellMar>
        </w:tblPrEx>
        <w:trPr>
          <w:trHeight w:val="288"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overflowPunct/>
              <w:topLinePunct w:val="0"/>
              <w:autoSpaceDE/>
              <w:autoSpaceDN/>
              <w:bidi w:val="0"/>
              <w:ind w:left="0" w:leftChars="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序号</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overflowPunct/>
              <w:topLinePunct w:val="0"/>
              <w:autoSpaceDE/>
              <w:autoSpaceDN/>
              <w:bidi w:val="0"/>
              <w:ind w:left="0" w:leftChars="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企业名称</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overflowPunct/>
              <w:topLinePunct w:val="0"/>
              <w:autoSpaceDE/>
              <w:autoSpaceDN/>
              <w:bidi w:val="0"/>
              <w:ind w:left="0" w:leftChars="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参展项目</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overflowPunct/>
              <w:topLinePunct w:val="0"/>
              <w:autoSpaceDE/>
              <w:autoSpaceDN/>
              <w:bidi w:val="0"/>
              <w:ind w:left="0" w:leftChars="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联系人姓名</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overflowPunct/>
              <w:topLinePunct w:val="0"/>
              <w:autoSpaceDE/>
              <w:autoSpaceDN/>
              <w:bidi w:val="0"/>
              <w:jc w:val="both"/>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电话</w:t>
            </w:r>
          </w:p>
        </w:tc>
      </w:tr>
      <w:tr>
        <w:tblPrEx>
          <w:tblLayout w:type="fixed"/>
          <w:tblCellMar>
            <w:top w:w="0" w:type="dxa"/>
            <w:left w:w="0" w:type="dxa"/>
            <w:bottom w:w="0" w:type="dxa"/>
            <w:right w:w="0" w:type="dxa"/>
          </w:tblCellMar>
        </w:tblPrEx>
        <w:trPr>
          <w:trHeight w:val="72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新疆众合园房地产有限公司麦盖提分公司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众合领秀·公园里</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蔺雄</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13899988517</w:t>
            </w:r>
          </w:p>
        </w:tc>
      </w:tr>
      <w:tr>
        <w:tblPrEx>
          <w:tblLayout w:type="fixed"/>
          <w:tblCellMar>
            <w:top w:w="0" w:type="dxa"/>
            <w:left w:w="0" w:type="dxa"/>
            <w:bottom w:w="0" w:type="dxa"/>
            <w:right w:w="0" w:type="dxa"/>
          </w:tblCellMar>
        </w:tblPrEx>
        <w:trPr>
          <w:trHeight w:val="72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麦盖提县帕米尔房地产开发有限责任公司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帕米尔嘉园3#号商住楼</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帕尔哈提</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13999632920</w:t>
            </w:r>
          </w:p>
        </w:tc>
      </w:tr>
      <w:tr>
        <w:tblPrEx>
          <w:tblLayout w:type="fixed"/>
          <w:tblCellMar>
            <w:top w:w="0" w:type="dxa"/>
            <w:left w:w="0" w:type="dxa"/>
            <w:bottom w:w="0" w:type="dxa"/>
            <w:right w:w="0" w:type="dxa"/>
          </w:tblCellMar>
        </w:tblPrEx>
        <w:trPr>
          <w:trHeight w:val="96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疏附县天裕房地产开发有限公司麦盖提分公司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天裕国际名城</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高学文</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18997505179</w:t>
            </w:r>
          </w:p>
        </w:tc>
      </w:tr>
      <w:tr>
        <w:tblPrEx>
          <w:tblLayout w:type="fixed"/>
          <w:tblCellMar>
            <w:top w:w="0" w:type="dxa"/>
            <w:left w:w="0" w:type="dxa"/>
            <w:bottom w:w="0" w:type="dxa"/>
            <w:right w:w="0" w:type="dxa"/>
          </w:tblCellMar>
        </w:tblPrEx>
        <w:trPr>
          <w:trHeight w:val="72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新疆百汇假日房地产开发有限责任公司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百汇丽景</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程晓敏</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18197677529</w:t>
            </w:r>
          </w:p>
        </w:tc>
      </w:tr>
      <w:tr>
        <w:tblPrEx>
          <w:tblLayout w:type="fixed"/>
          <w:tblCellMar>
            <w:top w:w="0" w:type="dxa"/>
            <w:left w:w="0" w:type="dxa"/>
            <w:bottom w:w="0" w:type="dxa"/>
            <w:right w:w="0" w:type="dxa"/>
          </w:tblCellMar>
        </w:tblPrEx>
        <w:trPr>
          <w:trHeight w:val="72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新疆再帕尔房地产开发有限公司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紫青花园一期</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贺涛</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18909912698</w:t>
            </w:r>
          </w:p>
        </w:tc>
      </w:tr>
      <w:tr>
        <w:tblPrEx>
          <w:tblLayout w:type="fixed"/>
          <w:tblCellMar>
            <w:top w:w="0" w:type="dxa"/>
            <w:left w:w="0" w:type="dxa"/>
            <w:bottom w:w="0" w:type="dxa"/>
            <w:right w:w="0" w:type="dxa"/>
          </w:tblCellMar>
        </w:tblPrEx>
        <w:trPr>
          <w:trHeight w:val="72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新疆腾旺房地产开发有限公司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博望名城</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朱江兵</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13899102520</w:t>
            </w:r>
          </w:p>
        </w:tc>
      </w:tr>
      <w:tr>
        <w:tblPrEx>
          <w:tblLayout w:type="fixed"/>
          <w:tblCellMar>
            <w:top w:w="0" w:type="dxa"/>
            <w:left w:w="0" w:type="dxa"/>
            <w:bottom w:w="0" w:type="dxa"/>
            <w:right w:w="0" w:type="dxa"/>
          </w:tblCellMar>
        </w:tblPrEx>
        <w:trPr>
          <w:trHeight w:val="96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喀什嘉陵房地产开发有限公司麦盖提县分公司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嘉陵华府景园</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张红英</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18990771190</w:t>
            </w:r>
          </w:p>
        </w:tc>
      </w:tr>
      <w:tr>
        <w:tblPrEx>
          <w:tblLayout w:type="fixed"/>
          <w:tblCellMar>
            <w:top w:w="0" w:type="dxa"/>
            <w:left w:w="0" w:type="dxa"/>
            <w:bottom w:w="0" w:type="dxa"/>
            <w:right w:w="0" w:type="dxa"/>
          </w:tblCellMar>
        </w:tblPrEx>
        <w:trPr>
          <w:trHeight w:val="96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新疆萨巴房地产开发有限公司麦盖提分公司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和谐刀郎花园</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阿不都热西提</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13999145555</w:t>
            </w:r>
          </w:p>
        </w:tc>
      </w:tr>
      <w:tr>
        <w:tblPrEx>
          <w:tblLayout w:type="fixed"/>
          <w:tblCellMar>
            <w:top w:w="0" w:type="dxa"/>
            <w:left w:w="0" w:type="dxa"/>
            <w:bottom w:w="0" w:type="dxa"/>
            <w:right w:w="0" w:type="dxa"/>
          </w:tblCellMar>
        </w:tblPrEx>
        <w:trPr>
          <w:trHeight w:val="72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喀什刀郎绿城房地产开发有限责任公司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刀郎花城</w:t>
            </w:r>
          </w:p>
        </w:tc>
        <w:tc>
          <w:tcPr>
            <w:tcW w:w="1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阿不都热依木</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19999283837</w:t>
            </w:r>
          </w:p>
        </w:tc>
      </w:tr>
    </w:tbl>
    <w:p>
      <w:pPr>
        <w:pStyle w:val="4"/>
        <w:keepNext w:val="0"/>
        <w:keepLines w:val="0"/>
        <w:pageBreakBefore w:val="0"/>
        <w:widowControl w:val="0"/>
        <w:numPr>
          <w:ilvl w:val="0"/>
          <w:numId w:val="0"/>
        </w:numPr>
        <w:kinsoku/>
        <w:overflowPunct/>
        <w:topLinePunct w:val="0"/>
        <w:autoSpaceDE/>
        <w:autoSpaceDN/>
        <w:bidi w:val="0"/>
        <w:textAlignment w:val="auto"/>
        <w:rPr>
          <w:rFonts w:hint="eastAsia" w:asciiTheme="minorEastAsia" w:hAnsiTheme="minorEastAsia" w:eastAsiaTheme="minorEastAsia" w:cstheme="minorEastAsia"/>
          <w:snapToGrid w:val="0"/>
          <w:spacing w:val="6"/>
          <w:kern w:val="0"/>
          <w:sz w:val="28"/>
          <w:szCs w:val="28"/>
          <w:lang w:val="en-US" w:eastAsia="zh-CN" w:bidi="ar-SA"/>
        </w:rPr>
      </w:pPr>
    </w:p>
    <w:p>
      <w:pPr>
        <w:pStyle w:val="4"/>
        <w:keepNext w:val="0"/>
        <w:keepLines w:val="0"/>
        <w:pageBreakBefore w:val="0"/>
        <w:widowControl w:val="0"/>
        <w:numPr>
          <w:ilvl w:val="0"/>
          <w:numId w:val="0"/>
        </w:numPr>
        <w:kinsoku/>
        <w:overflowPunct/>
        <w:topLinePunct w:val="0"/>
        <w:autoSpaceDE/>
        <w:autoSpaceDN/>
        <w:bidi w:val="0"/>
        <w:ind w:leftChars="200"/>
        <w:textAlignment w:val="auto"/>
        <w:rPr>
          <w:rFonts w:hint="default"/>
          <w:lang w:val="en-US" w:eastAsia="zh-CN"/>
        </w:rPr>
      </w:pPr>
      <w:bookmarkStart w:id="0" w:name="_GoBack"/>
      <w:bookmarkEnd w:id="0"/>
    </w:p>
    <w:sectPr>
      <w:headerReference r:id="rId3" w:type="default"/>
      <w:footerReference r:id="rId4"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numPr>
        <w:ilvl w:val="0"/>
        <w:numId w:val="0"/>
      </w:num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fldChar w:fldCharType="begin"/>
                          </w:r>
                          <w:r>
                            <w:rPr>
                              <w:rFonts w:hint="eastAsia" w:asciiTheme="minorEastAsia" w:hAnsiTheme="minorEastAsia" w:eastAsiaTheme="minorEastAsia" w:cstheme="minorEastAsia"/>
                              <w:lang w:eastAsia="zh-CN"/>
                            </w:rPr>
                            <w:instrText xml:space="preserve"> PAGE  \* MERGEFORMAT </w:instrText>
                          </w:r>
                          <w:r>
                            <w:rPr>
                              <w:rFonts w:hint="eastAsia" w:asciiTheme="minorEastAsia" w:hAnsiTheme="minorEastAsia" w:eastAsiaTheme="minorEastAsia" w:cstheme="minorEastAsia"/>
                              <w:lang w:eastAsia="zh-CN"/>
                            </w:rPr>
                            <w:fldChar w:fldCharType="separate"/>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fldChar w:fldCharType="begin"/>
                    </w:r>
                    <w:r>
                      <w:rPr>
                        <w:rFonts w:hint="eastAsia" w:asciiTheme="minorEastAsia" w:hAnsiTheme="minorEastAsia" w:eastAsiaTheme="minorEastAsia" w:cstheme="minorEastAsia"/>
                        <w:lang w:eastAsia="zh-CN"/>
                      </w:rPr>
                      <w:instrText xml:space="preserve"> PAGE  \* MERGEFORMAT </w:instrText>
                    </w:r>
                    <w:r>
                      <w:rPr>
                        <w:rFonts w:hint="eastAsia" w:asciiTheme="minorEastAsia" w:hAnsiTheme="minorEastAsia" w:eastAsiaTheme="minorEastAsia" w:cstheme="minorEastAsia"/>
                        <w:lang w:eastAsia="zh-CN"/>
                      </w:rPr>
                      <w:fldChar w:fldCharType="separate"/>
                    </w: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AD5DA"/>
    <w:multiLevelType w:val="singleLevel"/>
    <w:tmpl w:val="948AD5DA"/>
    <w:lvl w:ilvl="0" w:tentative="0">
      <w:start w:val="1"/>
      <w:numFmt w:val="chineseCounting"/>
      <w:pStyle w:val="4"/>
      <w:suff w:val="nothing"/>
      <w:lvlText w:val="%1、"/>
      <w:lvlJc w:val="left"/>
      <w:pPr>
        <w:ind w:left="0" w:firstLine="420"/>
      </w:pPr>
      <w:rPr>
        <w:rFonts w:hint="eastAsia"/>
      </w:rPr>
    </w:lvl>
  </w:abstractNum>
  <w:abstractNum w:abstractNumId="1">
    <w:nsid w:val="0FA69E4A"/>
    <w:multiLevelType w:val="singleLevel"/>
    <w:tmpl w:val="0FA69E4A"/>
    <w:lvl w:ilvl="0" w:tentative="0">
      <w:start w:val="1"/>
      <w:numFmt w:val="chineseCounting"/>
      <w:pStyle w:val="2"/>
      <w:suff w:val="nothing"/>
      <w:lvlText w:val="（%1）"/>
      <w:lvlJc w:val="left"/>
      <w:pPr>
        <w:ind w:left="0" w:firstLine="420"/>
      </w:pPr>
      <w:rPr>
        <w:rFonts w:hint="eastAsia"/>
      </w:rPr>
    </w:lvl>
  </w:abstractNum>
  <w:abstractNum w:abstractNumId="2">
    <w:nsid w:val="3069550D"/>
    <w:multiLevelType w:val="singleLevel"/>
    <w:tmpl w:val="3069550D"/>
    <w:lvl w:ilvl="0" w:tentative="0">
      <w:start w:val="1"/>
      <w:numFmt w:val="decimal"/>
      <w:pStyle w:val="1"/>
      <w:lvlText w:val="%1."/>
      <w:lvlJc w:val="left"/>
      <w:pPr>
        <w:tabs>
          <w:tab w:val="left" w:pos="0"/>
        </w:tabs>
        <w:ind w:left="0" w:leftChars="0" w:firstLine="0"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47BB7"/>
    <w:rsid w:val="059D596B"/>
    <w:rsid w:val="183C6A1B"/>
    <w:rsid w:val="1CF17EA3"/>
    <w:rsid w:val="2D3C03C9"/>
    <w:rsid w:val="3AA31681"/>
    <w:rsid w:val="46824BAB"/>
    <w:rsid w:val="4D071DA9"/>
    <w:rsid w:val="52247BB7"/>
    <w:rsid w:val="5BB05C30"/>
    <w:rsid w:val="5EF719A1"/>
    <w:rsid w:val="73C84803"/>
    <w:rsid w:val="78BB74FE"/>
    <w:rsid w:val="7B471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numPr>
        <w:ilvl w:val="0"/>
        <w:numId w:val="1"/>
      </w:numPr>
      <w:spacing w:line="570" w:lineRule="exact"/>
      <w:ind w:left="0" w:firstLine="664" w:firstLineChars="200"/>
      <w:jc w:val="both"/>
    </w:pPr>
    <w:rPr>
      <w:rFonts w:ascii="方正仿宋_GBK" w:hAnsi="方正仿宋_GBK" w:eastAsia="方正仿宋_GBK" w:cs="方正仿宋_GBK"/>
      <w:snapToGrid w:val="0"/>
      <w:spacing w:val="6"/>
      <w:kern w:val="0"/>
      <w:sz w:val="32"/>
      <w:szCs w:val="32"/>
      <w:lang w:val="en-US" w:eastAsia="zh-CN" w:bidi="ar-SA"/>
    </w:rPr>
  </w:style>
  <w:style w:type="paragraph" w:styleId="3">
    <w:name w:val="heading 1"/>
    <w:basedOn w:val="1"/>
    <w:next w:val="1"/>
    <w:qFormat/>
    <w:uiPriority w:val="0"/>
    <w:pPr>
      <w:keepNext/>
      <w:keepLines/>
      <w:numPr>
        <w:numId w:val="0"/>
      </w:numPr>
      <w:spacing w:beforeLines="0" w:beforeAutospacing="0" w:after="100" w:afterLines="100" w:afterAutospacing="0" w:line="570" w:lineRule="exact"/>
      <w:jc w:val="center"/>
      <w:outlineLvl w:val="0"/>
    </w:pPr>
    <w:rPr>
      <w:rFonts w:eastAsia="方正小标宋_GBK" w:asciiTheme="minorAscii" w:hAnsiTheme="minorAscii"/>
      <w:kern w:val="44"/>
      <w:sz w:val="40"/>
    </w:rPr>
  </w:style>
  <w:style w:type="paragraph" w:styleId="4">
    <w:name w:val="heading 2"/>
    <w:basedOn w:val="1"/>
    <w:next w:val="1"/>
    <w:unhideWhenUsed/>
    <w:qFormat/>
    <w:uiPriority w:val="0"/>
    <w:pPr>
      <w:keepNext/>
      <w:keepLines/>
      <w:numPr>
        <w:numId w:val="2"/>
      </w:numPr>
      <w:spacing w:beforeLines="0" w:beforeAutospacing="0" w:afterLines="0" w:afterAutospacing="0" w:line="570" w:lineRule="exact"/>
      <w:ind w:left="0" w:firstLine="824" w:firstLineChars="200"/>
      <w:outlineLvl w:val="1"/>
    </w:pPr>
    <w:rPr>
      <w:rFonts w:ascii="Arial" w:hAnsi="Arial" w:eastAsia="方正黑体_GBK"/>
    </w:rPr>
  </w:style>
  <w:style w:type="paragraph" w:styleId="2">
    <w:name w:val="heading 3"/>
    <w:basedOn w:val="1"/>
    <w:next w:val="1"/>
    <w:link w:val="11"/>
    <w:unhideWhenUsed/>
    <w:qFormat/>
    <w:uiPriority w:val="0"/>
    <w:pPr>
      <w:keepNext/>
      <w:keepLines/>
      <w:numPr>
        <w:numId w:val="3"/>
      </w:numPr>
      <w:adjustRightInd w:val="0"/>
      <w:snapToGrid w:val="0"/>
      <w:spacing w:beforeLines="0" w:beforeAutospacing="0" w:afterLines="0" w:afterAutospacing="0" w:line="570" w:lineRule="exact"/>
      <w:ind w:firstLine="664" w:firstLineChars="200"/>
      <w:outlineLvl w:val="2"/>
    </w:pPr>
    <w:rPr>
      <w:rFonts w:eastAsia="方正楷体_GBK" w:asciiTheme="minorAscii" w:hAnsiTheme="minorAscii"/>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numPr>
        <w:numId w:val="0"/>
      </w:numPr>
      <w:spacing w:afterLines="0" w:afterAutospacing="0"/>
    </w:pPr>
  </w:style>
  <w:style w:type="paragraph" w:styleId="6">
    <w:name w:val="footer"/>
    <w:basedOn w:val="1"/>
    <w:qFormat/>
    <w:uiPriority w:val="0"/>
    <w:pPr>
      <w:tabs>
        <w:tab w:val="center" w:pos="4153"/>
        <w:tab w:val="right" w:pos="8306"/>
        <w:tab w:val="clear" w:pos="0"/>
      </w:tabs>
      <w:snapToGrid w:val="0"/>
      <w:jc w:val="left"/>
    </w:pPr>
    <w:rPr>
      <w:rFonts w:ascii="Calibri" w:hAnsi="Calibri" w:eastAsia="宋体" w:cs="Times New Roman"/>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0"/>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标题 3 Char"/>
    <w:link w:val="2"/>
    <w:qFormat/>
    <w:uiPriority w:val="0"/>
    <w:rPr>
      <w:rFonts w:eastAsia="方正楷体_GBK" w:asciiTheme="minorAscii" w:hAnsiTheme="minorAsci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31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2022-09-16T04:43:00Z</dcterms:created>
  <dc:creator>Administrator</dc:creator>
  <cp:lastModifiedBy>Administrator</cp:lastModifiedBy>
  <cp:lastPrinted>2022-12-13T11:40:00Z</cp:lastPrinted>
  <dcterms:modified xsi:type="dcterms:W3CDTF">2022-12-24T03:04:04Z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