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6"/>
          <w:sz w:val="40"/>
          <w:szCs w:val="40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6"/>
          <w:sz w:val="40"/>
          <w:szCs w:val="40"/>
          <w:highlight w:val="none"/>
          <w:lang w:eastAsia="zh-CN"/>
        </w:rPr>
        <w:t>麦盖提县人民政府关于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6"/>
          <w:sz w:val="40"/>
          <w:szCs w:val="40"/>
          <w:highlight w:val="none"/>
          <w:lang w:val="en-US" w:eastAsia="zh-CN"/>
        </w:rPr>
        <w:t>2022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6"/>
          <w:sz w:val="40"/>
          <w:szCs w:val="40"/>
          <w:highlight w:val="none"/>
          <w:lang w:eastAsia="zh-CN"/>
        </w:rPr>
        <w:t>年度部门决算（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6"/>
          <w:sz w:val="40"/>
          <w:szCs w:val="40"/>
          <w:highlight w:val="none"/>
          <w:lang w:val="en-US" w:eastAsia="zh-CN"/>
        </w:rPr>
        <w:t>草案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6"/>
          <w:sz w:val="40"/>
          <w:szCs w:val="40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6"/>
          <w:sz w:val="40"/>
          <w:szCs w:val="40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pacing w:val="6"/>
          <w:sz w:val="40"/>
          <w:szCs w:val="40"/>
          <w:highlight w:val="none"/>
          <w:lang w:eastAsia="zh-CN"/>
        </w:rPr>
        <w:t>的报告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楷体简体" w:hAnsi="方正楷体简体" w:eastAsia="方正楷体简体" w:cs="方正楷体简体"/>
          <w:b w:val="0"/>
          <w:bCs w:val="0"/>
          <w:kern w:val="0"/>
          <w:sz w:val="32"/>
          <w:szCs w:val="32"/>
          <w:lang w:val="en-US" w:eastAsia="zh-CN" w:bidi="ar-SA"/>
        </w:rPr>
      </w:pPr>
      <w:bookmarkStart w:id="0" w:name="_Toc62323723"/>
      <w:bookmarkStart w:id="1" w:name="第七部分部门决算分析报告撰写提纲"/>
      <w:r>
        <w:rPr>
          <w:rFonts w:hint="eastAsia" w:ascii="方正楷体简体" w:hAnsi="方正楷体简体" w:eastAsia="方正楷体简体" w:cs="方正楷体简体"/>
          <w:b w:val="0"/>
          <w:bCs w:val="0"/>
          <w:sz w:val="32"/>
          <w:szCs w:val="32"/>
          <w:lang w:val="en-US" w:eastAsia="zh-CN"/>
        </w:rPr>
        <w:t xml:space="preserve">--2023年9月6日在麦盖提县第十七届人大常委会第十四次会上  </w:t>
      </w:r>
      <w:r>
        <w:rPr>
          <w:rFonts w:hint="eastAsia" w:ascii="方正楷体简体" w:hAnsi="方正楷体简体" w:eastAsia="方正楷体简体" w:cs="方正楷体简体"/>
          <w:b w:val="0"/>
          <w:bCs w:val="0"/>
          <w:kern w:val="0"/>
          <w:sz w:val="32"/>
          <w:szCs w:val="32"/>
          <w:lang w:val="en-US" w:eastAsia="zh-CN" w:bidi="ar-SA"/>
        </w:rPr>
        <w:t>县财政局局长  张丽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方正楷体简体" w:hAnsi="方正楷体简体" w:eastAsia="方正楷体简体" w:cs="方正楷体简体"/>
          <w:b w:val="0"/>
          <w:bCs w:val="0"/>
          <w:kern w:val="0"/>
          <w:sz w:val="32"/>
          <w:szCs w:val="32"/>
          <w:lang w:val="en-US" w:eastAsia="zh-CN" w:bidi="ar-S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主任、各位副主任、各位委员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：</w:t>
      </w:r>
      <w:bookmarkStart w:id="2" w:name="_GoBack"/>
      <w:bookmarkEnd w:id="2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根据《预算法》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《预算法实施条例》等法律法规有关规定，2022年度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部门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决算报告经县人民政府常务会议研究通过，受县政府委托，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现将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2022年度部门决算执行情况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报告如下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，请予审议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、部门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决算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收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入、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支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出、结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余情况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及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分析</w:t>
      </w:r>
    </w:p>
    <w:p>
      <w:pPr>
        <w:pStyle w:val="5"/>
        <w:spacing w:before="62"/>
        <w:ind w:firstLine="643"/>
        <w:rPr>
          <w:rFonts w:hint="eastAsia" w:ascii="方正楷体_GBK" w:hAnsi="方正楷体_GBK" w:eastAsia="方正楷体_GBK" w:cs="方正楷体_GBK"/>
          <w:bCs/>
          <w:kern w:val="10"/>
          <w:sz w:val="32"/>
          <w:szCs w:val="32"/>
          <w:lang w:bidi="en-US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（一）部门收入、支出情况</w:t>
      </w:r>
    </w:p>
    <w:p>
      <w:pPr>
        <w:pStyle w:val="9"/>
        <w:spacing w:line="360" w:lineRule="auto"/>
        <w:jc w:val="both"/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en-US" w:eastAsia="zh-CN"/>
        </w:rPr>
        <w:t xml:space="preserve">1. 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收入资金来源、资金性质分析</w:t>
      </w:r>
    </w:p>
    <w:p>
      <w:pPr>
        <w:pStyle w:val="9"/>
        <w:spacing w:line="360" w:lineRule="auto"/>
        <w:jc w:val="both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2022年度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，我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县部门决算总收入（不含代列资金）447606.26万元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eastAsia="zh-CN"/>
        </w:rPr>
        <w:t>较上年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en-US" w:eastAsia="zh-CN"/>
        </w:rPr>
        <w:t>497519.92万元,减少10.03%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其中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，财政拔款收入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403909.90万元（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一般公共预算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财政拨款收入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330678.26万元,政府性基金财政拔款收入73227.68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，国有资本经营预算财政拔款收入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3.96万元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，占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总收入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比90.24%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事业收入17726.26万元，占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总收入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比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3.96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%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其他收入25970.10万元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占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总收入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比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5.80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%。</w:t>
      </w:r>
    </w:p>
    <w:p>
      <w:pPr>
        <w:pStyle w:val="9"/>
        <w:spacing w:line="360" w:lineRule="auto"/>
        <w:jc w:val="both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2022年度全县总收入（不含代列资金）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比上年减少10.03%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eastAsia="zh-CN" w:bidi="en-US"/>
        </w:rPr>
        <w:t>。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其中：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财政拨款收入较上年增加1.81%，主要原因为：①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新增麦盖提镇南网社区支持培育发展社区治理试点项目；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②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eastAsia="zh-CN" w:bidi="en-US"/>
        </w:rPr>
        <w:t>新增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文旅局叶尔羌河生态旅游区建设项目；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③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新增文化馆地方公共文化服务体系建设专项项目；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④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新增工业园区红枣冷链建设项目；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⑤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eastAsia="zh-CN" w:bidi="en-US"/>
        </w:rPr>
        <w:t>新增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塔里木河流域生态修复项目；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⑥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因疫情原因追加抗疫经费。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事业收入较上年减少14.38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，主要原因为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：疫情防控工作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持续开展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事业收入减小。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2022年度全县其他收入25970.10万元，较上年减少67.56%。主要原因为: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当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年专款项目资金减少，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对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应收入的收支减少。</w:t>
      </w:r>
    </w:p>
    <w:p>
      <w:pPr>
        <w:numPr>
          <w:ilvl w:val="0"/>
          <w:numId w:val="1"/>
        </w:numPr>
        <w:snapToGrid w:val="0"/>
        <w:spacing w:before="100" w:beforeAutospacing="1"/>
        <w:ind w:firstLine="643" w:firstLineChars="200"/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</w:pP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支出分经济分类科目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eastAsia="zh-CN" w:bidi="en-US"/>
        </w:rPr>
        <w:t>资金及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分析</w:t>
      </w:r>
    </w:p>
    <w:p>
      <w:pPr>
        <w:widowControl/>
        <w:ind w:firstLine="640" w:firstLineChars="200"/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</w:pP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2022年度，我县支出决算数为456031.8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val="en-US" w:eastAsia="zh-CN" w:bidi="en-US"/>
        </w:rPr>
        <w:t>6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万元，其中：工资福利支出153540.64万元，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比上年度增加11443.27万元，增长8.05%；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商品和服务支出54235.48万元，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比上年度减少4862.3万元，减少8.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val="en-US" w:eastAsia="zh-CN" w:bidi="en-US"/>
        </w:rPr>
        <w:t>23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%；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对个人和家庭的补助61358.44万元，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比上年度减少44026.7万元，减少41.78%；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债务利息及费用支出30.83万元，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比上年度减少3.33万元，减少9.75%；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资本性支出（基本建设）15306.34万元，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比上年度增加5718.07 万元，增长59.64%；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资本性支出165690.41万元，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比上年度减少4617.14万元，减少2.71%；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对企业补助5869.72万元，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比上年度减少10882.34万元，减少64.96%；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其他支出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val="en-US" w:eastAsia="zh-CN" w:bidi="en-US"/>
        </w:rPr>
        <w:t>无，较上年无变化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。</w:t>
      </w:r>
    </w:p>
    <w:p>
      <w:pPr>
        <w:widowControl/>
        <w:ind w:firstLine="640" w:firstLineChars="200"/>
        <w:jc w:val="both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2022年度总支出为456031.8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val="en-US" w:eastAsia="zh-CN" w:bidi="en-US"/>
        </w:rPr>
        <w:t>6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万元，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eastAsia="zh-CN" w:bidi="en-US"/>
        </w:rPr>
        <w:t>较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上年度总支出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val="en-US" w:eastAsia="zh-CN" w:bidi="en-US"/>
        </w:rPr>
        <w:t>503262.33万元，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减少9.38%。主要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val="en-US" w:eastAsia="zh-CN" w:bidi="en-US"/>
        </w:rPr>
        <w:t>原因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为：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①教育系统减少教育建设项目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eastAsia="zh-CN" w:bidi="en-US"/>
        </w:rPr>
        <w:t>；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②集团重新划分为各学校，人员减少，人员支出减少；③疫情原因日常运转经费支出减少；④人社局就业专项项目资金减少；⑤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val="en-US" w:eastAsia="zh-CN" w:bidi="en-US"/>
        </w:rPr>
        <w:t>当年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农业保险保费项目资金减少。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其中: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基本支出增加13.83%，增加的主要原因为：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①单位人员工资调整，社保公积金基数调增，人员经费支出增加；②基础性绩效工资调增，工资福利支出增加。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项目支出减少19.20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，减少的主要原因为：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当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年专款项目资金减少，相应项目支出减少。</w:t>
      </w:r>
    </w:p>
    <w:p>
      <w:pPr>
        <w:pStyle w:val="9"/>
        <w:numPr>
          <w:ilvl w:val="0"/>
          <w:numId w:val="1"/>
        </w:numPr>
        <w:spacing w:line="360" w:lineRule="auto"/>
        <w:ind w:left="0" w:leftChars="0" w:firstLine="643" w:firstLineChars="200"/>
        <w:jc w:val="both"/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结转结余资金来源、资金性质分析</w:t>
      </w:r>
    </w:p>
    <w:p>
      <w:pPr>
        <w:pStyle w:val="9"/>
        <w:spacing w:line="360" w:lineRule="auto"/>
        <w:jc w:val="both"/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2022年度全县部门决算年末结转结余（不含代列支资金）3975.79万元，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比上年减少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en-US" w:eastAsia="zh-CN"/>
        </w:rPr>
        <w:t>6341.9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万元，降低61.47%，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其中：财政拨款年末结转和结余543.51万元，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较上年减少6524.7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万元，降低92.31%，主要原因为：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①上缴存量资金，结转结余资金交回国库；②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按项目实施进度，抓紧抓实资金支出进度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p>
      <w:pPr>
        <w:snapToGrid w:val="0"/>
        <w:spacing w:line="276" w:lineRule="auto"/>
        <w:ind w:firstLine="640" w:firstLineChars="200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、三公经费、会议费、培训费等重点经济分类支出分析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eastAsia="zh-CN"/>
        </w:rPr>
        <w:t>（一）全县三公经费预决算对比</w:t>
      </w:r>
    </w:p>
    <w:p>
      <w:pPr>
        <w:widowControl/>
        <w:ind w:firstLine="640" w:firstLineChars="200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2022年度,三公经费全年支出决算数为784.61万元，预算数为665.00万元，预决算差异率为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val="en-US" w:eastAsia="zh-CN" w:bidi="en-US"/>
        </w:rPr>
        <w:t>17.99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%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eastAsia="zh-CN" w:bidi="en-US"/>
        </w:rPr>
        <w:t>。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其中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eastAsia="zh-CN" w:bidi="en-US"/>
        </w:rPr>
        <w:t>：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公务用车购置决算数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val="en-US" w:eastAsia="zh-CN" w:bidi="en-US"/>
        </w:rPr>
        <w:t>无，较上年无变化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；公务用车运行维护费决算数为762.00万元，预算数为630.00万元，预决算差异率为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val="en-US" w:eastAsia="zh-CN" w:bidi="en-US"/>
        </w:rPr>
        <w:t>20.95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%；公务接待费决算数为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val="en-US" w:eastAsia="zh-CN" w:bidi="en-US"/>
        </w:rPr>
        <w:t>22.61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万元，预算数为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val="en-US" w:eastAsia="zh-CN" w:bidi="en-US"/>
        </w:rPr>
        <w:t>35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万元，预决算差异率为-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val="en-US" w:eastAsia="zh-CN" w:bidi="en-US"/>
        </w:rPr>
        <w:t>35.4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%。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主要原因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val="en-US" w:eastAsia="zh-CN" w:bidi="en-US"/>
        </w:rPr>
        <w:t>为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：</w:t>
      </w:r>
      <w:r>
        <w:rPr>
          <w:rFonts w:hint="eastAsia" w:ascii="方正仿宋_GBK" w:hAnsi="方正仿宋_GBK" w:eastAsia="方正仿宋_GBK" w:cs="方正仿宋_GBK"/>
          <w:b w:val="0"/>
          <w:bCs/>
          <w:kern w:val="10"/>
          <w:sz w:val="32"/>
          <w:szCs w:val="32"/>
          <w:highlight w:val="none"/>
          <w:lang w:val="en-US" w:eastAsia="zh-CN" w:bidi="en-US"/>
        </w:rPr>
        <w:t>公安部门为全力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highlight w:val="none"/>
          <w:lang w:bidi="en-US"/>
        </w:rPr>
        <w:t>保障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highlight w:val="none"/>
          <w:lang w:val="en-US" w:eastAsia="zh-CN" w:bidi="en-US"/>
        </w:rPr>
        <w:t>社会面防控和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highlight w:val="none"/>
          <w:lang w:bidi="en-US"/>
        </w:rPr>
        <w:t>防疫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highlight w:val="none"/>
          <w:lang w:val="en-US" w:eastAsia="zh-CN" w:bidi="en-US"/>
        </w:rPr>
        <w:t>管控工作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highlight w:val="none"/>
          <w:lang w:bidi="en-US"/>
        </w:rPr>
        <w:t>，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highlight w:val="none"/>
          <w:lang w:val="en-US" w:eastAsia="zh-CN" w:bidi="en-US"/>
        </w:rPr>
        <w:t>加大巡逻力度，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highlight w:val="none"/>
          <w:lang w:bidi="en-US"/>
        </w:rPr>
        <w:t>公务用车运行维护费支出增加。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eastAsia="zh-CN"/>
        </w:rPr>
        <w:t>（二）全县三公经费上下年对比</w:t>
      </w:r>
    </w:p>
    <w:p>
      <w:pPr>
        <w:widowControl/>
        <w:ind w:firstLine="640" w:firstLineChars="200"/>
        <w:rPr>
          <w:rFonts w:hint="eastAsia" w:ascii="方正仿宋_GBK" w:hAnsi="方正仿宋_GBK" w:eastAsia="方正仿宋_GBK" w:cs="方正仿宋_GBK"/>
          <w:b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2022年度,我县三公经费全年支出为784.61万元，其中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eastAsia="zh-CN" w:bidi="en-US"/>
        </w:rPr>
        <w:t>：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公务用车购置为0.00万元，公务用车运行维护费为762.00万元，公务接待为22.61万元。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较上年减少8.22万元，降低1.0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val="en-US" w:eastAsia="zh-CN" w:bidi="en-US"/>
        </w:rPr>
        <w:t>4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%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eastAsia="zh-CN" w:bidi="en-US"/>
        </w:rPr>
        <w:t>，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val="en-US" w:eastAsia="zh-CN" w:bidi="en-US"/>
        </w:rPr>
        <w:t>主要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原因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val="en-US" w:eastAsia="zh-CN" w:bidi="en-US"/>
        </w:rPr>
        <w:t>为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：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严格按预算指标执行，响应政府“过紧日子号召”，厉行节约，压减一般性支出。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eastAsia="zh-CN"/>
        </w:rPr>
        <w:t>（三）全县会议费上下年对比</w:t>
      </w:r>
    </w:p>
    <w:p>
      <w:pPr>
        <w:snapToGrid w:val="0"/>
        <w:spacing w:line="540" w:lineRule="exact"/>
        <w:ind w:firstLine="640" w:firstLineChars="200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2022年度，全县会议费支出为19.87万元，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较上年69.66万元减少49.7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万元，降低71.4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%。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主要原因为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受疫情影响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会议次数减少。</w:t>
      </w:r>
    </w:p>
    <w:p>
      <w:pPr>
        <w:numPr>
          <w:ilvl w:val="0"/>
          <w:numId w:val="2"/>
        </w:numPr>
        <w:snapToGrid w:val="0"/>
        <w:spacing w:line="540" w:lineRule="exact"/>
        <w:ind w:firstLine="643" w:firstLineChars="200"/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eastAsia="zh-CN"/>
        </w:rPr>
        <w:t>全县培训费上下年对比</w:t>
      </w:r>
    </w:p>
    <w:p>
      <w:pPr>
        <w:numPr>
          <w:ilvl w:val="0"/>
          <w:numId w:val="0"/>
        </w:numPr>
        <w:snapToGrid w:val="0"/>
        <w:spacing w:line="54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2022年度,全县培训费支出为1221.60万元，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较上年1077.81万元增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加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143.79万元，增长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13.34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%。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主要原因为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>当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年组织人大代表在党校集中培训；教育系统统一培训和援疆支教培训增加。</w:t>
      </w:r>
    </w:p>
    <w:p>
      <w:pPr>
        <w:pStyle w:val="5"/>
        <w:spacing w:before="62"/>
        <w:ind w:firstLine="643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机构人员情况</w:t>
      </w:r>
    </w:p>
    <w:p>
      <w:pPr>
        <w:snapToGrid w:val="0"/>
        <w:spacing w:line="580" w:lineRule="exact"/>
        <w:ind w:firstLine="643" w:firstLineChars="200"/>
        <w:rPr>
          <w:rFonts w:hint="eastAsia" w:ascii="方正楷体_GBK" w:hAnsi="方正楷体_GBK" w:eastAsia="方正楷体_GBK" w:cs="方正楷体_GBK"/>
          <w:b/>
          <w:bCs w:val="0"/>
          <w:kern w:val="10"/>
          <w:sz w:val="32"/>
          <w:szCs w:val="32"/>
          <w:lang w:bidi="en-US"/>
        </w:rPr>
      </w:pPr>
      <w:r>
        <w:rPr>
          <w:rFonts w:hint="eastAsia" w:ascii="方正楷体_GBK" w:hAnsi="方正楷体_GBK" w:eastAsia="方正楷体_GBK" w:cs="方正楷体_GBK"/>
          <w:b/>
          <w:bCs w:val="0"/>
          <w:kern w:val="10"/>
          <w:sz w:val="32"/>
          <w:szCs w:val="32"/>
          <w:lang w:eastAsia="zh-CN" w:bidi="en-US"/>
        </w:rPr>
        <w:t>（一）</w:t>
      </w:r>
      <w:r>
        <w:rPr>
          <w:rFonts w:hint="eastAsia" w:ascii="方正楷体_GBK" w:hAnsi="方正楷体_GBK" w:eastAsia="方正楷体_GBK" w:cs="方正楷体_GBK"/>
          <w:b/>
          <w:bCs w:val="0"/>
          <w:kern w:val="10"/>
          <w:sz w:val="32"/>
          <w:szCs w:val="32"/>
          <w:lang w:bidi="en-US"/>
        </w:rPr>
        <w:t>机构基本情况</w:t>
      </w:r>
    </w:p>
    <w:p>
      <w:pPr>
        <w:snapToGrid w:val="0"/>
        <w:spacing w:line="540" w:lineRule="exact"/>
        <w:ind w:firstLine="640" w:firstLineChars="200"/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yellow"/>
        </w:rPr>
      </w:pP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highlight w:val="none"/>
          <w:lang w:bidi="en-US"/>
        </w:rPr>
        <w:t>202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highlight w:val="none"/>
          <w:lang w:val="en-US" w:eastAsia="zh-CN" w:bidi="en-US"/>
        </w:rPr>
        <w:t>2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highlight w:val="none"/>
          <w:lang w:bidi="en-US"/>
        </w:rPr>
        <w:t>年度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highlight w:val="none"/>
          <w:lang w:eastAsia="zh-CN" w:bidi="en-US"/>
        </w:rPr>
        <w:t>纳入部门决算范围的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highlight w:val="none"/>
          <w:lang w:bidi="en-US"/>
        </w:rPr>
        <w:t>独立核算机构数127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highlight w:val="none"/>
          <w:lang w:eastAsia="zh-CN" w:bidi="en-US"/>
        </w:rPr>
        <w:t>个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highlight w:val="none"/>
          <w:lang w:bidi="en-US"/>
        </w:rPr>
        <w:t>，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highlight w:val="none"/>
          <w:lang w:bidi="en-US"/>
        </w:rPr>
        <w:t>较上年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highlight w:val="none"/>
          <w:lang w:val="en-US" w:eastAsia="zh-CN" w:bidi="en-US"/>
        </w:rPr>
        <w:t>117个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highlight w:val="none"/>
          <w:lang w:bidi="en-US"/>
        </w:rPr>
        <w:t>增加10个，增长8.55%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highlight w:val="none"/>
          <w:lang w:eastAsia="zh-CN" w:bidi="en-US"/>
        </w:rPr>
        <w:t>，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增长的原因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eastAsia="zh-CN" w:bidi="en-US"/>
        </w:rPr>
        <w:t>为</w:t>
      </w:r>
      <w:r>
        <w:rPr>
          <w:rFonts w:hint="eastAsia" w:ascii="方正仿宋_GBK" w:hAnsi="方正仿宋_GBK" w:eastAsia="方正仿宋_GBK" w:cs="方正仿宋_GBK"/>
          <w:b/>
          <w:bCs w:val="0"/>
          <w:kern w:val="10"/>
          <w:sz w:val="32"/>
          <w:szCs w:val="32"/>
          <w:lang w:bidi="en-US"/>
        </w:rPr>
        <w:t>：</w:t>
      </w:r>
      <w:r>
        <w:rPr>
          <w:rFonts w:hint="eastAsia" w:ascii="方正仿宋_GBK" w:hAnsi="方正仿宋_GBK" w:eastAsia="方正仿宋_GBK" w:cs="方正仿宋_GBK"/>
          <w:b w:val="0"/>
          <w:bCs/>
          <w:kern w:val="10"/>
          <w:sz w:val="32"/>
          <w:szCs w:val="32"/>
          <w:lang w:val="en-US" w:eastAsia="zh-CN" w:bidi="en-US"/>
        </w:rPr>
        <w:t>教育系统各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集团学校拆分，划分为新学校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eastAsia="zh-CN" w:bidi="en-US"/>
        </w:rPr>
        <w:t>。</w:t>
      </w:r>
      <w:r>
        <w:rPr>
          <w:rFonts w:hint="eastAsia" w:ascii="方正仿宋_GBK" w:hAnsi="方正仿宋_GBK" w:eastAsia="方正仿宋_GBK" w:cs="方正仿宋_GBK"/>
          <w:bCs/>
          <w:kern w:val="10"/>
          <w:sz w:val="32"/>
          <w:szCs w:val="32"/>
          <w:lang w:bidi="en-US"/>
        </w:rPr>
        <w:t>分别为：希依提墩乡中心幼儿园、央塔克乡中心幼儿园、吐曼塔勒乡中心幼儿园、尕孜库勒乡中心幼儿园、克孜勒阿瓦提乡中心幼儿园、昂格特勒克乡中心幼儿园、五一林场幼儿园、五一林场小学、昂格特勒克乡学校、库木库萨尔乡小学。</w:t>
      </w:r>
    </w:p>
    <w:p>
      <w:pPr>
        <w:pStyle w:val="9"/>
        <w:spacing w:line="360" w:lineRule="auto"/>
        <w:ind w:firstLineChars="0"/>
        <w:rPr>
          <w:rFonts w:hint="eastAsia" w:ascii="方正楷体_GBK" w:hAnsi="方正楷体_GBK" w:eastAsia="方正楷体_GBK" w:cs="方正楷体_GBK"/>
          <w:b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eastAsia="zh-CN"/>
        </w:rPr>
        <w:t>（二）</w:t>
      </w: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</w:rPr>
        <w:t>本地区实有人数和一般公共预算财政拨款（补助）开支人员情况</w:t>
      </w:r>
    </w:p>
    <w:p>
      <w:pPr>
        <w:pStyle w:val="9"/>
        <w:spacing w:line="360" w:lineRule="auto"/>
        <w:ind w:firstLineChars="0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1.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实有人员数</w:t>
      </w:r>
    </w:p>
    <w:p>
      <w:pPr>
        <w:pStyle w:val="9"/>
        <w:spacing w:line="360" w:lineRule="auto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2022年度，全县年末实有人数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8387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人，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比上年减少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en-US" w:eastAsia="zh-CN"/>
        </w:rPr>
        <w:t>150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人，减少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en-US" w:eastAsia="zh-CN"/>
        </w:rPr>
        <w:t>1.76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%，减少的主要原因为：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①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当年在职转退休，实有人员减少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；②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部分单位有辞职人员减少；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③希依提墩乡人民政府上年多填报人数，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当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年予以更正。其中，在职人员8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385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人，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比上年减少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en-US" w:eastAsia="zh-CN"/>
        </w:rPr>
        <w:t>150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人，降低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en-US" w:eastAsia="zh-CN"/>
        </w:rPr>
        <w:t>1.76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%；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离休人员2人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与上年无变化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</w:rPr>
        <w:t>。</w:t>
      </w:r>
    </w:p>
    <w:p>
      <w:pPr>
        <w:numPr>
          <w:ilvl w:val="0"/>
          <w:numId w:val="3"/>
        </w:numPr>
        <w:snapToGrid w:val="0"/>
        <w:spacing w:line="580" w:lineRule="exact"/>
        <w:ind w:firstLine="643" w:firstLineChars="200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kern w:val="10"/>
          <w:sz w:val="32"/>
          <w:szCs w:val="32"/>
          <w:lang w:bidi="en-US"/>
        </w:rPr>
        <w:t>一般公共预算财政拨款（补助）开支人员情况</w:t>
      </w:r>
    </w:p>
    <w:p>
      <w:pPr>
        <w:pStyle w:val="9"/>
        <w:spacing w:line="360" w:lineRule="auto"/>
        <w:jc w:val="both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年末一般公共预算财政拨款开支人数8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224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人，其中：</w:t>
      </w:r>
    </w:p>
    <w:p>
      <w:pPr>
        <w:pStyle w:val="9"/>
        <w:spacing w:line="360" w:lineRule="auto"/>
        <w:jc w:val="both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按是否在职划分：在职人员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8224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人。</w:t>
      </w:r>
    </w:p>
    <w:p>
      <w:pPr>
        <w:pStyle w:val="9"/>
        <w:spacing w:line="360" w:lineRule="auto"/>
        <w:jc w:val="both"/>
        <w:rPr>
          <w:rFonts w:hint="eastAsia" w:ascii="方正仿宋_GBK" w:hAnsi="方正仿宋_GBK" w:eastAsia="方正仿宋_GBK" w:cs="方正仿宋_GBK"/>
          <w:b/>
          <w:kern w:val="10"/>
          <w:sz w:val="32"/>
          <w:szCs w:val="32"/>
          <w:highlight w:val="yellow"/>
          <w:lang w:bidi="en-US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按人员性质划分：行政人员1499人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，占总人数比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18.23%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；参照公务员管理事业人员715人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，占总人数比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8.69%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；非参公事业人员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6010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人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，占总人数比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73.08%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p>
      <w:pPr>
        <w:numPr>
          <w:ilvl w:val="0"/>
          <w:numId w:val="3"/>
        </w:numPr>
        <w:snapToGrid w:val="0"/>
        <w:spacing w:line="580" w:lineRule="exact"/>
        <w:ind w:left="0" w:leftChars="0" w:firstLine="643" w:firstLineChars="200"/>
        <w:rPr>
          <w:rFonts w:hint="eastAsia" w:ascii="方正仿宋_GBK" w:hAnsi="方正仿宋_GBK" w:eastAsia="方正仿宋_GBK" w:cs="方正仿宋_GBK"/>
          <w:b/>
          <w:kern w:val="10"/>
          <w:sz w:val="32"/>
          <w:szCs w:val="32"/>
          <w:lang w:bidi="en-US"/>
        </w:rPr>
      </w:pPr>
      <w:r>
        <w:rPr>
          <w:rFonts w:hint="eastAsia" w:ascii="方正仿宋_GBK" w:hAnsi="方正仿宋_GBK" w:eastAsia="方正仿宋_GBK" w:cs="方正仿宋_GBK"/>
          <w:b/>
          <w:kern w:val="10"/>
          <w:sz w:val="32"/>
          <w:szCs w:val="32"/>
          <w:lang w:bidi="en-US"/>
        </w:rPr>
        <w:t>其他人员</w:t>
      </w:r>
    </w:p>
    <w:p>
      <w:pPr>
        <w:snapToGrid w:val="0"/>
        <w:spacing w:line="58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其他人员4977人，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</w:rPr>
        <w:t>较上年减少38.83%，主要原因为：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①教育系统保安人员和各学校幼儿园食堂工作人员减少；②公安局单位辅警、协警人员减少。</w:t>
      </w:r>
    </w:p>
    <w:p>
      <w:pPr>
        <w:pStyle w:val="5"/>
        <w:spacing w:before="62"/>
        <w:ind w:firstLine="643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四、下一步工作计划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right="0" w:rightChars="0"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val="en-US" w:eastAsia="zh-CN"/>
        </w:rPr>
        <w:t>（一）大力推进财源建设，提升财政服务经济高质量发展能力。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  <w:lang w:val="en-US" w:eastAsia="zh-CN"/>
        </w:rPr>
        <w:t>加快建设综合治税平台，完善财源建设激励制度体系，推进重点产业和重点税源企业税收分析，坚持收入定期检测调度，压实行业主管部门、税费征管部门、各乡镇“三个责任”，引导各部门培植优质可持续财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right="0" w:rightChars="0"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val="en-US" w:eastAsia="zh-CN"/>
        </w:rPr>
        <w:t>（二）强化财政资源统筹，提升财政稳定经济改善民生能力。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  <w:lang w:val="en-US" w:eastAsia="zh-CN"/>
        </w:rPr>
        <w:t>强化预算执行管理，保持政策执行的连续性稳定性，加大对保就业、保民生、保市场主体的支持力度，稳定经济基本盘。管好用好专项债券资金，优化债券使用方向，始终按照“资金跟着项目走”的原则，做深做细项目储备，合理加快使用进度，确保债券资金尽快形成实物工作量，更好发挥对投资的拉动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right="0" w:rightChars="0"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val="en-US" w:eastAsia="zh-CN"/>
        </w:rPr>
        <w:t>（三）妥善化解政府债务，提升财政可持续发展能力。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  <w:lang w:val="en-US" w:eastAsia="zh-CN"/>
        </w:rPr>
        <w:t>严格财政承受能力论证，加强重大政府性投资项目决策和立项管理，坚决遏制隐性债务增量。充分利用地方债务管理系统和全口径债务监测平台，加强风险评估预警结果应用，有效前移风险防控关口，做到对政府债务风险事件早发现、早报告、早处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right="0" w:rightChars="0"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val="en-US" w:eastAsia="zh-CN"/>
        </w:rPr>
        <w:t>（四）动真碰硬破旧立新，提升财政大事战略保障能力。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  <w:lang w:val="en-US" w:eastAsia="zh-CN"/>
        </w:rPr>
        <w:t>加强绩效评价结果应用，将资金评价结果与完善政策、调整预算、资金分配有机衔接。深化政府专项债券项目绩效管理落实，提高财政资金配置效率和使用效益。</w:t>
      </w:r>
    </w:p>
    <w:p>
      <w:pPr>
        <w:ind w:firstLine="643" w:firstLineChars="200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val="en-US" w:eastAsia="zh-CN"/>
        </w:rPr>
        <w:t>（五）严格财经秩序约束，提升财政把底线稳大局守财富能力。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highlight w:val="none"/>
          <w:lang w:val="en-US" w:eastAsia="zh-CN"/>
        </w:rPr>
        <w:t>严明财经纪律，加强财会监督，促进财会监督与各类监督协同发力，持续深化审计巡察发现问题与预算安排挂钩，发挥多种监督方式的协同效应，使财经纪律成为不可触碰的“高压线”。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以上报告，请予审议！  </w:t>
      </w:r>
    </w:p>
    <w:p>
      <w:pP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                                      </w:t>
      </w:r>
    </w:p>
    <w:p>
      <w:pPr>
        <w:pStyle w:val="2"/>
        <w:rPr>
          <w:rFonts w:hint="eastAsia"/>
          <w:lang w:val="en-US" w:eastAsia="zh-CN"/>
        </w:rPr>
      </w:pPr>
    </w:p>
    <w:bookmarkEnd w:id="0"/>
    <w:bookmarkEnd w:id="1"/>
    <w:p/>
    <w:sectPr>
      <w:headerReference r:id="rId3" w:type="default"/>
      <w:footerReference r:id="rId4" w:type="default"/>
      <w:type w:val="continuous"/>
      <w:pgSz w:w="11850" w:h="16783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6551AB"/>
    <w:multiLevelType w:val="singleLevel"/>
    <w:tmpl w:val="C66551AB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7377033"/>
    <w:multiLevelType w:val="singleLevel"/>
    <w:tmpl w:val="C7377033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6D106C51"/>
    <w:multiLevelType w:val="singleLevel"/>
    <w:tmpl w:val="6D106C51"/>
    <w:lvl w:ilvl="0" w:tentative="0">
      <w:start w:val="2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802B9"/>
    <w:rsid w:val="010D2E15"/>
    <w:rsid w:val="02106811"/>
    <w:rsid w:val="033E04B0"/>
    <w:rsid w:val="055F1718"/>
    <w:rsid w:val="05D41906"/>
    <w:rsid w:val="060568EC"/>
    <w:rsid w:val="06935B0A"/>
    <w:rsid w:val="06ED46E2"/>
    <w:rsid w:val="07031488"/>
    <w:rsid w:val="07AA62B4"/>
    <w:rsid w:val="08565B68"/>
    <w:rsid w:val="08A22E70"/>
    <w:rsid w:val="09B167CE"/>
    <w:rsid w:val="09B377D3"/>
    <w:rsid w:val="0C23410E"/>
    <w:rsid w:val="0D1024AB"/>
    <w:rsid w:val="0D163807"/>
    <w:rsid w:val="0DA64270"/>
    <w:rsid w:val="0E7D497F"/>
    <w:rsid w:val="106C62DC"/>
    <w:rsid w:val="12C25606"/>
    <w:rsid w:val="12C63257"/>
    <w:rsid w:val="13246DB3"/>
    <w:rsid w:val="13441F3A"/>
    <w:rsid w:val="14AF0DBF"/>
    <w:rsid w:val="15472BBA"/>
    <w:rsid w:val="160C6CE3"/>
    <w:rsid w:val="1A830DC4"/>
    <w:rsid w:val="1E827669"/>
    <w:rsid w:val="20D323F0"/>
    <w:rsid w:val="21512EBE"/>
    <w:rsid w:val="22C809AF"/>
    <w:rsid w:val="22C85AE9"/>
    <w:rsid w:val="22D1064E"/>
    <w:rsid w:val="23710501"/>
    <w:rsid w:val="255746C3"/>
    <w:rsid w:val="26120533"/>
    <w:rsid w:val="26F86667"/>
    <w:rsid w:val="281F45AA"/>
    <w:rsid w:val="283459F3"/>
    <w:rsid w:val="289916E7"/>
    <w:rsid w:val="2B37027B"/>
    <w:rsid w:val="2B8920D2"/>
    <w:rsid w:val="2BBE0211"/>
    <w:rsid w:val="2BCE0AF3"/>
    <w:rsid w:val="2BDC42C3"/>
    <w:rsid w:val="2D702B69"/>
    <w:rsid w:val="2EAB1892"/>
    <w:rsid w:val="315330B3"/>
    <w:rsid w:val="31A56891"/>
    <w:rsid w:val="31B678AA"/>
    <w:rsid w:val="31F81C93"/>
    <w:rsid w:val="33E52002"/>
    <w:rsid w:val="342A7C33"/>
    <w:rsid w:val="342D3290"/>
    <w:rsid w:val="35555CAE"/>
    <w:rsid w:val="37B34414"/>
    <w:rsid w:val="38A43CD1"/>
    <w:rsid w:val="3B371C03"/>
    <w:rsid w:val="3BA234D6"/>
    <w:rsid w:val="3D2605CC"/>
    <w:rsid w:val="3EB07547"/>
    <w:rsid w:val="3FA5692B"/>
    <w:rsid w:val="4089415B"/>
    <w:rsid w:val="40CD4BEF"/>
    <w:rsid w:val="40E45C10"/>
    <w:rsid w:val="41831390"/>
    <w:rsid w:val="41AC6095"/>
    <w:rsid w:val="42033413"/>
    <w:rsid w:val="42F92A09"/>
    <w:rsid w:val="45F86A3C"/>
    <w:rsid w:val="47326A7C"/>
    <w:rsid w:val="47421803"/>
    <w:rsid w:val="476D5A48"/>
    <w:rsid w:val="48C859F0"/>
    <w:rsid w:val="498D13D0"/>
    <w:rsid w:val="49A4042E"/>
    <w:rsid w:val="49EC6501"/>
    <w:rsid w:val="4A4957F2"/>
    <w:rsid w:val="4A5E5583"/>
    <w:rsid w:val="4B48353B"/>
    <w:rsid w:val="4C6729E9"/>
    <w:rsid w:val="4DC17012"/>
    <w:rsid w:val="506138E1"/>
    <w:rsid w:val="509D0EC4"/>
    <w:rsid w:val="51FA6D6F"/>
    <w:rsid w:val="525368BC"/>
    <w:rsid w:val="5413249E"/>
    <w:rsid w:val="54B91D8D"/>
    <w:rsid w:val="56116199"/>
    <w:rsid w:val="56496CA0"/>
    <w:rsid w:val="576A3E34"/>
    <w:rsid w:val="5952767E"/>
    <w:rsid w:val="597802B9"/>
    <w:rsid w:val="59CC53F9"/>
    <w:rsid w:val="5A047650"/>
    <w:rsid w:val="5B7253D3"/>
    <w:rsid w:val="5BCF6D9D"/>
    <w:rsid w:val="5C83560D"/>
    <w:rsid w:val="5DB33CA4"/>
    <w:rsid w:val="601C7228"/>
    <w:rsid w:val="607C24D8"/>
    <w:rsid w:val="63225A20"/>
    <w:rsid w:val="63416101"/>
    <w:rsid w:val="639412D8"/>
    <w:rsid w:val="64A7187A"/>
    <w:rsid w:val="64B713D0"/>
    <w:rsid w:val="651C3F6C"/>
    <w:rsid w:val="66F5584A"/>
    <w:rsid w:val="697E1539"/>
    <w:rsid w:val="69894A45"/>
    <w:rsid w:val="6A446D78"/>
    <w:rsid w:val="6B3708D0"/>
    <w:rsid w:val="6B441461"/>
    <w:rsid w:val="6C441EED"/>
    <w:rsid w:val="6D2F3062"/>
    <w:rsid w:val="6DEB40C8"/>
    <w:rsid w:val="6EA13DF0"/>
    <w:rsid w:val="6F43268B"/>
    <w:rsid w:val="6FB17D41"/>
    <w:rsid w:val="6FDF01E3"/>
    <w:rsid w:val="71AA6F46"/>
    <w:rsid w:val="72A66D06"/>
    <w:rsid w:val="7542510B"/>
    <w:rsid w:val="76D2005F"/>
    <w:rsid w:val="76DA20B1"/>
    <w:rsid w:val="78481EAF"/>
    <w:rsid w:val="78BC4565"/>
    <w:rsid w:val="7A43226C"/>
    <w:rsid w:val="7AF20B8F"/>
    <w:rsid w:val="7B1C3C48"/>
    <w:rsid w:val="7F82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line="415" w:lineRule="auto"/>
      <w:outlineLvl w:val="2"/>
    </w:pPr>
    <w:rPr>
      <w:rFonts w:ascii="仿宋" w:hAnsi="Times New Roman" w:eastAsia="仿宋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qFormat/>
    <w:uiPriority w:val="0"/>
    <w:pPr>
      <w:spacing w:before="20" w:beforeLines="20" w:line="480" w:lineRule="auto"/>
      <w:ind w:firstLine="200" w:firstLineChars="200"/>
      <w:jc w:val="left"/>
      <w:outlineLvl w:val="1"/>
    </w:pPr>
    <w:rPr>
      <w:rFonts w:eastAsia="仿宋" w:asciiTheme="majorHAnsi" w:hAnsiTheme="majorHAnsi" w:cstheme="majorBidi"/>
      <w:b/>
      <w:bCs/>
      <w:sz w:val="32"/>
      <w:szCs w:val="32"/>
    </w:rPr>
  </w:style>
  <w:style w:type="character" w:styleId="7">
    <w:name w:val="page number"/>
    <w:basedOn w:val="6"/>
    <w:qFormat/>
    <w:uiPriority w:val="0"/>
  </w:style>
  <w:style w:type="paragraph" w:customStyle="1" w:styleId="9">
    <w:name w:val="无间隔1"/>
    <w:qFormat/>
    <w:uiPriority w:val="1"/>
    <w:pPr>
      <w:widowControl w:val="0"/>
      <w:spacing w:line="660" w:lineRule="exact"/>
      <w:ind w:firstLine="560" w:firstLineChars="200"/>
    </w:pPr>
    <w:rPr>
      <w:rFonts w:ascii="仿宋_GB2312" w:hAnsi="Calibri" w:eastAsia="仿宋_GB2312" w:cs="Times New Roman"/>
      <w:kern w:val="10"/>
      <w:sz w:val="28"/>
      <w:szCs w:val="28"/>
      <w:lang w:val="en-US" w:eastAsia="zh-CN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2023-08-10T12:20:00Z</dcterms:created>
  <dc:creator>Administrator</dc:creator>
  <cp:lastModifiedBy>Administrator</cp:lastModifiedBy>
  <cp:lastPrinted>2023-08-31T11:34:00Z</cp:lastPrinted>
  <dcterms:modified xsi:type="dcterms:W3CDTF">2023-09-06T03:46:26Z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