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2022年扶持壮大村级集体经济项目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麦盖提县昂格特勒克乡人民政府</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麦盖提县昂格特勒克乡人民政府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尚卫东</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2023年02月22日</w:t>
      </w:r>
    </w:p>
    <w:p>
      <w:pPr>
        <w:spacing w:line="570" w:lineRule="exact"/>
        <w:ind w:firstLine="627" w:firstLineChars="200"/>
        <w:rPr>
          <w:rStyle w:val="17"/>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7"/>
          <w:rFonts w:ascii="黑体" w:hAnsi="黑体" w:eastAsia="黑体"/>
          <w:b w:val="0"/>
          <w:spacing w:val="-4"/>
          <w:sz w:val="32"/>
          <w:szCs w:val="32"/>
        </w:rPr>
      </w:pP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 项目背景</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以增加村级集体经济实力为目标，探索创新发展壮大村级集体经济的有效形式，建立村级集体经济发展的长效机制，多途径增加村级集体可支配收入，确保村级组织“有钱办事”。经过3至5年的努力，力争使全村集体经济年收入再翻一翻。精心谋划，科学发展。各村要结合本地实际，选准项目, 要适宜社会主义市场经济发展的要求，强化科学发展的理念, 不能以破坏生态、污染环境浪费资源为代价，把发展壮大村级集体经济与发展现代农业, 推进农业产业化，搞好扶贫开发和推进社会主义新农村建设结合起来，促进集体经济又好又快发展。同时,要遵循市场经济规律，不搞行政命令，杜绝因发展集体经济而增加村级债务和农民负担,因地制宜，稳步实施。各组要从本地经济基础、区位条件、资源状况等实际出发，因村制宜，面向市场，实现一村一策，宜农则农、宜商则商，多渠道多形式探索集体经济的发展，确保在规定的时间内完成上级要求的目标任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 主要内容及实施情况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主要用于在昂格特勒克乡喀什博依村使用中央扶持资金购买20头牛西门塔尔孕母牛并托养在博一合作社。</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3.项目实施主体</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实施主体：麦盖提县昂格特勒克乡人民政府，主要职能是保护社会主义的全民财产和劳动群体集体所有财产，保公民私人的合法所有财产，维护社会秩序，保障公民的人生权利、民主权利和其他权利。</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结果：2022年扶持壮大村级集体经济项目严格按照《麦盖提县昂格特勒克乡人民政府专项资金管理制度》等管理制度，加强对项目实施过程的控制，严格按照项目实施情况进行拨付资金，资金支付有完整的审批流程，不存在截留、挤占、挪用、虚列支出等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本项目现已完成购买20头西门塔尔孕母牛并托养在博一合作社。</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 资金投入和使用情况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依据《关于拨付2022年中央农村综合改革转移支付预算（项目部分）的通知》（麦财农【2021】65号）》文件，2022年本项目资金总投入50.00万元，实际到位资金50.00万元，其中：中央专项资金50.00万元，资金到位率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截至2022年12月31日，实际支出50.00万元，预算执行率100%。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1.项目绩效总目标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xml:space="preserve">本项目总投资50万元，主要用于在昂格特勒克乡喀什博依村使用中央扶持资金购买20头牛西门塔尔孕母牛并托养在博一合作社。项目的实施有效保障村级运转，助力提升村级治理能力。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2.阶段性目标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（1）项目产出目标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①数量指标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“采购西门塔尔孕母牛数量”指标，预期指标值为“≥20头”。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②质量指标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“资金使用合规率”指标，预期指标值为“100%”；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③时效指标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“项目结束时间”指标，预期指标值为“2022年9月”；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“资金支付及时率”指标，预期指标值为“100%”。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④成本指标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“采购西门塔尔孕母牛成本”指标，预期指标值为“≤25000元/头”。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（2）项目效益目标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①经济效益指标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“带动村集体全年总收入”指标，预期指标值为“4.00万元”。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②社会效益指标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“保障村级运转，助力提升村级治理能力”指标，预期指标值为“效果显著”。</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③生态效益指标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本项目不涉及该指标。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④可持续影响指标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“托养分红带动村集体收入时长”指标，预期指标值为“大于等于5年”。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（3）满意度指标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 绩效评价目的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 绩效评价对象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 绩效评价范围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 绩效评价原则</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本次绩效评价遵循的原则包括：</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（4）公开透明。绩效评价结果应依法依规公开，并自觉接受社会监督。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 绩效评价指标体系</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（1）指标设置总体思路</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按照绩效评价有关要求，评价工作遵循“客观、公正、科学、规范”的原则，采用“以结果为导向、基于证据”的绩效评价方法，主要从项目决策、项目过程、项目产出、项目效益四个方面对评价目标进行逐步分解，从定性与定量两个角度综合考量，评价资金使用的效率与效益。评价采用目标预定与实施效果比较方法，将项目绩效目标与其实际所产生的效益进行对比，对项目资金的使用绩效作出全面评价。根据绩效评价对象特点，设计相应的评价指标，确定相应的评价标准，并对评价指标的内容做出说明，对评价指标的使用做出规定等。</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（2）指标设置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 绩效评价方法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本次绩效评价方法主要采用了比较法、公众评判法。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 绩效评价标准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绩效评价标准通常包括计划标准、行业标准、历史标准等，用于对绩效指标完成情况进行比较、分析、评价。本次评价主要采用了计划标准、历史标准。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计划标准：指以预先制定的目标、计划、预算、定额等作为评价标准。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行业标准：指参照国家公布的行业指标数据制定的评价标准。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第一阶段：前期准备。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昂格特勒克乡人民政府成立了以周建军为组长的绩效评价工作组，配备相关人员，对项目的开展和工作程序等进行统一安排部署，成员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周建军任评价组组长，绩效评价工作职责为负责全盘工作。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卜强任评价组副组长，绩效评价工作职责为为对项目实施情况进行实地调查。</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麦热亚木古丽任评价组成员，绩效评价工作职责为负责资料审核等工作。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本项目组织机构健全，分工明确，责任清晰。</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（1）文件研读</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（2）前期调研</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根据绩效评价工作开展的需求，对相关管理人员进行了沟通和访谈，进一步了解项目的实施、资金的管理等情况，并且讨论了绩效评价方案的可行性。</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（3）确定评价思路和方法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第二阶段：组织实施。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一是2023年1月15日前了解情况、收集资料，研究制定评价方案和绩效评价指标体系，以及相关基础信息表。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二是2023年1月16日至1月22日，评价工作组进行实地访谈，针对绩效评价的相关要求，认真收集、核实评价基础数据，进行绩效评价。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三是2023年1月23日至1月28日根据现场实际情况，撰写绩效评价报告。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第三阶段：分析评价。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（四）绩效评价依据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1.《中华人民共和国预算法》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2.《项目支出绩效评价管理办法》（财预〔2020〕10号）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3.《自治区党委 自治区人民政府关于全面实施预算绩效管理的实施意见》（新党发〔2018〕30号）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4.《自治区财政支出绩效评价管理暂行办法》（新财预〔2018〕189号）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5.《关于喀什地区全面实施预算绩效管理的实施方案》（喀党办发﹝2018〕59号）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6.相关项目印证资料。</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2022年扶持壮大村级集体经济项目得分情况表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一级指标</w:t>
      </w:r>
      <w:r>
        <w:rPr>
          <w:rStyle w:val="17"/>
          <w:rFonts w:hint="eastAsia" w:ascii="仿宋" w:hAnsi="仿宋" w:eastAsia="仿宋" w:cs="仿宋"/>
          <w:b w:val="0"/>
          <w:bCs w:val="0"/>
          <w:spacing w:val="-4"/>
          <w:sz w:val="32"/>
          <w:szCs w:val="32"/>
        </w:rPr>
        <w:tab/>
        <w:t>权重</w:t>
      </w:r>
      <w:r>
        <w:rPr>
          <w:rStyle w:val="17"/>
          <w:rFonts w:hint="eastAsia" w:ascii="仿宋" w:hAnsi="仿宋" w:eastAsia="仿宋" w:cs="仿宋"/>
          <w:b w:val="0"/>
          <w:bCs w:val="0"/>
          <w:spacing w:val="-4"/>
          <w:sz w:val="32"/>
          <w:szCs w:val="32"/>
        </w:rPr>
        <w:tab/>
        <w:t>得分率</w:t>
      </w:r>
      <w:r>
        <w:rPr>
          <w:rStyle w:val="17"/>
          <w:rFonts w:hint="eastAsia" w:ascii="仿宋" w:hAnsi="仿宋" w:eastAsia="仿宋" w:cs="仿宋"/>
          <w:b w:val="0"/>
          <w:bCs w:val="0"/>
          <w:spacing w:val="-4"/>
          <w:sz w:val="32"/>
          <w:szCs w:val="32"/>
        </w:rPr>
        <w:tab/>
        <w:t>实际得分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项目决策</w:t>
      </w:r>
      <w:r>
        <w:rPr>
          <w:rStyle w:val="17"/>
          <w:rFonts w:hint="eastAsia" w:ascii="仿宋" w:hAnsi="仿宋" w:eastAsia="仿宋" w:cs="仿宋"/>
          <w:b w:val="0"/>
          <w:bCs w:val="0"/>
          <w:spacing w:val="-4"/>
          <w:sz w:val="32"/>
          <w:szCs w:val="32"/>
        </w:rPr>
        <w:tab/>
        <w:t>20</w:t>
      </w:r>
      <w:r>
        <w:rPr>
          <w:rStyle w:val="17"/>
          <w:rFonts w:hint="eastAsia" w:ascii="仿宋" w:hAnsi="仿宋" w:eastAsia="仿宋" w:cs="仿宋"/>
          <w:b w:val="0"/>
          <w:bCs w:val="0"/>
          <w:spacing w:val="-4"/>
          <w:sz w:val="32"/>
          <w:szCs w:val="32"/>
        </w:rPr>
        <w:tab/>
        <w:t>100%</w:t>
      </w:r>
      <w:r>
        <w:rPr>
          <w:rStyle w:val="17"/>
          <w:rFonts w:hint="eastAsia" w:ascii="仿宋" w:hAnsi="仿宋" w:eastAsia="仿宋" w:cs="仿宋"/>
          <w:b w:val="0"/>
          <w:bCs w:val="0"/>
          <w:spacing w:val="-4"/>
          <w:sz w:val="32"/>
          <w:szCs w:val="32"/>
        </w:rPr>
        <w:tab/>
        <w:t>20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项目过程</w:t>
      </w:r>
      <w:r>
        <w:rPr>
          <w:rStyle w:val="17"/>
          <w:rFonts w:hint="eastAsia" w:ascii="仿宋" w:hAnsi="仿宋" w:eastAsia="仿宋" w:cs="仿宋"/>
          <w:b w:val="0"/>
          <w:bCs w:val="0"/>
          <w:spacing w:val="-4"/>
          <w:sz w:val="32"/>
          <w:szCs w:val="32"/>
        </w:rPr>
        <w:tab/>
        <w:t>20</w:t>
      </w:r>
      <w:r>
        <w:rPr>
          <w:rStyle w:val="17"/>
          <w:rFonts w:hint="eastAsia" w:ascii="仿宋" w:hAnsi="仿宋" w:eastAsia="仿宋" w:cs="仿宋"/>
          <w:b w:val="0"/>
          <w:bCs w:val="0"/>
          <w:spacing w:val="-4"/>
          <w:sz w:val="32"/>
          <w:szCs w:val="32"/>
        </w:rPr>
        <w:tab/>
        <w:t>100%</w:t>
      </w:r>
      <w:r>
        <w:rPr>
          <w:rStyle w:val="17"/>
          <w:rFonts w:hint="eastAsia" w:ascii="仿宋" w:hAnsi="仿宋" w:eastAsia="仿宋" w:cs="仿宋"/>
          <w:b w:val="0"/>
          <w:bCs w:val="0"/>
          <w:spacing w:val="-4"/>
          <w:sz w:val="32"/>
          <w:szCs w:val="32"/>
        </w:rPr>
        <w:tab/>
        <w:t>20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项目产出</w:t>
      </w:r>
      <w:r>
        <w:rPr>
          <w:rStyle w:val="17"/>
          <w:rFonts w:hint="eastAsia" w:ascii="仿宋" w:hAnsi="仿宋" w:eastAsia="仿宋" w:cs="仿宋"/>
          <w:b w:val="0"/>
          <w:bCs w:val="0"/>
          <w:spacing w:val="-4"/>
          <w:sz w:val="32"/>
          <w:szCs w:val="32"/>
        </w:rPr>
        <w:tab/>
        <w:t>40</w:t>
      </w:r>
      <w:r>
        <w:rPr>
          <w:rStyle w:val="17"/>
          <w:rFonts w:hint="eastAsia" w:ascii="仿宋" w:hAnsi="仿宋" w:eastAsia="仿宋" w:cs="仿宋"/>
          <w:b w:val="0"/>
          <w:bCs w:val="0"/>
          <w:spacing w:val="-4"/>
          <w:sz w:val="32"/>
          <w:szCs w:val="32"/>
        </w:rPr>
        <w:tab/>
        <w:t>100%</w:t>
      </w:r>
      <w:r>
        <w:rPr>
          <w:rStyle w:val="17"/>
          <w:rFonts w:hint="eastAsia" w:ascii="仿宋" w:hAnsi="仿宋" w:eastAsia="仿宋" w:cs="仿宋"/>
          <w:b w:val="0"/>
          <w:bCs w:val="0"/>
          <w:spacing w:val="-4"/>
          <w:sz w:val="32"/>
          <w:szCs w:val="32"/>
        </w:rPr>
        <w:tab/>
        <w:t>40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项目效益</w:t>
      </w:r>
      <w:r>
        <w:rPr>
          <w:rStyle w:val="17"/>
          <w:rFonts w:hint="eastAsia" w:ascii="仿宋" w:hAnsi="仿宋" w:eastAsia="仿宋" w:cs="仿宋"/>
          <w:b w:val="0"/>
          <w:bCs w:val="0"/>
          <w:spacing w:val="-4"/>
          <w:sz w:val="32"/>
          <w:szCs w:val="32"/>
        </w:rPr>
        <w:tab/>
        <w:t>20</w:t>
      </w:r>
      <w:r>
        <w:rPr>
          <w:rStyle w:val="17"/>
          <w:rFonts w:hint="eastAsia" w:ascii="仿宋" w:hAnsi="仿宋" w:eastAsia="仿宋" w:cs="仿宋"/>
          <w:b w:val="0"/>
          <w:bCs w:val="0"/>
          <w:spacing w:val="-4"/>
          <w:sz w:val="32"/>
          <w:szCs w:val="32"/>
        </w:rPr>
        <w:tab/>
        <w:t>100%</w:t>
      </w:r>
      <w:r>
        <w:rPr>
          <w:rStyle w:val="17"/>
          <w:rFonts w:hint="eastAsia" w:ascii="仿宋" w:hAnsi="仿宋" w:eastAsia="仿宋" w:cs="仿宋"/>
          <w:b w:val="0"/>
          <w:bCs w:val="0"/>
          <w:spacing w:val="-4"/>
          <w:sz w:val="32"/>
          <w:szCs w:val="32"/>
        </w:rPr>
        <w:tab/>
        <w:t>20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合计</w:t>
      </w:r>
      <w:r>
        <w:rPr>
          <w:rStyle w:val="17"/>
          <w:rFonts w:hint="eastAsia" w:ascii="仿宋" w:hAnsi="仿宋" w:eastAsia="仿宋" w:cs="仿宋"/>
          <w:b w:val="0"/>
          <w:bCs w:val="0"/>
          <w:spacing w:val="-4"/>
          <w:sz w:val="32"/>
          <w:szCs w:val="32"/>
        </w:rPr>
        <w:tab/>
        <w:t>100</w:t>
      </w:r>
      <w:r>
        <w:rPr>
          <w:rStyle w:val="17"/>
          <w:rFonts w:hint="eastAsia" w:ascii="仿宋" w:hAnsi="仿宋" w:eastAsia="仿宋" w:cs="仿宋"/>
          <w:b w:val="0"/>
          <w:bCs w:val="0"/>
          <w:spacing w:val="-4"/>
          <w:sz w:val="32"/>
          <w:szCs w:val="32"/>
        </w:rPr>
        <w:tab/>
        <w:t>100%</w:t>
      </w:r>
      <w:r>
        <w:rPr>
          <w:rStyle w:val="17"/>
          <w:rFonts w:hint="eastAsia" w:ascii="仿宋" w:hAnsi="仿宋" w:eastAsia="仿宋" w:cs="仿宋"/>
          <w:b w:val="0"/>
          <w:bCs w:val="0"/>
          <w:spacing w:val="-4"/>
          <w:sz w:val="32"/>
          <w:szCs w:val="32"/>
        </w:rPr>
        <w:tab/>
        <w:t>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（二）综合评价结论</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2022年扶持壮大村级集体经济项目已完成购买20头西门塔尔孕母牛并托养在博一合作社，项目的实施有效保障了村级运转，助力提升村级治理能力。该项目最终评分100分，绩效评级为“优”。</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立项依据充分性：本项目立项符合国家法律法规、国民经济发展规划和相关政策；符合行业发展规划和政策要求；与部门职责范围相符，属于部门履职所需；属于公共财政支持范围，符合中央、地方事权支出责任划分原则；与相关部门同类项目或部门内部相关项目未重复，该项指标权重分为3分，根据评分标准，该指标不扣分，实际得3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立项程序规范性：本项目自实施以来，事前经过对国家、新疆维吾尔自治区相关政策进行研究、集体决策等，按照规定程序设立，立项程序合规，审批文件和材料完整，立项程序合规，根据评分标准，该项指标权重分为2分，该指标不扣分，实际得2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（3）绩效目标合理性：制定了实施方案，明确了总体思路及目标、并对任务进行了详细分解，对目标进行了细化，该项指标权重分为3分，根据评分标准，该指标不扣分，实际得3分。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（4）绩效指标明确性： 本项目已将绩效目标细化分解为具体的绩效指标，通过清晰、可衡量的指标值予以体现，与项目目标任务数或计划数相对应，该项指标权重分为2分，根据评分标准，该指标不扣分，实际得2分。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（5）预算编制科学性： 预算编制经过科学论证，内容与项目内容匹配，项目投资额与工作任务相匹配，该项指标权重分为5分，根据评分标准，该指标不扣分，实际得5分。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（6）资金分配合理性：该项目预算资金分配依据充分，资金分配额度合理，与项目单位或地方实际相适应，该项指标权重分为5分，根据评分标准，该指标不扣分，实际得5分。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xml:space="preserve">（1）资金到位率：根据项目资料所示，本项目预算资金50.00万元。实际到位资金合计50.00万元，资金到位率100%，该项指标权重分为5分，根据评分标准，该指标不扣分，实际得5分。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（2）预算执行率：本项目预算资金50.00万元，实际支出50.00万元，预算执行率100%，该项指标权重分为5分，根据评分标准，该指标不扣分，实际得5分。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（3）资金使用合规性：制定了相关的制度和管理规定对经费使用进行规范管理，财务制度健全、执行严格，该项指标权重分为5分，根据评分标准，该指标不扣分，实际得5分。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（4）管理制度健全性：制定了党校相关管理办法，对财政专项资金进行严格管理，基本做到了专款专用，该项指标权重分为2分，根据评分标准，该指标不扣分，实际得2分。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该项指标权重分为3分，根据评分标准，该指标不扣分，实际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1.项目完成数量</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数量指标总分8分，实际得分8分。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采购西门塔尔孕母牛数量指标预期值为大于等于20头，实际完成值为20头，与预期目标一致，根据评分标准，此项指标应当得分为8分，实际得分8分。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2.项目完成质量</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质量指标总分8分，实际得分8分。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资金使用合规率指标预期值为100%，实际完成值为100%，与预期目标一致，根据评分标准，此项指标应当得分为8分，实际得分8分；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3.项目完成时效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时效指标总分值16分，实际得分16分。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项目结束时间指标预期值为2022年9月，实际完成值为2022年9月，与预期目标一致，根据评分标准，此项指标应当得分为8分，实际得分8分；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资金支付及时率指标预期值为100%，实际完成值为100%，与预期目标一致，根据评分标准，此项指标应当得分为8分，实际得分8分；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4.项目成本节约情况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成本指标总分值8分，实际得分8分。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采购西门塔尔孕母牛成本指标预期值为小于等于25000元/头，实际完成值为25000元/头，成本控制在预算范围内，根据评分标准，此项指标应当得分为8分，实际得分8分。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1.实施效益指标：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（1）项目实施的经济效益分析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带动村集体全年总收入指标预期值为4万元，实际完成值为4万元；根据评分标准，此项指标应当得分为3分，实际得分3分。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（2）项目实施的社会效益分析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保障村级运转，助力提升村级治理能力指标预期值为效果显著，实际完成值为效果显著；根据评分标准，此项指标应当得分为3分，实际得分3分。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（3）项目实施的生态效益分析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此项目不涉及生态效益指标。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（4）项目实施的可持续影响分析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托养分红带动村集体收入时长指标预期值为大于等于5年，实际完成值为5年，根据评分标准，此项指标应当得分为4分，实际得分4分。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2.满意度指标完成情况分析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服务对象满意度指标总分值10分，实际得分10分。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受益群众满意度指标预期值为大于等于95%，通过发放调查问卷的方式走访受益对象，本次发放问卷100份，收回有效问卷100份，受益群众满意度调查结果为100%，根据评分标准，此项指标应当得分为5分，实际得分5分；详见附件2。</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2022年扶持壮大村级集体经济项目预算50.00万元，到位50.00万元，实际支出50.00万元，预算执行率为100%，项目绩效指标总体完成率为100%，偏差率为0%，不存在偏差情况。</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一是领导重视。我单位领导高度重视，专门成立项目管理领导小组，负责对项目实施、组织协调、运转服务，研究解决项目实施中的困难和问题，为项目实施提供有力保障。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是管理规范。在项目实施过程中，我单位均能按照相关管理制度要求严格执行，强化监督检查，从多方面对本项目进行研究和预算绩效管理，严格按照项目管理要求，尽职尽责履行部门职能，对项目推进过程中出现的问题及时进行沟通、整改，尽早拿出解决措施加以应对，确保项目顺利进行。</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三是专款专用。严格按照专项资金管理办法的规定，做到专项核算、专款专用，不存在截留、挪用、挤占、虚列开支等现象。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（二）存在问题及原因分析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一是缺乏相关绩效管理方面的专业知识。在绩效评价过程中，由于部分人员缺乏相关绩效管理专业知识，对绩效指标表述不清晰。二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是积极参加绩效管理工作培训，进一步夯实业务基础，提高绩效人员工作水平。二是通过绩效管理，发现实施中存在漏洞，以后加强管理，及时掌握与之相关的各类信息，减少成本，使资金效益最大化。三是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后续工作计划</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一是健全专项资金管理制度。确定资金支出方向，规范资金的使用全过程，确保审查监督到位，做到专款专用，对资金使用的合规性与使用进度进行有效监控。</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二是加强项目绩效管理。制定指向明确、具体细化和合理可行的总体绩效目标、阶段性目标。每阶段对既定绩效目标进行一次评估，以及时调整计划目标，使资金使用效益最大化。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三是加强绩效评价结果应用。高度重视绩效评价结果的应用工作，积极探索和建立一套与预算管理相结合、多渠道应用评价结果的有效机制，着力提高绩效意识和财政资金使用效益。同时，将本项目评价报告进行公开，广泛接受社会监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四是加强项目档案管理。进一步建立健全档案管理的各项规章制度。把预算绩效管理工作档案管理纳入年度考核，按照绩效评价资料档案清单顺序进行整理，从项目前期、实施过程、实施结果三个方面进行规整。</w:t>
      </w:r>
    </w:p>
    <w:p>
      <w:pPr>
        <w:spacing w:line="570" w:lineRule="exact"/>
        <w:rPr>
          <w:rStyle w:val="17"/>
          <w:rFonts w:ascii="方正黑体_GBK" w:hAnsi="方正黑体_GBK" w:eastAsia="方正黑体_GBK" w:cs="方正黑体_GBK"/>
          <w:b w:val="0"/>
          <w:spacing w:val="-4"/>
          <w:sz w:val="32"/>
          <w:szCs w:val="32"/>
        </w:rPr>
      </w:pPr>
    </w:p>
    <w:p>
      <w:pPr>
        <w:spacing w:line="570" w:lineRule="exact"/>
        <w:rPr>
          <w:rStyle w:val="17"/>
          <w:rFonts w:ascii="楷体" w:hAnsi="楷体" w:eastAsia="楷体"/>
          <w:spacing w:val="-4"/>
          <w:sz w:val="32"/>
          <w:szCs w:val="32"/>
        </w:rPr>
      </w:pPr>
    </w:p>
    <w:p>
      <w:pPr>
        <w:spacing w:line="570" w:lineRule="exact"/>
        <w:rPr>
          <w:rStyle w:val="17"/>
          <w:rFonts w:ascii="仿宋" w:hAnsi="仿宋" w:eastAsia="仿宋"/>
          <w:b w:val="0"/>
          <w:spacing w:val="-4"/>
          <w:sz w:val="32"/>
          <w:szCs w:val="32"/>
        </w:rPr>
      </w:pPr>
    </w:p>
    <w:p>
      <w:pPr>
        <w:spacing w:line="570" w:lineRule="exact"/>
        <w:rPr>
          <w:rStyle w:val="17"/>
          <w:rFonts w:ascii="仿宋" w:hAnsi="仿宋" w:eastAsia="仿宋"/>
          <w:b w:val="0"/>
          <w:spacing w:val="-4"/>
          <w:sz w:val="32"/>
          <w:szCs w:val="32"/>
        </w:rPr>
      </w:pPr>
    </w:p>
    <w:p>
      <w:pPr>
        <w:spacing w:line="570" w:lineRule="exact"/>
        <w:rPr>
          <w:rStyle w:val="17"/>
          <w:rFonts w:ascii="仿宋" w:hAnsi="仿宋" w:eastAsia="仿宋"/>
          <w:b w:val="0"/>
          <w:spacing w:val="-4"/>
          <w:sz w:val="32"/>
          <w:szCs w:val="32"/>
        </w:rPr>
      </w:pPr>
    </w:p>
    <w:p>
      <w:pPr>
        <w:spacing w:line="570" w:lineRule="exact"/>
        <w:rPr>
          <w:rStyle w:val="17"/>
          <w:rFonts w:ascii="仿宋" w:hAnsi="仿宋" w:eastAsia="仿宋"/>
          <w:b w:val="0"/>
          <w:spacing w:val="-4"/>
          <w:sz w:val="32"/>
          <w:szCs w:val="32"/>
        </w:rPr>
      </w:pPr>
    </w:p>
    <w:p>
      <w:pPr>
        <w:spacing w:line="570" w:lineRule="exact"/>
        <w:rPr>
          <w:rStyle w:val="17"/>
          <w:rFonts w:ascii="仿宋" w:hAnsi="仿宋" w:eastAsia="仿宋"/>
          <w:b w:val="0"/>
          <w:spacing w:val="-4"/>
          <w:sz w:val="32"/>
          <w:szCs w:val="32"/>
        </w:rPr>
      </w:pPr>
    </w:p>
    <w:p>
      <w:pPr>
        <w:spacing w:line="570" w:lineRule="exact"/>
        <w:rPr>
          <w:rStyle w:val="17"/>
          <w:rFonts w:ascii="仿宋" w:hAnsi="仿宋" w:eastAsia="仿宋"/>
          <w:b w:val="0"/>
          <w:spacing w:val="-4"/>
          <w:sz w:val="32"/>
          <w:szCs w:val="32"/>
        </w:rPr>
      </w:pPr>
    </w:p>
    <w:p>
      <w:pPr>
        <w:spacing w:line="570" w:lineRule="exact"/>
        <w:rPr>
          <w:rStyle w:val="17"/>
          <w:rFonts w:ascii="仿宋" w:hAnsi="仿宋" w:eastAsia="仿宋"/>
          <w:b w:val="0"/>
          <w:spacing w:val="-4"/>
          <w:sz w:val="32"/>
          <w:szCs w:val="32"/>
        </w:rPr>
      </w:pPr>
    </w:p>
    <w:p>
      <w:pPr>
        <w:spacing w:line="570" w:lineRule="exact"/>
        <w:rPr>
          <w:rStyle w:val="17"/>
          <w:rFonts w:ascii="仿宋" w:hAnsi="仿宋" w:eastAsia="仿宋"/>
          <w:b w:val="0"/>
          <w:spacing w:val="-4"/>
          <w:sz w:val="32"/>
          <w:szCs w:val="32"/>
        </w:rPr>
      </w:pPr>
    </w:p>
    <w:p>
      <w:pPr>
        <w:spacing w:line="570" w:lineRule="exact"/>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3E473505"/>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3"/>
    <w:qFormat/>
    <w:uiPriority w:val="9"/>
    <w:rPr>
      <w:rFonts w:asciiTheme="majorHAnsi" w:hAnsiTheme="majorHAnsi" w:eastAsiaTheme="majorEastAsia"/>
      <w:b/>
      <w:bCs/>
      <w:kern w:val="32"/>
      <w:sz w:val="32"/>
      <w:szCs w:val="32"/>
    </w:rPr>
  </w:style>
  <w:style w:type="character" w:customStyle="1" w:styleId="21">
    <w:name w:val="标题 2 字符"/>
    <w:basedOn w:val="16"/>
    <w:link w:val="4"/>
    <w:semiHidden/>
    <w:qFormat/>
    <w:uiPriority w:val="9"/>
    <w:rPr>
      <w:rFonts w:asciiTheme="majorHAnsi" w:hAnsiTheme="majorHAnsi" w:eastAsiaTheme="majorEastAsia"/>
      <w:b/>
      <w:bCs/>
      <w:i/>
      <w:iCs/>
      <w:sz w:val="28"/>
      <w:szCs w:val="28"/>
    </w:rPr>
  </w:style>
  <w:style w:type="character" w:customStyle="1" w:styleId="22">
    <w:name w:val="标题 3 字符"/>
    <w:basedOn w:val="16"/>
    <w:link w:val="2"/>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3"/>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Administrator</cp:lastModifiedBy>
  <cp:lastPrinted>2018-12-31T10:56:00Z</cp:lastPrinted>
  <dcterms:modified xsi:type="dcterms:W3CDTF">2020-03-23T07:38:33Z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