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
<Relationships xmlns="http://schemas.openxmlformats.org/package/2006/relationships">
<Relationship Id="rId1" Target="docProps/app.xml" Type="http://schemas.openxmlformats.org/officeDocument/2006/relationships/extended-properties"/>
<Relationship Id="rId2" Target="docProps/core.xml" Type="http://schemas.openxmlformats.org/package/2006/relationships/metadata/core-properties"/>
<Relationship Id="rId3" Target="docProps/custom.xml" Type="http://schemas.openxmlformats.org/officeDocument/2006/relationships/custom-properties"/>
<Relationship Id="rId4" Target="word/document.xml" Type="http://schemas.openxmlformats.org/officeDocument/2006/relationships/officeDocument"/>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both"/>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 xml:space="preserve"> 部门单位项目支出绩效评价报告</w:t>
      </w:r>
    </w:p>
    <w:p>
      <w:pPr>
        <w:spacing w:line="570" w:lineRule="exact"/>
        <w:jc w:val="center"/>
        <w:rPr>
          <w:rFonts w:ascii="华文中宋" w:hAnsi="华文中宋" w:eastAsia="华文中宋" w:cs="宋体"/>
          <w:b/>
          <w:kern w:val="0"/>
          <w:sz w:val="52"/>
          <w:szCs w:val="52"/>
        </w:rPr>
      </w:pPr>
    </w:p>
    <w:p>
      <w:pPr>
        <w:spacing w:line="57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仿宋_GB2312" w:hAnsi="楷体" w:eastAsia="仿宋_GB2312"/>
          <w:spacing w:val="-4"/>
          <w:sz w:val="32"/>
          <w:szCs w:val="32"/>
        </w:rPr>
        <w:t>2023</w:t>
      </w:r>
      <w:r>
        <w:rPr>
          <w:rFonts w:hint="eastAsia" w:ascii="方正仿宋_GBK" w:hAnsi="宋体" w:eastAsia="方正仿宋_GBK" w:cs="宋体"/>
          <w:kern w:val="0"/>
          <w:sz w:val="36"/>
          <w:szCs w:val="36"/>
        </w:rPr>
        <w:t xml:space="preserve"> </w:t>
      </w:r>
      <w:r>
        <w:rPr>
          <w:rFonts w:hint="eastAsia" w:hAnsi="宋体" w:eastAsia="仿宋_GB2312" w:cs="宋体"/>
          <w:kern w:val="0"/>
          <w:sz w:val="36"/>
          <w:szCs w:val="36"/>
        </w:rPr>
        <w:t xml:space="preserve"> 年度）</w:t>
      </w: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70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项目名称：</w:t>
      </w:r>
      <w:r>
        <w:rPr>
          <w:rStyle w:val="18"/>
          <w:rFonts w:hint="eastAsia" w:ascii="仿宋" w:hAnsi="仿宋" w:eastAsia="仿宋" w:cs="仿宋"/>
          <w:b w:val="0"/>
          <w:bCs w:val="0"/>
          <w:spacing w:val="-4"/>
          <w:sz w:val="32"/>
          <w:szCs w:val="32"/>
        </w:rPr>
        <w:t>2023年麦盖提县网信专网项目</w:t>
      </w:r>
    </w:p>
    <w:p>
      <w:pPr>
        <w:spacing w:line="57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实施单位（公章）：</w:t>
      </w:r>
      <w:r>
        <w:rPr>
          <w:rStyle w:val="18"/>
          <w:rFonts w:hint="eastAsia" w:ascii="仿宋" w:hAnsi="仿宋" w:eastAsia="仿宋" w:cs="仿宋"/>
          <w:b w:val="0"/>
          <w:bCs w:val="0"/>
          <w:spacing w:val="-4"/>
          <w:sz w:val="32"/>
          <w:szCs w:val="32"/>
        </w:rPr>
        <w:t>中共麦盖提县委员会网络安全和信息化委员会办公室</w:t>
      </w:r>
    </w:p>
    <w:p>
      <w:pPr>
        <w:spacing w:line="540" w:lineRule="exact"/>
        <w:ind w:firstLine="360" w:firstLineChars="100"/>
        <w:rPr>
          <w:rFonts w:hint="eastAsia" w:ascii="仿宋" w:hAnsi="仿宋" w:eastAsia="仿宋" w:cs="仿宋"/>
          <w:spacing w:val="-4"/>
          <w:sz w:val="32"/>
          <w:szCs w:val="32"/>
        </w:rPr>
      </w:pPr>
      <w:r>
        <w:rPr>
          <w:rFonts w:hint="eastAsia" w:ascii="仿宋" w:hAnsi="仿宋" w:eastAsia="仿宋" w:cs="仿宋"/>
          <w:kern w:val="0"/>
          <w:sz w:val="36"/>
          <w:szCs w:val="36"/>
        </w:rPr>
        <w:t>主管部门（公章）：</w:t>
      </w:r>
      <w:r>
        <w:rPr>
          <w:rStyle w:val="18"/>
          <w:rFonts w:hint="eastAsia" w:ascii="仿宋" w:hAnsi="仿宋" w:eastAsia="仿宋" w:cs="仿宋"/>
          <w:b w:val="0"/>
          <w:bCs w:val="0"/>
          <w:spacing w:val="-4"/>
          <w:sz w:val="32"/>
          <w:szCs w:val="32"/>
        </w:rPr>
        <w:t>中共麦盖提县委员会网络安全和信息化委员会办公室</w:t>
      </w:r>
    </w:p>
    <w:p>
      <w:pPr>
        <w:spacing w:line="57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项目负责人（签章）：</w:t>
      </w:r>
      <w:r>
        <w:rPr>
          <w:rStyle w:val="18"/>
          <w:rFonts w:hint="eastAsia" w:ascii="仿宋" w:hAnsi="仿宋" w:eastAsia="仿宋" w:cs="仿宋"/>
          <w:b w:val="0"/>
          <w:bCs w:val="0"/>
          <w:spacing w:val="-4"/>
          <w:sz w:val="32"/>
          <w:szCs w:val="32"/>
        </w:rPr>
        <w:t>张港港</w:t>
      </w:r>
    </w:p>
    <w:p>
      <w:pPr>
        <w:spacing w:line="540" w:lineRule="exact"/>
        <w:ind w:firstLine="360" w:firstLineChars="100"/>
        <w:rPr>
          <w:rStyle w:val="18"/>
          <w:rFonts w:hint="eastAsia" w:ascii="仿宋" w:hAnsi="仿宋" w:eastAsia="仿宋" w:cs="仿宋"/>
          <w:b w:val="0"/>
          <w:bCs w:val="0"/>
          <w:spacing w:val="-4"/>
          <w:sz w:val="32"/>
          <w:szCs w:val="32"/>
        </w:rPr>
      </w:pPr>
      <w:r>
        <w:rPr>
          <w:rFonts w:hint="eastAsia" w:ascii="仿宋" w:hAnsi="仿宋" w:eastAsia="仿宋" w:cs="仿宋"/>
          <w:kern w:val="0"/>
          <w:sz w:val="36"/>
          <w:szCs w:val="36"/>
        </w:rPr>
        <w:t>填报时间：</w:t>
      </w:r>
      <w:r>
        <w:rPr>
          <w:rStyle w:val="18"/>
          <w:rFonts w:hint="eastAsia" w:ascii="仿宋" w:hAnsi="仿宋" w:eastAsia="仿宋" w:cs="仿宋"/>
          <w:b w:val="0"/>
          <w:bCs w:val="0"/>
          <w:spacing w:val="-4"/>
          <w:sz w:val="32"/>
          <w:szCs w:val="32"/>
        </w:rPr>
        <w:t>2024年03月21日</w:t>
      </w:r>
    </w:p>
    <w:p>
      <w:pPr>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br w:type="page"/>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一、基本情况</w:t>
      </w:r>
    </w:p>
    <w:p>
      <w:pPr>
        <w:spacing w:line="570" w:lineRule="exact"/>
        <w:ind w:firstLine="627" w:firstLineChars="200"/>
        <w:rPr>
          <w:rStyle w:val="18"/>
          <w:rFonts w:ascii="方正楷体_GBK" w:hAnsi="方正楷体_GBK" w:eastAsia="方正楷体_GBK" w:cs="方正楷体_GBK"/>
          <w:bCs w:val="0"/>
          <w:spacing w:val="-4"/>
          <w:sz w:val="32"/>
          <w:szCs w:val="32"/>
        </w:rPr>
      </w:pPr>
      <w:r>
        <w:rPr>
          <w:rStyle w:val="18"/>
          <w:rFonts w:hint="eastAsia" w:ascii="楷体" w:hAnsi="楷体" w:eastAsia="楷体" w:cs="楷体"/>
          <w:bCs w:val="0"/>
          <w:spacing w:val="-4"/>
          <w:sz w:val="32"/>
          <w:szCs w:val="32"/>
        </w:rPr>
        <w:t>（一）项目概况。包括项目背景、主要内容及实施情况、资金投入和使用情况等。</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 项目背景</w:t>
        <w:br/>
        <w:t>随着信息技术的迅猛发展，网络安全和信息化已成为国家发展的重要基石。在信息化时代，网络已经成为国家政治、经济、文化和社会生活的重要载体，网络安全直接关系到国家安全、社会稳固和人民福祉。因此，加强网络安全和信息化建设，提升国家网络安全防护能力和信息化水平，已成为国家发展的重要战略。</w:t>
        <w:br/>
        <w:t>各行各业对网络安全和信息化建设的需求日益迫切。无论是政府部门、企事业单位还是个人用户，都对网络安全和信息化建设提出了更高的要求。政府部门需要建设高效、安全的电子政务系统，提升政府服务水平和治理能力。</w:t>
        <w:br/>
        <w:t>2. 主要内容及实施情况</w:t>
        <w:br/>
        <w:t>本项目主要用于支付网信办2023年专网网费，目前已支付完毕，网络服务公司数量为1家。</w:t>
        <w:br/>
        <w:t>3.项目实施主体</w:t>
        <w:br/>
        <w:t>中共麦盖提县委员会网络安全和信息化委员会办公室为行政单位，纳入2023年部门决算编制范围的有1个办公室：中共麦盖提县委员会网络安全和信息化委员会办公室。</w:t>
        <w:br/>
        <w:t>编制人数10人，其中：行政人员编制3人、工勤0人、参公0人、事业编制7人。实有在职人数7人，其中：行政在职2人、工勤0人、参公0人、事业在职5人。离退休人员0人，其中：行政退休人员0人、事业退休0人。</w:t>
        <w:br/>
        <w:t>4. 资金投入和使用情况</w:t>
        <w:br/>
        <w:t>我单位向县财经委员会提交《关于申请2023年麦盖提县网信专网项目资金的报告》，经过与县政府分管领导沟通后，共安排下达资金2万元，为县级财政资金，最终确定项目资金总数为2万元。</w:t>
        <w:br/>
        <w:t>截至2023年12月31日，实际支出2万元，预算执行率100%。</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（二）项目绩效目标。包括总体目标和阶段性目标。</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1.项目绩效总目标</w:t>
        <w:br/>
        <w:t>本项目主要用于支付网信办2023年专网网费，项目的实施保障网络畅通，保障网信工作正常开展。</w:t>
        <w:br/>
        <w:t>2.阶段性目标</w:t>
        <w:br/>
        <w:t>实施的前期准备工作：首先，向县财经委员会提交申请，其次对网络安全和信息化建设的市场需求进行深入分析，确定项目建设的具体目标和实施方案。与相关部门和单位进行沟通协调，确保项目的顺利实施。</w:t>
        <w:br/>
        <w:t>项目实施阶段：按照项目实施方案，组织专业团队进行网络建设和技术支持。加强项目管理，确保项目质量和进度。与相关部门和单位保持密切沟通，及时解决项目实施过程中出现的问题。</w:t>
        <w:br/>
        <w:t>项目验收阶段：对项目进行全面检查和评估，确保项目质量和效果符合预期目标。整理项目相关文档和资料，进行归档和备份。与相关部门和单位进行项目交接，确保项目的顺利实施和后续维护。</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二、绩效评价工作开展情况</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（一）绩效评价目的、对象</w:t>
      </w:r>
      <w:r>
        <w:rPr>
          <w:rStyle w:val="18"/>
          <w:rFonts w:hint="eastAsia" w:ascii="楷体" w:hAnsi="楷体" w:eastAsia="楷体" w:cs="楷体"/>
          <w:bCs w:val="0"/>
          <w:spacing w:val="-4"/>
          <w:sz w:val="32"/>
          <w:szCs w:val="32"/>
          <w:lang w:eastAsia="zh-CN"/>
        </w:rPr>
        <w:t>、时间和</w:t>
      </w:r>
      <w:r>
        <w:rPr>
          <w:rStyle w:val="18"/>
          <w:rFonts w:hint="eastAsia" w:ascii="楷体" w:hAnsi="楷体" w:eastAsia="楷体" w:cs="楷体"/>
          <w:bCs w:val="0"/>
          <w:spacing w:val="-4"/>
          <w:sz w:val="32"/>
          <w:szCs w:val="32"/>
        </w:rPr>
        <w:t>范围。</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 绩效评价目的</w:t>
        <w:br/>
        <w:t>本次绩效评价遵循财政部《项目支出绩效评价管理办法》（财预〔2020〕10号）、《关于印发〈中央部门项目支出核心绩效目标和指标设置及取值指引（试行）〉的通知》（财预〔2021〕101号）、以及自治区财政厅《关于印发〈自治区项目支出绩效目标设置指引〉的通知》（新财预〔2022〕42号）、《自治区财政支出绩效评价管理暂行办法》（新财预〔2018〕189号）等相关政策文件与规定，旨在评价财政项目实施前期、过程及效果，评价财政预算资金使用的效率及效益。</w:t>
        <w:br/>
        <w:t>通过此次绩效评价，发现预算资金在项目立项、执行管理中制度保障、实际操作方面的缺陷和薄弱环节，总结项目管理经验，完善项目管理办法，提高项目管理水平和资金使用效益。同时可根据绩效评价中发现的问题，调整工作计划，完善绩效目标，加强项目管理，提高管理水平，为下一年预算编制与评审提供充分有效的依据，以达到改进预算管理、优化资源配置、提高预算资金使用效益的目的。</w:t>
        <w:br/>
        <w:t>2. 绩效评价对象</w:t>
        <w:br/>
        <w:t>本次绩效评价遵循财政部《项目支出绩效评价管理办法》（财预〔2020〕10号）和《自治区财政支出绩效评价管理暂行办法》（新财预〔2018〕189号）等相关政策文件与规定，以项目支出为对象所对应的预算资金，以项目实施所带来的产出和效果为主要内容，以促进预算单位完成特定工作任务目标所组织开展的绩效评价。</w:t>
        <w:br/>
        <w:t>3. 绩效评价范围</w:t>
        <w:br/>
        <w:t>本次评价范围涵盖项目总体绩效目标、各项绩效指标完成情况以及预算执行情况。覆盖项目预算资金支出的所有内容进行评价。包括项目决策、项目实施和项目成果验收流程等。</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（二）绩效评价原则、评价指标体系（附表说明）、评价方法、评价标准等。</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 绩效评价原则</w:t>
        <w:br/>
        <w:t>本次绩效评价遵循的原则包括：</w:t>
        <w:br/>
        <w:t>（1）科学公正。绩效评价应当运用科学合理的方法，按照规范的程序，对项目绩效进行客观、公正的反映。</w:t>
        <w:br/>
        <w:t>（2）统筹兼顾。单位自评、部门评价和财政评价应职责明确，各有侧重，相互衔接。单位自评应由项目单位自主实施，即“谁支出、谁自评”。部门评价和财政评价应在单位自评的基础上开展，必要时可委托第三方机构实施。</w:t>
        <w:br/>
        <w:t>（3）激励约束。绩效评价结果应与预算安排、政策调整、改进管理实质性挂钩，体现奖优罚劣和激励相容导向，有效要安排、低效要压减、无效要问责。</w:t>
        <w:br/>
        <w:t>（4）公开透明。绩效评价结果应依法依规公开，并自觉接受社会监督。</w:t>
        <w:br/>
        <w:t>2. 绩效评价指标体系</w:t>
        <w:br/>
        <w:t>本项目绩效评价体系根据《关于印发〈项目支出绩效评价管理办法〉的通知》（财预﹝2020﹞10号）文件中共性指标及个性化指标设置，主要分为共性指标和个性指标两大类。共性指标下设决策与过程2个一级指标，其中：项目决策下设项目立项、绩效目标、资金投入3个二级指标；过程下设资金管理和组织实施2个二级指标。个性指标下设产出和效益2个一级指标，其中：产出下设产出数量、产出质量、产出时效、产出成本4个2级指标，效益下设项目效益及满意度2个二级指标。项目绩效评价体系详见附件1。</w:t>
        <w:br/>
        <w:t>3. 绩效评价方法</w:t>
        <w:br/>
        <w:t>本次评价采用定量与定性评价相结合的比较法和公众评判法，总分由各项指标得分汇总形成。</w:t>
        <w:br/>
        <w:t>比较法：是指通过对绩效目标与实施效果、历史与当期情况、不同部门和地区同类支出的比较，综合分析绩效目标实现程度。</w:t>
        <w:br/>
        <w:t>公众评判法：是指通过专家评估、公众问卷及抽样调查等对财政支出效果进行评判，评价绩效目标实现程度。</w:t>
        <w:br/>
        <w:t>4. 绩效评价标准</w:t>
        <w:br/>
        <w:t>绩效评价标准通常包括计划标准、行业标准、历史标准等，用于对绩效指标完成情况进行比较、分析、评价。本次评价主要采用了计划标准和历史标准标准。</w:t>
        <w:br/>
        <w:t>计划标准：指以预先制定的目标、计划、预算、定额等作为评价标准。</w:t>
        <w:br/>
        <w:t>行业标准：指参照国家公布的行业指标数据制定的评价标准。</w:t>
        <w:br/>
        <w:t>历史标准：指参照历史数据制定的评价标准，为体现绩效改进的原则，在可实现的条件下应当确定相对较高的评价标准。</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（三）绩效评价工作过程。</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第一阶段：前期准备。</w:t>
        <w:br/>
        <w:t>我单位绩效评价人员根据《项目支出绩效评价管理办法》（财预〔2020〕10号）文件精神认真学习相关要求与规定，成立绩效评价工作组，作为绩效评价工作具体实施机构。成员构成如下：</w:t>
        <w:br/>
        <w:t>张港港任评价组组长，绩效评价工作职责为负责全盘工作。</w:t>
        <w:br/>
        <w:t>木台里普·吾布里任评价组副组长，绩效评价工作职责为为对项目实施情况进行实地调查。</w:t>
        <w:br/>
        <w:t>王泽奥、李晶晶任评价组成员，绩效评价工作职责为负责资料审核等工作。</w:t>
        <w:br/>
        <w:t>第二阶段：组织实施。</w:t>
        <w:br/>
        <w:t>经评价组通过实地调研、查阅资料等方式，采用综合分析法对项目的决策、管理、绩效进行的综合评价分析。</w:t>
        <w:br/>
        <w:t>第三阶段：分析评价。</w:t>
        <w:br/>
        <w:t>首先按照指标体系进行定量、定性分析。其次开展量化打分、综合评价工作，形成初步评价结论。最后归纳整体项目情况与存在问题，撰写部门绩效评价报告。</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三、综合评价情况及评价结论</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（一）综合评价情况</w:t>
        <w:br/>
        <w:t>通过实施2023年麦盖提县网信专网项目保障了网络畅通，保障了网信工作正常开展。项目实施主要通过项目决策、项目过程、项目产出以及项目效益等方面进行评价，其中：</w:t>
        <w:br/>
        <w:t>项目决策：主要关注决策过程的合理性、科学性和有效性。实施该项目前深入学习研究相关政策要求，深入基层进行前期调研，了解该领域的需求和环境，充分考虑经济、社会效益等因素，制定贴合实际的项目实施方案，并且层层审批，通过县政府常务会和财经委员会后进行实施。综上所述，该项目的决策过程合理、科学、有效。</w:t>
        <w:br/>
        <w:t>项目过程：主要关注项目规划、执行、监督等方面的合理性、及时性和有效性。该项目严格按照绩效目标和时间表实施，建立项目小组，落实专人专岗制度，各司其职，中期及时调整纠偏，项目资金使用合规，项目、财务全过程监控到位。综上所述，该项目的实施过程合理、及时、有效。</w:t>
        <w:br/>
        <w:t>项目产出：主要关注该项目的数量、质量、成本和时效指标是否达到预期目标。经翻阅项目资料可知，目前已支付网信办2023年专网网费，网络服务公司数量1家；奖补资金使用合规率及达标事项奖补覆盖率均达100%。</w:t>
        <w:br/>
        <w:t>项目效益：通过实施此项目保障了网络畅通，工作人员满意度达100%。</w:t>
        <w:br/>
        <w:t>（二）综合评价结论</w:t>
        <w:br/>
        <w:t>依据《中共中央国务院关于全面实施预算绩效管理的意见》《项目支出绩效评价管理办法》（财预〔2020〕10号）以及《关于进一步加强和规范喀什地区项目支出“全过程”预算绩效管理结果应用的通知》（喀地财绩〔2022〕2号）文件，绩效评价总分设置为100分，划分为四档：90（含）-100分为“优”、80（含）-90分为“良”、70（含）-80分为“中”、70分以下为“差”。经对2023年麦盖提县网信专网项目进行客观评价，最终评分结果：评价总分100分，绩效等级为“优”。</w:t>
      </w:r>
    </w:p>
    <w:p>
      <w:pPr>
        <w:spacing w:line="570" w:lineRule="exact"/>
        <w:ind w:firstLine="624" w:firstLineChars="200"/>
        <w:rPr>
          <w:rStyle w:val="18"/>
          <w:rFonts w:ascii="黑体" w:hAnsi="黑体" w:eastAsia="黑体" w:cs="黑体"/>
          <w:b w:val="0"/>
          <w:sz w:val="32"/>
          <w:szCs w:val="32"/>
        </w:rPr>
      </w:pPr>
      <w:r>
        <w:rPr>
          <w:rStyle w:val="18"/>
          <w:rFonts w:hint="eastAsia" w:ascii="黑体" w:hAnsi="黑体" w:eastAsia="黑体" w:cs="黑体"/>
          <w:b w:val="0"/>
          <w:spacing w:val="-4"/>
          <w:sz w:val="32"/>
          <w:szCs w:val="32"/>
        </w:rPr>
        <w:t xml:space="preserve">四、绩效评价指标分析 </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（一）项目决策情况。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项目决策类指标包括项目立项、绩效目标和资金投入三方面的内容，由6个三级指标构成，权重分为15分，实际得分15分，得分率为100%。</w:t>
        <w:br/>
        <w:t>（1）立项依据充分性：结合“统筹协调全县网络安全保障体系和可信体系建设，组织协调有关部门制定相关行业网络安全规划及保障评价指标体系，协调信息安全保护工作”职责，并组织实施。围绕2023年度工作重点和工作计划制定经费预算，根据评分标准，该指标不扣分，得3分。</w:t>
        <w:br/>
        <w:t>（2）立项程序规范性：根据决策依据编制工作计划和项目预算，经过与中共麦盖提县委员会网络安全和信息化委员会办公室分管领导进行沟通、筛选确定项目预算计划，上党委会研究确定最终预算方案，根据评分标准，该指标不扣分，得2分。</w:t>
        <w:br/>
        <w:t>（3）绩效目标合理性：制定了实施方案，明确了总体思路及目标、并对任务进行了详细分解，对目标进行了细化，根据评分标准，该指标不扣分，得3分。</w:t>
        <w:br/>
        <w:t>（4）绩效指标明确性：将项目绩效目标细化分解为具体的绩效指标，根据评分标准，该指标不扣分，得2分。</w:t>
        <w:br/>
        <w:t>（5）预算编制科学性：预算编制经过科学论证，内容与项目内容匹配，项目投资额与工作任务相匹配，根据评分标准，该指标不扣分，得3分。</w:t>
        <w:br/>
        <w:t>（6）资金分配合理性：资金分配与实际相适应，根据评分标准，该指标不扣分，得2分。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（二）项目过程情况。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项目过程类指标包括资金管理和组织实施两方面的内容，由 5个三级指标构成，权重分为15分，实际得分15分，得分率为100%。</w:t>
        <w:br/>
        <w:t>（1）资金到位率：财政资金足额拨付到位，牵头单位能够及时足额按照合同约定将专项资金拨付给联合体单位，根据评分标准，该指标不扣分，得3分。   </w:t>
        <w:br/>
        <w:t>（2）预算执行率：预算编制较为详细，项目资金支出总体能够按照预算执行，根据评分标准，该指标不扣分，得3分。</w:t>
        <w:br/>
        <w:t>（3）资金使用合规性：制定了相关的制度和管理规定对经费使用进行规范管理，财务制度健全、执行严格，根据评分标准，该指标不扣分，得4分。</w:t>
        <w:br/>
        <w:t>（4）管理制度健全性：制定了中共麦盖提县委员会网络安全和信息化委员会办公室相关管理办法，对财政专项资金进行严格管理，基本做到了专款专用，根据评分标准，该指标不扣分，得2分。</w:t>
        <w:br/>
        <w:t>（5）制度执行有效性：由部门提出经费预算支出可行性方案，经过与县政府分管领导沟通后，报党支部会议研究执行，财务对资金的使用合法合规性进行监督，年底对资金使用效果进行自评，根据评分标准，该指标不扣分，得3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（三）项目产出情况。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项目产出类指标包括产出数量、产出质量、产出时效、产出成本四方面的内容，由7个三级指标构成，权重分为40分，实际得分40分，得分率为100%。</w:t>
        <w:br/>
        <w:t>（1）对于“产出数量”</w:t>
        <w:br/>
        <w:t>网络服务公司数量指标，预期指标值为大于等于1家，实际完成值为1家，指标完成率为100%，与预期目标一致，根据评分标准，该指标不扣分，得10分。</w:t>
        <w:br/>
        <w:t>（2）对于“产出质量”：</w:t>
        <w:br/>
        <w:t>资金使用合规率指标，预期指标值为100%，实际完成值为100%，指标完成率为100%，与预期目标一致，根据评分标准，该指标不扣分，得10分。</w:t>
        <w:br/>
        <w:t>（3）对于“产出时效”：</w:t>
        <w:br/>
        <w:t>项目结束时间指标，预期指标值为2023年8月，实际完成值为2023年8月，指标完成率为100%，与预期目标一致，根据评分标准，该指标不扣分，得5分。</w:t>
        <w:br/>
        <w:t>资金支付及时率指标，预期指标值为100%，实际完成值为100%，指标完成率为100%，与预期目标一致，根据评分标准，该指标不扣分，得5分。</w:t>
        <w:br/>
        <w:t>合计得10分。</w:t>
        <w:br/>
        <w:t>（4）对于“产出成本”：</w:t>
        <w:br/>
        <w:t>专网网费指标，预期指标值为小于等于2万元，实际完成值为2万元，指标完成率为100%，成本控制在预算范围内，根据评分标准，该指标不扣分，得10分。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（四）项目效益情况。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项目效益类指标包括项目效益、满意度2个方面的内容，由2个三级指标构成，权重分为30分，实际得分30分，得分率为100%。</w:t>
        <w:br/>
        <w:t>（1）对于“社会效益指标”：</w:t>
        <w:br/>
        <w:t>保障网络畅通指标，该指标预期指标值为保障，实际完成值为保障，指标完成率为100%，与预期指标一致，根据评分标准，该指标不扣分，得20分。</w:t>
        <w:br/>
        <w:t>（2）对于“经济效益指标”：</w:t>
        <w:br/>
        <w:t>本项目不涉及经济效益指标。</w:t>
        <w:br/>
        <w:t>（3）对于“生态效益指标”：</w:t>
        <w:br/>
        <w:t>本项目不涉及生态效益指标。</w:t>
        <w:br/>
        <w:t>（4）对于“满意度指标”</w:t>
        <w:br/>
        <w:t>工作人员满意度100%，该指标预期指标值为100%，实际完成值为100%，指标完成率为100%，与预期目标一致，根据评分标准，该指标不扣分,得10分。</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五、预算执行进度与绩效指标偏差</w:t>
      </w:r>
    </w:p>
    <w:p>
      <w:pPr>
        <w:spacing w:line="540" w:lineRule="exact"/>
        <w:ind w:firstLine="567"/>
        <w:rPr>
          <w:rFonts w:ascii="仿宋" w:hAnsi="仿宋" w:eastAsia="仿宋" w:cs="仿宋"/>
          <w:spacing w:val="-4"/>
          <w:sz w:val="32"/>
          <w:szCs w:val="32"/>
        </w:rPr>
      </w:pPr>
      <w:r>
        <w:rPr>
          <w:rStyle w:val="18"/>
          <w:rFonts w:hint="eastAsia" w:ascii="仿宋" w:hAnsi="仿宋" w:eastAsia="仿宋" w:cs="仿宋"/>
          <w:b w:val="0"/>
          <w:bCs w:val="0"/>
          <w:spacing w:val="-4"/>
          <w:sz w:val="32"/>
          <w:szCs w:val="32"/>
        </w:rPr>
        <w:t>2023年麦盖提县网信专网项目预算2万元，到位2万元，实际支出2万元，预算执行率为100%，项目绩效指标总体完成率为100%，偏差率为0%,不存在偏差情况。</w:t>
      </w:r>
    </w:p>
    <w:p>
      <w:pPr>
        <w:spacing w:line="570" w:lineRule="exact"/>
        <w:ind w:firstLine="624" w:firstLineChars="200"/>
        <w:rPr>
          <w:rStyle w:val="18"/>
          <w:rFonts w:hint="eastAsia" w:ascii="黑体" w:hAnsi="黑体" w:eastAsia="黑体" w:cs="黑体"/>
          <w:b w:val="0"/>
          <w:spacing w:val="-4"/>
          <w:sz w:val="32"/>
          <w:szCs w:val="32"/>
          <w:lang w:eastAsia="zh-CN"/>
        </w:rPr>
      </w:pPr>
      <w:r>
        <w:rPr>
          <w:rStyle w:val="18"/>
          <w:rFonts w:hint="eastAsia" w:ascii="黑体" w:hAnsi="黑体" w:eastAsia="黑体" w:cs="黑体"/>
          <w:b w:val="0"/>
          <w:spacing w:val="-4"/>
          <w:sz w:val="32"/>
          <w:szCs w:val="32"/>
        </w:rPr>
        <w:t>六、主要经验及做法、存在的问题及原因分析</w:t>
      </w:r>
      <w:r>
        <w:rPr>
          <w:rStyle w:val="18"/>
          <w:rFonts w:hint="eastAsia" w:ascii="黑体" w:hAnsi="黑体" w:eastAsia="黑体" w:cs="黑体"/>
          <w:b w:val="0"/>
          <w:spacing w:val="-4"/>
          <w:sz w:val="32"/>
          <w:szCs w:val="32"/>
          <w:lang w:eastAsia="zh-CN"/>
        </w:rPr>
        <w:t>、下一步改进措施</w:t>
      </w:r>
      <w:bookmarkStart w:id="0" w:name="_GoBack"/>
      <w:bookmarkEnd w:id="0"/>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（一）主要经验及做法</w:t>
        <w:br/>
        <w:t>一是需求分析与规划。在项目启动初期，进行深入的需求调研与分析是至关重要的。</w:t>
        <w:br/>
        <w:t>二是技术选型与集成。根据项目需求，选择合适的网络技术和设备，确保网络的安全性、稳固性和可扩展性。同时，注重不同系统之间的集成与协同，确保数据的共享与互通。</w:t>
        <w:br/>
        <w:t>三是风险管理与应对。在项目执行过程中，密切关注潜在的风险因素，如技术难题、政策变化等，并制定相应的风险应对策略和预案，确保项目的顺利进行。</w:t>
        <w:br/>
        <w:t>四是团队建设与协作。建立一个高效、协作的项目团队是项目成功的关键。通过定期的沟通、培训和团队建设活动，提升团队的整体素质和协作能力。</w:t>
        <w:br/>
        <w:t>（二）存在问题及原因分析</w:t>
        <w:br/>
        <w:t>实施此项目可能会出现以下问题：一是技术兼容性问题。网信专网涉及的技术众多，不同技术之间的兼容性和整合难度可能会影响项目的进展。</w:t>
        <w:br/>
        <w:t>二是技术瓶颈问题。项目在技术实现上可能会遭遇一些瓶颈，例如数据传输速度、网络安全防护等方面的技术问题，这些问题可能影响到项目的顺利进行和最终效果。</w:t>
        <w:br/>
        <w:t>原因分析：</w:t>
        <w:br/>
        <w:t>一是技术兼容性问题主要是由于当前信息技术快速发展，各种新技术不断涌现，而网信专网项目需要整合多种技术，因此可能会出现技术之间的兼容性问题。为解决这一问题，项目团队需要在项目初期进行充分的技术调研和分析，选择兼容性好、稳固可靠的技术方案，并在项目实施过程中加强技术协调和管理，确保各项技术能够顺利融合。</w:t>
        <w:br/>
        <w:t>二是技术瓶颈问题主要是由于技术实现难度较高或者技术资源不足导致的。为解决这一问题，项目团队需要提前做好技术攻关和技术储备工作，积极引进和培养技术人才，提高技术水平和创新能力。同时，加强与相关单位和专家的合作与交流，共同攻克技术难题，确保项目能够按照预期目标顺利推进。</w:t>
        <w:br/>
        <w:t>下一步改进措施：一是优化技术选型与整合。在项目开始前，充分调研和评估各种技术的优缺点，选择最适合项目需求的技术。同时，加强技术整合和协调，确保不同技术之间的顺畅运行。</w:t>
        <w:br/>
        <w:t>二是加强技术研发与创新。针对技术瓶颈问题，建议加强技术研发与创新，提高数据传输速度和网络安全防护能力。同时，积极引进先进的技术和设备，提升项目的整体技术水平。</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七、有关建议</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一是针对技术兼容性问题，建议在项目初期进行充分的技术调研和评估，明确所需技术的特点和要求，制定合理的技术整合方案。同时，加强与技术供应商的合作和沟通，确保不同技术之间的顺畅衔接。</w:t>
        <w:br/>
        <w:t xml:space="preserve">二是对于技术瓶颈问题，应提前识别潜在的技术难点，并制定相应的解决方案。例如，针对数据传输速度问题，可以优化网络架构、提升硬件设备性能或采用更高效的数据传输协议。在网络安全防护方面，应建立完善的安全防护体系，包括防火墙、入侵检测、数据加密等措施，确保项目在网络安全方面的可靠性。  </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八、其他需要说明的问题</w:t>
      </w:r>
    </w:p>
    <w:p>
      <w:pPr>
        <w:spacing w:line="540" w:lineRule="exact"/>
        <w:ind w:firstLine="567"/>
        <w:rPr>
          <w:rStyle w:val="18"/>
          <w:rFonts w:ascii="仿宋" w:hAnsi="仿宋" w:eastAsia="仿宋"/>
          <w:b w:val="0"/>
          <w:spacing w:val="-4"/>
          <w:sz w:val="32"/>
          <w:szCs w:val="32"/>
        </w:rPr>
      </w:pPr>
      <w:r>
        <w:rPr>
          <w:rStyle w:val="18"/>
          <w:rFonts w:hint="eastAsia" w:ascii="仿宋" w:hAnsi="仿宋" w:eastAsia="仿宋" w:cs="仿宋"/>
          <w:b w:val="0"/>
          <w:bCs w:val="0"/>
          <w:spacing w:val="-4"/>
          <w:sz w:val="32"/>
          <w:szCs w:val="32"/>
        </w:rPr>
        <w:t>我单位对上述项目支出绩效评价报告内反映内容的真实性、完整性负责，接受上级部门及社会公众监督。</w:t>
      </w: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A00002EF" w:usb1="4000004B" w:usb2="00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110C4"/>
    <w:rsid w:val="00037D50"/>
    <w:rsid w:val="0005416C"/>
    <w:rsid w:val="00056465"/>
    <w:rsid w:val="000E0F73"/>
    <w:rsid w:val="001028C5"/>
    <w:rsid w:val="00102DFF"/>
    <w:rsid w:val="00121AE4"/>
    <w:rsid w:val="0014601B"/>
    <w:rsid w:val="00146AAD"/>
    <w:rsid w:val="00150F05"/>
    <w:rsid w:val="00187874"/>
    <w:rsid w:val="001B3A40"/>
    <w:rsid w:val="001F78EB"/>
    <w:rsid w:val="00273CCD"/>
    <w:rsid w:val="00291BC0"/>
    <w:rsid w:val="002A6E1A"/>
    <w:rsid w:val="002E53FC"/>
    <w:rsid w:val="00311DBE"/>
    <w:rsid w:val="00345DD7"/>
    <w:rsid w:val="00351EFF"/>
    <w:rsid w:val="003B0577"/>
    <w:rsid w:val="003B4B1E"/>
    <w:rsid w:val="003D114D"/>
    <w:rsid w:val="003E7E58"/>
    <w:rsid w:val="003F5180"/>
    <w:rsid w:val="00414C3A"/>
    <w:rsid w:val="004366A8"/>
    <w:rsid w:val="004A05EE"/>
    <w:rsid w:val="004C38BC"/>
    <w:rsid w:val="004F1F3C"/>
    <w:rsid w:val="00502BA7"/>
    <w:rsid w:val="005136F0"/>
    <w:rsid w:val="005162F1"/>
    <w:rsid w:val="00535153"/>
    <w:rsid w:val="00554F82"/>
    <w:rsid w:val="0056390D"/>
    <w:rsid w:val="005719B0"/>
    <w:rsid w:val="005A4F2E"/>
    <w:rsid w:val="005A5018"/>
    <w:rsid w:val="005C51DF"/>
    <w:rsid w:val="005D10D6"/>
    <w:rsid w:val="005E7C5E"/>
    <w:rsid w:val="006A1CC4"/>
    <w:rsid w:val="0075584F"/>
    <w:rsid w:val="0076216D"/>
    <w:rsid w:val="007A3C1F"/>
    <w:rsid w:val="007C0EA3"/>
    <w:rsid w:val="00810970"/>
    <w:rsid w:val="00855E3A"/>
    <w:rsid w:val="008C6C26"/>
    <w:rsid w:val="008F4CA9"/>
    <w:rsid w:val="0091457F"/>
    <w:rsid w:val="00922CB9"/>
    <w:rsid w:val="00925D36"/>
    <w:rsid w:val="00944DD1"/>
    <w:rsid w:val="00954232"/>
    <w:rsid w:val="009757D2"/>
    <w:rsid w:val="009B5C22"/>
    <w:rsid w:val="009E5CD9"/>
    <w:rsid w:val="009F4373"/>
    <w:rsid w:val="00A256D5"/>
    <w:rsid w:val="00A26421"/>
    <w:rsid w:val="00A34588"/>
    <w:rsid w:val="00A4017F"/>
    <w:rsid w:val="00A413B8"/>
    <w:rsid w:val="00A4293B"/>
    <w:rsid w:val="00A67D50"/>
    <w:rsid w:val="00A8691A"/>
    <w:rsid w:val="00A972DF"/>
    <w:rsid w:val="00AC1946"/>
    <w:rsid w:val="00AC3A96"/>
    <w:rsid w:val="00AD5E52"/>
    <w:rsid w:val="00AF683C"/>
    <w:rsid w:val="00B2343E"/>
    <w:rsid w:val="00B40063"/>
    <w:rsid w:val="00B41F61"/>
    <w:rsid w:val="00B425C7"/>
    <w:rsid w:val="00B53D26"/>
    <w:rsid w:val="00B74D04"/>
    <w:rsid w:val="00BA187C"/>
    <w:rsid w:val="00BA46E6"/>
    <w:rsid w:val="00BB5015"/>
    <w:rsid w:val="00C34DD1"/>
    <w:rsid w:val="00C56C72"/>
    <w:rsid w:val="00C62CB9"/>
    <w:rsid w:val="00CA5AD1"/>
    <w:rsid w:val="00CA6457"/>
    <w:rsid w:val="00CA6DC2"/>
    <w:rsid w:val="00CD37A4"/>
    <w:rsid w:val="00CE2FD9"/>
    <w:rsid w:val="00D032EA"/>
    <w:rsid w:val="00D17F2E"/>
    <w:rsid w:val="00D30354"/>
    <w:rsid w:val="00D40DCC"/>
    <w:rsid w:val="00D52B7C"/>
    <w:rsid w:val="00D80C1E"/>
    <w:rsid w:val="00D967F5"/>
    <w:rsid w:val="00DA4559"/>
    <w:rsid w:val="00DB1661"/>
    <w:rsid w:val="00DD3412"/>
    <w:rsid w:val="00DF42A0"/>
    <w:rsid w:val="00E30E91"/>
    <w:rsid w:val="00E655F7"/>
    <w:rsid w:val="00E7612A"/>
    <w:rsid w:val="00E769FE"/>
    <w:rsid w:val="00E774CE"/>
    <w:rsid w:val="00E96D03"/>
    <w:rsid w:val="00EA2CBE"/>
    <w:rsid w:val="00EB10A0"/>
    <w:rsid w:val="00F32FEE"/>
    <w:rsid w:val="00FB10BB"/>
    <w:rsid w:val="00FF3B44"/>
    <w:rsid w:val="2AE11386"/>
    <w:rsid w:val="2D4C6AD2"/>
    <w:rsid w:val="2D5A6638"/>
    <w:rsid w:val="340D5924"/>
    <w:rsid w:val="43B04001"/>
    <w:rsid w:val="4609551D"/>
    <w:rsid w:val="4D2606A1"/>
    <w:rsid w:val="4DD42C22"/>
    <w:rsid w:val="503863D1"/>
    <w:rsid w:val="50796DE0"/>
    <w:rsid w:val="5DA70C36"/>
    <w:rsid w:val="716B6B6A"/>
    <w:rsid w:val="7A780714"/>
    <w:rsid w:val="7C7B65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qFormat/>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no"?>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footer1.xml" Type="http://schemas.openxmlformats.org/officeDocument/2006/relationships/footer"/>
<Relationship Id="rId4" Target="theme/theme1.xml" Type="http://schemas.openxmlformats.org/officeDocument/2006/relationships/theme"/>
<Relationship Id="rId5" Target="../customXml/item1.xml" Type="http://schemas.openxmlformats.org/officeDocument/2006/relationships/customXml"/>
<Relationship Id="rId6" Target="fontTable.xml" Type="http://schemas.openxmlformats.org/officeDocument/2006/relationships/fontTabl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Pages>
  <Words>110</Words>
  <Characters>633</Characters>
  <Lines>5</Lines>
  <Paragraphs>1</Paragraphs>
  <TotalTime>1</TotalTime>
  <ScaleCrop>false</ScaleCrop>
  <LinksUpToDate>false</LinksUpToDate>
  <CharactersWithSpaces>742</CharactersWithSpaces>
  <Application>WPS Office_11.1.0.10132_F1E327BC-269C-435d-A152-05C5408002CA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2022-01-14T05:11:00Z</dcterms:created>
  <dc:creator>赵 恺（预算处）</dc:creator>
  <cp:lastModifiedBy>admin</cp:lastModifiedBy>
  <cp:lastPrinted>2018-12-31T10:56:00Z</cp:lastPrinted>
  <dcterms:modified xsi:type="dcterms:W3CDTF">2023-08-14T08:17:32Z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2052-11.1.0.10132</vt:lpwstr>
  </property>
</Properties>
</file>