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2023年麦盖提联户长补贴项目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中共麦盖提县委员会政法委员会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中共麦盖提县委员会政法委员会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吴锋</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2024年07月04日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推动社会治理重心向基层下移，确保稳固隐患联查联控、宗教极端联防联治、重点人员联管联教、矛盾问题联排联调、民族团结问题联创联建、群众活动联促联想，实现社会稳固和长治久安奠定坚实基础。根据《关于加强乡镇（街道）专职联防队、村治保主任、“十户长”（社区楼栋长）队伍建设的意见》（新党组〔2011]〕22号），十户长和联户长被赋予了重要的职责和角色，以维护社区和乡村的安全稳固，为了激励和保障人员工作积极性和生活需求，给予十户长、联户长补贴，补贴不仅体现了对“十户长”工作的认可和尊重，也为其提供了必要的经济支持，有助于提升工作满意度和归属感，从而更加积极的履行职责，为社区和乡村的安全稳固做出贡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是为本县8乡2镇1林场162个村（社区）的十户长、联户长发放补贴。为激励十户长、联户长的工作积极性和生活需求，以社区楼栋长200元/月，十户长164元/月的标准进行发放补贴，这一补助旨在认可他们的工作成果，并为他们提供必要的经济支持。通过这一政策项目的实施，得到了广大十户长、联户长的积极响应和好评，增强了对工作信心和动力，农村社区的安全稳固工作得到了进一步加强，邻里之间的互助合作氛围也更加浓厚。同时，加强对补贴项目的监管和管理，确保补贴资金能够真正用于激励和支持十户长工作，确保资金使用的透明度和有效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麦盖提县委政法委为行政单位，纳入2023年部门决算编制范围的有7个办公室：政法委办公室、信息调研室、基层社会治理室、研究指导室、指挥中心、综治中心、法学会。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编制人数34人，其中：行政人员编制14人、工勤2人、事业编制20人。实有在职人数30人，其中：行政在职13人、事业在职17人。离退休人员4人，其中：行政退休人员4人。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依据《关于拨付2023年自治区基层组织建设资金的通知》（麦财行〔2023〕19号）文件共安排下达资金467.35万元，为麦盖提县联户长补贴项目资金，最终确定项目资金总数为467.35万元。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截至2023年12月31日，实际支出467.25万元，预算执行率99.98%。</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本年度总投入467.35万元，主要用于521名社区楼栋长和1610名村十户长发放补助，以社区楼栋长200元/月，十户长164元/月的标准进行补贴，项目的实施提升社会治理能力和水平，为社会稳固和长治久安奠定坚实基础。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前期准备工作：一是上会深入研究和分析相关政策，根据实际情况制定详细的补贴发放方案，包括补贴标准、申请条件、审核流程等；二是精准测算补贴所需的资金，向县财经委员会提交资金申请报告，确保资金及时到位。三是通过各种渠道（如社区公告、宣传册、网络平台等）对补贴政策进行广泛宣传，提高公众的认知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首先乡镇、村、社区按月对辖区十户长、联户长人数、人员信息进行摸排统计，形成信息台账公开至公示栏中，确保人员信息的准确性；二是将信息台账报至政法委，政法委对人员数量和人员情况进行核查、汇总，形成全县十户长、联户长补贴发放汇总表，同时录入一卡通系统等待财政部门审核发放；三是财政部门收到政法委补贴发放申请时，审核补贴发放标准、人数以及发放金额，审核无问题给予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事后跟踪情况：一是持续跟踪打卡失败情况，乡镇、村社区及时反馈正确打卡信息进行二次打卡，确保补贴及时到卡；二是通过走访入户、电话抽查等方式询问受益户是否收到补贴，是否有相关诉求和建议，确保补贴资金落到实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7"/>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可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吴锋同志为政法委预算绩效管理工作的主要责任人，负责政法委全局预算绩效管理的统筹工作；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副组长张连春同志、艾尼瓦尔艾力·吐逊同志负责协助吴锋同志抓好全局预算绩效管理工作；张占文同志、王建业同志负责预算绩效目标实现程度的跟踪监控工作；李沙沙同志负责填报绩效监控情况表和收集相关印证资料，按时上报绩效监控情况表；熊海燕同志负责按要求执行资金支付工作；办公室负责对预算执行情况、绩效目标实现程度进行监控，及时纠正本单位预算执行中偏离绩效目标的行为和资金拨付行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通过实施2023年麦盖提联户长补贴项目产生为社会稳固和长治久安奠定坚实基础的效益。项目实施主要通过项目决策、项目过程、项目产出以及项目效益等方面进行评价，其中：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主要关注该项目的数量、质量、成本和时效指标是否达到预期目标。经翻阅项目资料可知，该项目的实施有效保障了十户长补贴政策的落实，为各乡镇、村、社区521名联户长和1610名十户长每月15日前发放十户长补贴，及时将补贴落实到个人银行卡中，本年度预算安排467.35万元，实际支出467.25万元，预算执行率99.98%。综上所述，经与预期目标的对比，该项目数量、质量、成本和时效指标均达到预期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主要关注该项目的效益指标和满意度指标是否达到预期目标。通过实地走访和电话抽查可知，该项目的实施有效调动了基层联户长、十户长工作积极性，有助于提升工作满意度和归属感，从而更加积极的履行职责，为社区和乡村的安全稳固做出贡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联户长补贴项目进行客观评价，最终评分结果：评价总分99.95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（1）立项依据充分性：结合麦盖提县委政法委工作职责，并组织实施。围绕2023度工作重点和工作计划制定经费预算，根据评分标准，该指标不扣分，得3分。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（2）立项程序规范性：根据决策依据编制工作计划和经费预算，经过与麦盖提县委政法委分管领导进行沟通、筛选确定经费预算计划，上党委会研究确定最终预算方案，根据评分标准，该指标不扣分，得2分。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5个三级指标构成，权重分为15分，实际得分14.98分，得分率为99.87%。</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（2）预算执行率：预算编制较为详细，项目资金支出总体能够按照预算执行，根据评分标准，该指标不扣分，得2.99分。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（3）资金使用合规性：制定了相关的制度和管理规定对经费使用进行规范管理，财务制度健全、执行严格，根据评分标准，该指标不扣分，得3.99分。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（4）管理制度健全性：制定了麦盖提县政法委相关管理办法，对财政专项资金进行严格管理，基本做到了专款专用，根据评分标准，该指标不扣分，得2分。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项目产出类指标包括产出数量、产出质量、产出时效，产出成本三方面的内容，由7个三级指标构成，权重分为40分，实际得分39.97分，得分率为99.93%。</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享受补助十户长人数指标预期值为大于等于1610人，实际完成值为1610人，与预期目标一致，根据评分标准，此项指标应当得分为5分，实际得分5分；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享受补助楼栋长人数指标预期值为大于等于521人，实际完成值为521人，与预期目标一致，根据评分标准，此项指标应当得分为5分，实际得分5分；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补助资金覆盖率指标预期值为100%，实际完成值为99.98%，与预期目标一致，根据评分标准，该指标不扣分，得9.99分。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项目结束时间指标预期值为2023年12月，实际完成值为2023年12月，与预期目标一致，根据评分标准，该指标不扣分，得5分。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补助资金发放及时率指标预期值为100%，实际完成值为99.98%，与预期目标一致，根据评分标准，该指标不扣分，得4.99分。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合计得9.99分。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楼栋长发放补助成本指标预期值为小于等于335.37万元，实际完成值为335.27万元，指标完成率为99.99%，成本控制在预算范围内，根据评分标准，此项指标应当得分为5分，实际得分4.99分。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十户长发放补助成本指标预期值为小于等于131.98万元，实际完成值为131.98万元，指标完成率为100%，成本控制在预算范围内，根据评分标准，此项指标应当得分为5分，实际得分5分。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合计得9.99分。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提高双联户长工作积极性指标预期值为有效提高，预期指标值有效提高，实际完成值为100%；与预期指标一致，根据评分标准，该指标不扣分，得20分。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（六）满意度指标完成情况分析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受益双联户满意度100%，该指标预期指标值为100%，实际完成值为100%，指标完成率为100%，与预期目标一致，根据评分标准，该指标不扣分,得10分。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麦盖提县联户长补贴项目预算467.35万元，到位467.35万元，实际支出467.25万元，预算执行率为99.98%，项目绩效指标总体完成率为99.98%，偏差率为0%。</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此次联户长资金预算绩效管理，发挥作用明显，有效提高了基层干部群众的工作积极性。一是坚持围绕社会稳固和长治久安总目标，打好“组织拳”，确保各级联户长切实在维护社会稳固中尽心尽力，发挥好其在基层维稳中的情报信息、防控检查、战斗骨干等作用；二是坚持围绕脱贫攻坚这一政治任务，充分发挥联户长在脱贫攻坚、发展致富等方面的带头示范、互帮互帮作用，确保联户长在脱贫攻坚中先行先试，为广大贫困群众当标兵；三是坚持基层推荐，充分尊重基层组织和乡镇党委的主体作用，由基层组织和乡镇党委根据日常工作情况进行推荐，切实将在基层一线发挥作用明显的联户长推荐上来，县委政法委视情进行抽查，既让实干者得到推荐又要优亲厚友等违规操作得到控制，将调动基层联户长工作积极性的主动权下放给基层组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一是领导重视。我单位领导高度重视，专门成立项目管理领导小组，负责对项目实施、组织协调、运转服务，研究解决项目实施中的困难和问题，为项目实施提供有力保障。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管理规范。在项目实施过程中，我单位均能按照相关管理制度要求严格执行，强化监督检查，从多方面对本项目进行研究和预算绩效管理，严格按照项目管理要求，尽职尽责履行部门职能，对项目推进过程中出现的问题及时进行沟通、整改，尽早拿出解决措施加以应对，确保项目顺利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三是专款专用。严格按照专项资金管理办法的规定，做到专项核算、专款专用，不存在截留、挪用、挤占、虚列开支等现象。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实施此项目可能会出现以下问题：信息管理不完善。除了工作人员疏忽，还可能存在信息系统不稳固、数据更新不及时等问题，导致补贴发放对象信息不准确。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信息系统建设滞后。可能是由于投入不足或技术原因，导致信息系统建设滞后，无法满足补贴发放的需求。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加强信息系统建设。提高系统的稳固性和安全性，加强数据更新和维护，确保补贴发放对象信息的准确性和及时性。</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加强政策宣传和培训。通过多种渠道加强政策宣传和培训，提高政策制定者和执行者的认知和理解。这有助于减少政策执行过程中的误解和偏差，确保补贴政策得到有效落实。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避免信息孤岛和重复劳动。这有助于提高工作效率，降低管理成本，确保补贴政策的顺利实施。</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3AF7C2E"/>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2025-07-24T11:55:07Z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