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hint="eastAsia" w:ascii="华文中宋" w:hAnsi="华文中宋" w:eastAsia="华文中宋" w:cs="宋体"/>
          <w:b/>
          <w:kern w:val="0"/>
          <w:sz w:val="52"/>
          <w:szCs w:val="52"/>
          <w:lang w:eastAsia="zh-CN"/>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麦盖提县数字电视双向网络改造工程项目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麦盖提县融媒体中心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麦盖提县融媒体中心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尼亚孜艾力·玉苏普</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2024年03月22日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进一步提升麦盖提县政府公信力，按照“标本兼治，重在治本，支付工程尾款”等要求，全面落实化解有策，兜底有方等举措，对政府性债务逐笔逐项进行化解。我单位贯彻落实相关要求，积极向县财政申请资金来源，用于支付完成两个以前年度项目尾款260万元，其中：数字电视双向网络改造工程尾款240万元、网络安全等级保护建设项目尾款20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支持农村及偏远地区通信基础设施建设，推进农村地区4G通信基站、光纤宽带、广播电视等信息基础设施建设和宽带普及，全面推进广播电视节目地面无线数字化覆盖和广播电视“村村通”、直播卫星“户户通”设备升级，试点5G网络建设工程。统筹推进县乡村三级物流体系建设，加快邮政快递进村工程，大力推进农资进村、农产品进城，完善农村物流体系，提升农村物流服务能力，加快布局由县市、乡镇综合性物流配送中心和末端配送网点组成的农村物流网络，加快智能快件箱项目建设，支持企业通过各种合作模式推进快递进村，打通快递到家最后100米。随着信息技术的快速发展，数字化和网络化已经成为现代社会的重要特征。在广播电视领域，数字电视技术以其高清、互动、多功能等优势，逐渐取代了传统的模拟电视，成为广大用户收看节目的主要方式。因此，对麦盖提县原有的模拟电视网络进行数字化改造，是顺应技术发展潮流、提升广播电视服务水平的必然选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作为新疆地区的一个重要县城，其经济社会发展对信息化、网络化的需求日益迫切。通过实施数字电视双向网络改造工程，不仅可以提升广播电视服务的覆盖面和质量，还可以为麦盖提县的信息化建设提供有力支撑，推动当地经济社会的快速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随着用户需求的多样化，传统的单向电视服务已经不能满足人们的日常需求。数字电视双向网络改造可以实现互动电视、高清电视、宽带上网等多种业务功能，为用户提供更加丰富、便捷的服务体验。这不仅有助于提升用户的满意度和忠诚度，还可以为运营商带来更多的增值业务收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从行业发展的角度来看，数字电视双向网络改造也是推动广播电视行业转型升级的重要举措。通过改造升级，可以优化网络结构、提升网络性能、降低运营成本，为行业的可持续发展奠定坚实基础。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麦盖提县数字电视双向网络改造工程项目是在技术发展、社会需求和行业发展的共同推动下产生的，具有重要的现实意义和深远的发展前景。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本项目主要用于支付两个以前年度项目尾款260万元，其中：数字电视双向网络改造工程尾款240万元、网络安全等级保护建设项目尾款20万元。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eastAsia="zh-CN"/>
        </w:rPr>
        <w:t>截至</w:t>
      </w:r>
      <w:r>
        <w:rPr>
          <w:rStyle w:val="17"/>
          <w:rFonts w:hint="eastAsia" w:ascii="仿宋" w:hAnsi="仿宋" w:eastAsia="仿宋" w:cs="仿宋"/>
          <w:b w:val="0"/>
          <w:bCs w:val="0"/>
          <w:spacing w:val="-4"/>
          <w:sz w:val="32"/>
          <w:szCs w:val="32"/>
        </w:rPr>
        <w:t>目前，已完成支付两个以前年度项目尾款260万元，其中：数字电视双向网络改造工程尾款240万元、网络安全等级保护建设项目尾款20万元。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麦盖提县融媒体中心为全额事业单位，纳入2023年部门决算编制范围的有7个科室:总编室、综合室、指挥中心采集室、指挥中心编辑室、译制室、技术运维室、广告室。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编制人数32人，其中：行政人员编制0人、工勤0人、参公0人、事业编制32人。实有在职人数28人，其中：行政在职0人、工勤0人、参公0人、事业在职28人。离退休人员17人，其中：行政退休人员0人、事业退休17人。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县级财政年初共安排下达资金260万元，为县级资金，最终确定项目资金总数为260万元。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截至2023年12月31日，实际支出260万元，预算执行率100%。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本项目计划总投资为260万元，主要用于一是支付数字电视双向网络改造工程尾款240万元，二是支付网络安全等级保护建设项目尾款20万元，项目的实施有效化解我单位存量债务，进一步提高政府公信力。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定《麦盖提县数字电视双向网络改造工程项目实施方向》，明确债务化解的总体要求、还款内容、方法步骤等。按计划召开党组会，确定申请项目资金金额，及时向财政打资金申请报告，准备支付资料，资金到位后及时按照实施方案内容支付工程欠款。</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成本和效益3个一级指标，其中：产出下设产出数量、产出质量、产出时效3个2级指标，成本下设1个2级指标，效益下设社会效益1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潘国平任评价组组长，绩效评价工作职责为负责全盘工作。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谢家娥任评价组副组长，绩效评价工作职责为为对项目实施情况进行实地调查。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郎兵、尼亚孜艾力·玉苏普任评价组成员，绩效评价工作职责为负责资料审核等工作。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（一）综合评价情况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通过实施麦盖提县数字电视双向网络改造工程项目产生提升政府公信力效益。项目实施主要通过项目决策、项目过程、项目产出以及项目效益等方面进行评价，其中：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项目过程：麦盖提县数字电视双向网络改造工程项目预算安排 260万元，实际支出260万元，预算执行率100%。项目资金使用合规，项目财务管理制度健全，财务监控到位，所有资金支付均按照国库集中支付制度严格执行，现有项目管理制度执行情况良好。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通过项目实施已支付两个以前年度项目尾款260万元，其中：数字电视双向网络改造工程尾款240万元、网络安全等级保护建设项目尾款20万元，资金使用合规率、债务化解覆盖率、资金支付及时率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项目效益：通过项目的实施有效化解了我单位存量债务，进一步提高了政府公信力。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数字电视双向网络改造工程项目进行客观评价，最终评分结果：评价总分100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（1）立项依据充分性：结合单位职能职责，并组织实施。围绕2023年度工作重点和工作计划制定项目预算，根据评分标准，该指标不扣分，得3分。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（2）立项程序规范性：根据决策依据编制工作计划和项目预算，经过与单位分管领导进行沟通、筛选确定项目预算计划，上支委会研究确定最终预算方案，根据评分标准，该指标不扣分，得2分。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8个三级指标构成，权重分为15分，实际得分15分，得分率为100%。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（4）管理制度健全性：制定了相关管理办法，对财政专项资金进行严格管理，做到了专款专用，根据评分标准，该指标不扣分，得2分。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项目产出类指标包括产出数量、产出质量、产出时效三方面的内容，由7个三级指标构成，权重分为40分，实际得分40分，得分率为100%。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化解债务项目数量指标，预期指标值为大于等于2，实际完成值为2，指标完成率为100%，与预期目标一致，根据评分标准，该指标不扣分，得10分。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资金使用合规率指标，预期指标值为等于100%，实际完成值为100%，指标完成率为100%，与预期目标一致，根据评分标准，该指标不扣分，得5分。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债务化解覆盖率指标，预期指标值为等于100%，实际完成值为100%，指标完成率为100%，与预期目标一致，根据评分标准，该指标不扣分，得5分。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债务化解完成时间指标，预期指标值为2023年10月，实际完成值为2023年10月，指标完成率为100%，与预期目标一致，根据评分标准，该指标不扣分，得5分。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资金支付及时率指标，预期指标值为等于100%，实际完成值为100%，指标完成率为100%，与预期目标一致，根据评分标准，该指标不扣分，得5分。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支付数字电视双向网络改造工程尾款指标预期值为小于等于240万元，实际完成值为240万元，指标完成率为100%，成本控制在预算范围内，根据评分标准，此项指标应当得分为5分，实际得分5分。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支付网络安全等级保护建设项目尾款指标预期值为小于等于20万元，实际完成值为20万元，指标完成率为100%，成本控制在预算范围内，根据评分标准，此项指标应当得分为5分，实际得分5分。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项目效益类指标包括社会效益1个方面的内容，由1个三级指标构成，权重分为30分，实际得分30分，得分率为100%。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本项目的实施有效化解我单位存量债务，进一步提高政府公信力，与预期指标一致，根据评分标准，该指标不扣分，得30分。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本项目不涉及“满意度指标”。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麦盖提县数字电视双向网络改造工程项目预算260万元，到位260万元，实际支出260万元，预算执行率为100%，项目绩效指标总体完成率为100%，偏差率为0%。</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督促指导，分管领导具体负责，从项目到资金，均能够很好的执行。三是加强沟通协调，我单位及时向领导汇报项目资金支付进度，加强与施工单位的沟通，确保项目资金按时支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存在问题：在项目实施过程中可能会出现以下问题：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数字电视双向网络改造涉及较为复杂的技术问题，包括信号传输、数据处理和网络安全等方面，由于技术更新迅速，部分老旧设备和技术标准可能难以适应新的需求，导</w:t>
      </w:r>
      <w:bookmarkStart w:id="0" w:name="_GoBack"/>
      <w:bookmarkEnd w:id="0"/>
      <w:r>
        <w:rPr>
          <w:rStyle w:val="17"/>
          <w:rFonts w:hint="eastAsia" w:ascii="仿宋" w:hAnsi="仿宋" w:eastAsia="仿宋" w:cs="仿宋"/>
          <w:b w:val="0"/>
          <w:bCs w:val="0"/>
          <w:spacing w:val="-4"/>
          <w:sz w:val="32"/>
          <w:szCs w:val="32"/>
        </w:rPr>
        <w:t>致改造过程中出现技术瓶颈。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原因分析：技术人员的专业水平不够高，缺少技术研发与培训。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下一步改进措施：一是加强技术研发与培训，针对技术难题，加强技术研发和引进，提升技术人员的专业水平。同时，加强对用户的培训和教育，提高他们对数字电视双向网络改造的认识和接受度。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二是提升服务质量，在改造过程中，注重提升服务质量，包括优化信号传输质量、提高数据处理速度、加强网络安全保障等。同时，加强与用户的沟通和反馈，及时解决用户在使用过程中遇到的问题和困难。</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加强技术研发投入与更新，鼓励和支持企业加大在数字电视双向网络改造技术上的研发投入，积极引进和消化国际先进技术，提高自主创新能力；推广使用具有高效、稳固、安全特点的新技术和新标准，逐步替换老旧设备和技术标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BA13FA5"/>
    <w:rsid w:val="2D4C6AD2"/>
    <w:rsid w:val="2D5A6638"/>
    <w:rsid w:val="340D5924"/>
    <w:rsid w:val="3C110F7F"/>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6</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2025-07-24T12:50:07Z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