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C65E78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麦盖提县中等职业技术学校2024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1341BA">
      <w:r>
        <w:br w:type="page"/>
      </w:r>
    </w:p>
    <w:p w14:paraId="09D5268B">
      <w:pPr>
        <w:spacing w:line="640" w:lineRule="exact"/>
        <w:jc w:val="center"/>
        <w:outlineLvl w:val="1"/>
      </w:pPr>
      <w:r>
        <w:rPr>
          <w:rFonts w:ascii="黑体" w:hAnsi="黑体" w:eastAsia="黑体"/>
          <w:sz w:val="32"/>
        </w:rPr>
        <w:t>第一部分 单位概况</w:t>
      </w:r>
    </w:p>
    <w:p w14:paraId="0FF57569">
      <w:pPr>
        <w:spacing w:line="640" w:lineRule="exact"/>
        <w:ind w:firstLine="640"/>
        <w:jc w:val="both"/>
        <w:outlineLvl w:val="2"/>
      </w:pPr>
      <w:r>
        <w:rPr>
          <w:rFonts w:ascii="黑体" w:hAnsi="黑体" w:eastAsia="黑体"/>
          <w:sz w:val="32"/>
        </w:rPr>
        <w:t>一、主要职能</w:t>
      </w:r>
    </w:p>
    <w:p w14:paraId="65B37A5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负责贯彻党的教育方针，坚持社会主义办学方向，实行教育与生产劳动相结合，对学生进行德育、体育、美育和劳动等方面的教育。</w:t>
      </w:r>
    </w:p>
    <w:p w14:paraId="1487ECF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负责依法制定学校章程，并按照章程自主管理。</w:t>
      </w:r>
    </w:p>
    <w:p w14:paraId="538B575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负责配合各级</w:t>
      </w:r>
      <w:r>
        <w:rPr>
          <w:rFonts w:hint="eastAsia" w:ascii="仿宋_GB2312" w:hAnsi="仿宋_GB2312" w:eastAsia="仿宋_GB2312"/>
          <w:sz w:val="32"/>
          <w:lang w:eastAsia="zh-CN"/>
        </w:rPr>
        <w:t>人民政府</w:t>
      </w:r>
      <w:r>
        <w:rPr>
          <w:rFonts w:ascii="仿宋_GB2312" w:hAnsi="仿宋_GB2312" w:eastAsia="仿宋_GB2312"/>
          <w:sz w:val="32"/>
        </w:rPr>
        <w:t>依法动员组织适龄儿童、少年入学，严格控制学校辍学，依法保证适龄儿童少年接受九年义务教育。</w:t>
      </w:r>
    </w:p>
    <w:p w14:paraId="423C24F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负责制定学校教育发展规划，并抓好组织实施和落实工作。</w:t>
      </w:r>
    </w:p>
    <w:p w14:paraId="33656FB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负责按照教育主管部门发布的指导性教学计划、教学大纲组织实施教育教学活动。</w:t>
      </w:r>
    </w:p>
    <w:p w14:paraId="30103D03">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负责依据国家教育主管部门有关教学计划课程设置等方面的规定，决定和实施本校的教学计划，组织教学评比、集体备课，对学生进行统一考核考试等。</w:t>
      </w:r>
    </w:p>
    <w:p w14:paraId="726372B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负责学籍管理并对学生实施奖励或处分。</w:t>
      </w:r>
    </w:p>
    <w:p w14:paraId="02395E6F">
      <w:pPr>
        <w:spacing w:line="640" w:lineRule="exact"/>
        <w:ind w:firstLine="640"/>
        <w:jc w:val="both"/>
        <w:outlineLvl w:val="2"/>
      </w:pPr>
      <w:r>
        <w:rPr>
          <w:rFonts w:ascii="黑体" w:hAnsi="黑体" w:eastAsia="黑体"/>
          <w:sz w:val="32"/>
        </w:rPr>
        <w:t>二、机构设置及人员情况</w:t>
      </w:r>
    </w:p>
    <w:p w14:paraId="40099542">
      <w:pPr>
        <w:spacing w:line="580" w:lineRule="exact"/>
        <w:ind w:firstLine="640"/>
        <w:jc w:val="both"/>
      </w:pPr>
      <w:r>
        <w:rPr>
          <w:rFonts w:ascii="仿宋_GB2312" w:hAnsi="仿宋_GB2312" w:eastAsia="仿宋_GB2312"/>
          <w:sz w:val="32"/>
        </w:rPr>
        <w:t>麦盖提县中等职业技术学校2024年度，实有人数139人，其中：在职人员121人，增加11人；离休人员0人，增加0人；退休人员18人,增加0人。</w:t>
      </w:r>
    </w:p>
    <w:p w14:paraId="4BB0B9C8">
      <w:pPr>
        <w:spacing w:line="580" w:lineRule="exact"/>
        <w:ind w:firstLine="640"/>
        <w:jc w:val="both"/>
      </w:pPr>
      <w:r>
        <w:rPr>
          <w:rFonts w:ascii="仿宋_GB2312" w:hAnsi="仿宋_GB2312" w:eastAsia="仿宋_GB2312"/>
          <w:sz w:val="32"/>
        </w:rPr>
        <w:t>麦盖提县中等职业技术学校无下属预算单位，下设4个科室，分别是：行政办、教务办、德育办、财务室。</w:t>
      </w:r>
    </w:p>
    <w:p w14:paraId="05A11DB5">
      <w:r>
        <w:br w:type="page"/>
      </w:r>
    </w:p>
    <w:p w14:paraId="2DD12BA7">
      <w:pPr>
        <w:spacing w:line="240" w:lineRule="auto"/>
        <w:jc w:val="center"/>
        <w:outlineLvl w:val="1"/>
      </w:pPr>
      <w:r>
        <w:rPr>
          <w:rFonts w:ascii="黑体" w:hAnsi="黑体" w:eastAsia="黑体"/>
          <w:sz w:val="32"/>
        </w:rPr>
        <w:t>第二部分 部门决算情况说明</w:t>
      </w:r>
    </w:p>
    <w:p w14:paraId="178BB265">
      <w:pPr>
        <w:spacing w:line="640" w:lineRule="exact"/>
        <w:ind w:firstLine="640"/>
        <w:jc w:val="both"/>
        <w:outlineLvl w:val="2"/>
      </w:pPr>
      <w:r>
        <w:rPr>
          <w:rFonts w:ascii="黑体" w:hAnsi="黑体" w:eastAsia="黑体"/>
          <w:sz w:val="32"/>
        </w:rPr>
        <w:t>一、收入支出决算总体情况说明</w:t>
      </w:r>
    </w:p>
    <w:p w14:paraId="1C261B9F">
      <w:pPr>
        <w:spacing w:line="580" w:lineRule="exact"/>
        <w:ind w:firstLine="640"/>
        <w:jc w:val="both"/>
      </w:pPr>
      <w:r>
        <w:rPr>
          <w:rFonts w:ascii="仿宋_GB2312" w:hAnsi="仿宋_GB2312" w:eastAsia="仿宋_GB2312"/>
          <w:b/>
          <w:sz w:val="32"/>
        </w:rPr>
        <w:t>2024年度收入总计3,188.14万元，</w:t>
      </w:r>
      <w:r>
        <w:rPr>
          <w:rFonts w:ascii="仿宋_GB2312" w:hAnsi="仿宋_GB2312" w:eastAsia="仿宋_GB2312"/>
          <w:b w:val="0"/>
          <w:sz w:val="32"/>
        </w:rPr>
        <w:t>其中：本年收入合计3,188.14万元，使用非财政拨款结余（含专用结余）0.00万元，年初结转和结余0.00万元。</w:t>
      </w:r>
    </w:p>
    <w:p w14:paraId="6A789287">
      <w:pPr>
        <w:spacing w:line="580" w:lineRule="exact"/>
        <w:ind w:firstLine="640"/>
        <w:jc w:val="both"/>
      </w:pPr>
      <w:r>
        <w:rPr>
          <w:rFonts w:ascii="仿宋_GB2312" w:hAnsi="仿宋_GB2312" w:eastAsia="仿宋_GB2312"/>
          <w:b/>
          <w:sz w:val="32"/>
        </w:rPr>
        <w:t>2024年度支出总计3,188.14万元，</w:t>
      </w:r>
      <w:r>
        <w:rPr>
          <w:rFonts w:ascii="仿宋_GB2312" w:hAnsi="仿宋_GB2312" w:eastAsia="仿宋_GB2312"/>
          <w:b w:val="0"/>
          <w:sz w:val="32"/>
        </w:rPr>
        <w:t>其中：本年支出合计3,188.14万元，结余分配0.00万元，年末结转和结余0.00万元。</w:t>
      </w:r>
    </w:p>
    <w:p w14:paraId="14566C36">
      <w:pPr>
        <w:spacing w:line="580" w:lineRule="exact"/>
        <w:ind w:firstLine="640"/>
        <w:jc w:val="both"/>
      </w:pPr>
      <w:r>
        <w:rPr>
          <w:rFonts w:ascii="仿宋_GB2312" w:hAnsi="仿宋_GB2312" w:eastAsia="仿宋_GB2312"/>
          <w:b w:val="0"/>
          <w:sz w:val="32"/>
        </w:rPr>
        <w:t>收入支出总体与上年相比，减少1,024.67万元，下降24.32%，主要原因是：本年学生人数减少，现代职业教育质量提升计划项目、中等职业教育免学费项目、中等职业教育助学金项目等资金较上年减少。</w:t>
      </w:r>
    </w:p>
    <w:p w14:paraId="5CF1E274">
      <w:pPr>
        <w:spacing w:line="640" w:lineRule="exact"/>
        <w:ind w:firstLine="640"/>
        <w:jc w:val="both"/>
        <w:outlineLvl w:val="2"/>
      </w:pPr>
      <w:r>
        <w:rPr>
          <w:rFonts w:ascii="黑体" w:hAnsi="黑体" w:eastAsia="黑体"/>
          <w:sz w:val="32"/>
        </w:rPr>
        <w:t>二、收入决算情况说明</w:t>
      </w:r>
    </w:p>
    <w:p w14:paraId="66161DB6">
      <w:pPr>
        <w:spacing w:line="580" w:lineRule="exact"/>
        <w:ind w:firstLine="640"/>
        <w:jc w:val="both"/>
      </w:pPr>
      <w:r>
        <w:rPr>
          <w:rFonts w:ascii="仿宋_GB2312" w:hAnsi="仿宋_GB2312" w:eastAsia="仿宋_GB2312"/>
          <w:b/>
          <w:sz w:val="32"/>
        </w:rPr>
        <w:t>本年收入3,188.14万元，</w:t>
      </w:r>
      <w:r>
        <w:rPr>
          <w:rFonts w:ascii="仿宋_GB2312" w:hAnsi="仿宋_GB2312" w:eastAsia="仿宋_GB2312"/>
          <w:b w:val="0"/>
          <w:sz w:val="32"/>
        </w:rPr>
        <w:t>其中：财政拨款收入3,188.14万元，占100.00%；上级补助收入0.00万元，占0.00%；事业收入0.00万元，占0.00%；经营收入0.00万元，占0.00%；附属单位上缴收入0.00万元，占0.00%；其他收入0.00万元，占0.00%。</w:t>
      </w:r>
    </w:p>
    <w:p w14:paraId="30260678">
      <w:pPr>
        <w:spacing w:line="640" w:lineRule="exact"/>
        <w:ind w:firstLine="640"/>
        <w:jc w:val="both"/>
        <w:outlineLvl w:val="2"/>
      </w:pPr>
      <w:r>
        <w:rPr>
          <w:rFonts w:ascii="黑体" w:hAnsi="黑体" w:eastAsia="黑体"/>
          <w:sz w:val="32"/>
        </w:rPr>
        <w:t>三、支出决算情况说明</w:t>
      </w:r>
    </w:p>
    <w:p w14:paraId="36A12298">
      <w:pPr>
        <w:spacing w:line="580" w:lineRule="exact"/>
        <w:ind w:firstLine="640"/>
        <w:jc w:val="both"/>
      </w:pPr>
      <w:r>
        <w:rPr>
          <w:rFonts w:ascii="仿宋_GB2312" w:hAnsi="仿宋_GB2312" w:eastAsia="仿宋_GB2312"/>
          <w:b/>
          <w:sz w:val="32"/>
        </w:rPr>
        <w:t>本年支出3,188.14万元，</w:t>
      </w:r>
      <w:r>
        <w:rPr>
          <w:rFonts w:ascii="仿宋_GB2312" w:hAnsi="仿宋_GB2312" w:eastAsia="仿宋_GB2312"/>
          <w:b w:val="0"/>
          <w:sz w:val="32"/>
        </w:rPr>
        <w:t>其中：基本支出2,034.42万元，占63.81%；项目支出1,153.72万元，占36.19%；上缴上级支出0.00万元，占0.00%；经营支出0.00万元，占0.00%；对附属单位补助支出0.00万元，占0.00%。</w:t>
      </w:r>
    </w:p>
    <w:p w14:paraId="326938AB">
      <w:pPr>
        <w:spacing w:line="640" w:lineRule="exact"/>
        <w:ind w:firstLine="640"/>
        <w:jc w:val="both"/>
        <w:outlineLvl w:val="2"/>
      </w:pPr>
      <w:r>
        <w:rPr>
          <w:rFonts w:ascii="黑体" w:hAnsi="黑体" w:eastAsia="黑体"/>
          <w:sz w:val="32"/>
        </w:rPr>
        <w:t>四、财政拨款收入支出决算总体情况说明</w:t>
      </w:r>
    </w:p>
    <w:p w14:paraId="41D0E682">
      <w:pPr>
        <w:spacing w:line="580" w:lineRule="exact"/>
        <w:ind w:firstLine="640"/>
        <w:jc w:val="both"/>
      </w:pPr>
      <w:r>
        <w:rPr>
          <w:rFonts w:ascii="仿宋_GB2312" w:hAnsi="仿宋_GB2312" w:eastAsia="仿宋_GB2312"/>
          <w:b/>
          <w:sz w:val="32"/>
        </w:rPr>
        <w:t>2024年度财政拨款收入总计3,188.14万元，</w:t>
      </w:r>
      <w:r>
        <w:rPr>
          <w:rFonts w:ascii="仿宋_GB2312" w:hAnsi="仿宋_GB2312" w:eastAsia="仿宋_GB2312"/>
          <w:b w:val="0"/>
          <w:sz w:val="32"/>
        </w:rPr>
        <w:t>其中：年初财政拨款结转和结余0.00万元，本年财政拨款收入3,188.14万元。</w:t>
      </w:r>
      <w:r>
        <w:rPr>
          <w:rFonts w:ascii="仿宋_GB2312" w:hAnsi="仿宋_GB2312" w:eastAsia="仿宋_GB2312"/>
          <w:b/>
          <w:sz w:val="32"/>
        </w:rPr>
        <w:t>财政拨款支出总计3,188.14万元，</w:t>
      </w:r>
      <w:r>
        <w:rPr>
          <w:rFonts w:ascii="仿宋_GB2312" w:hAnsi="仿宋_GB2312" w:eastAsia="仿宋_GB2312"/>
          <w:b w:val="0"/>
          <w:sz w:val="32"/>
        </w:rPr>
        <w:t>其中：年末财政拨款结转和结余0.00万元，本年财政拨款支出3,188.14万元。</w:t>
      </w:r>
    </w:p>
    <w:p w14:paraId="3F02F12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减少1,024.67万元，下降24.32%，主要原因是：本年学生人数减少，现代职业教育质量提升计划项目、中等职业教育免学费项目、中等职业教育助学金项目等资金较上年减少。</w:t>
      </w:r>
      <w:r>
        <w:rPr>
          <w:rFonts w:ascii="仿宋_GB2312" w:hAnsi="仿宋_GB2312" w:eastAsia="仿宋_GB2312"/>
          <w:b/>
          <w:sz w:val="32"/>
        </w:rPr>
        <w:t>与年初预算相比，</w:t>
      </w:r>
      <w:r>
        <w:rPr>
          <w:rFonts w:ascii="仿宋_GB2312" w:hAnsi="仿宋_GB2312" w:eastAsia="仿宋_GB2312"/>
          <w:b w:val="0"/>
          <w:sz w:val="32"/>
        </w:rPr>
        <w:t>年初预算数1,961.56万元，决算数3,188.14万元，预决算差异率62.53%，主要原因是：年中追加中等职业学校免住宿免教材费项目、中等职业教育助学金项目、中等职业教育免学费项目，导致预决算存在差异。</w:t>
      </w:r>
    </w:p>
    <w:p w14:paraId="23B656BF">
      <w:pPr>
        <w:spacing w:line="640" w:lineRule="exact"/>
        <w:ind w:firstLine="640"/>
        <w:jc w:val="both"/>
        <w:outlineLvl w:val="2"/>
      </w:pPr>
      <w:r>
        <w:rPr>
          <w:rFonts w:ascii="黑体" w:hAnsi="黑体" w:eastAsia="黑体"/>
          <w:sz w:val="32"/>
        </w:rPr>
        <w:t>五、一般公共预算财政拨款支出决算情况说明</w:t>
      </w:r>
    </w:p>
    <w:p w14:paraId="3ECB4F44">
      <w:pPr>
        <w:spacing w:line="640" w:lineRule="exact"/>
        <w:ind w:firstLine="640"/>
        <w:jc w:val="both"/>
        <w:outlineLvl w:val="3"/>
      </w:pPr>
      <w:r>
        <w:rPr>
          <w:rFonts w:ascii="楷体_GB2312" w:hAnsi="楷体_GB2312" w:eastAsia="楷体_GB2312"/>
          <w:b/>
          <w:sz w:val="32"/>
        </w:rPr>
        <w:t>（一）一般公共预算财政拨款支出决算总体情况</w:t>
      </w:r>
    </w:p>
    <w:p w14:paraId="779ACC61">
      <w:pPr>
        <w:spacing w:line="580" w:lineRule="exact"/>
        <w:ind w:firstLine="640"/>
        <w:jc w:val="both"/>
      </w:pPr>
      <w:r>
        <w:rPr>
          <w:rFonts w:ascii="仿宋_GB2312" w:hAnsi="仿宋_GB2312" w:eastAsia="仿宋_GB2312"/>
          <w:b/>
          <w:sz w:val="32"/>
        </w:rPr>
        <w:t>2024年度一般公共预算财政拨款支出3,188.14万元，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减少1,024.67万元，下降24.32%，主要原因是：本年学生人数减少，现代职业教育质量提升计划项目、中等职业教育免学费项目、中等职业教育助学金项目等资金较上年减少。</w:t>
      </w:r>
      <w:r>
        <w:rPr>
          <w:rFonts w:ascii="仿宋_GB2312" w:hAnsi="仿宋_GB2312" w:eastAsia="仿宋_GB2312"/>
          <w:b/>
          <w:sz w:val="32"/>
        </w:rPr>
        <w:t>与年初预算相比,</w:t>
      </w:r>
      <w:r>
        <w:rPr>
          <w:rFonts w:ascii="仿宋_GB2312" w:hAnsi="仿宋_GB2312" w:eastAsia="仿宋_GB2312"/>
          <w:b w:val="0"/>
          <w:sz w:val="32"/>
        </w:rPr>
        <w:t>年初预算数1,961.56万元，决算数3,188.14万元，预决算差异率62.53%，主要原因是：年中追加中等职业学校免住宿免教材费项目、中等职业教育助学金项目、中等职业教育免学费项目，导致预决算存在差异。</w:t>
      </w:r>
    </w:p>
    <w:p w14:paraId="70EC9F13">
      <w:pPr>
        <w:spacing w:line="640" w:lineRule="exact"/>
        <w:ind w:firstLine="640"/>
        <w:jc w:val="both"/>
        <w:outlineLvl w:val="3"/>
      </w:pPr>
      <w:r>
        <w:rPr>
          <w:rFonts w:ascii="楷体_GB2312" w:hAnsi="楷体_GB2312" w:eastAsia="楷体_GB2312"/>
          <w:b/>
          <w:sz w:val="32"/>
        </w:rPr>
        <w:t>（二）一般公共预算财政拨款支出决算结构情况</w:t>
      </w:r>
    </w:p>
    <w:p w14:paraId="3A020395">
      <w:pPr>
        <w:spacing w:line="580" w:lineRule="exact"/>
        <w:ind w:firstLine="640"/>
        <w:jc w:val="both"/>
      </w:pPr>
      <w:r>
        <w:rPr>
          <w:rFonts w:ascii="仿宋_GB2312" w:hAnsi="仿宋_GB2312" w:eastAsia="仿宋_GB2312"/>
          <w:b w:val="0"/>
          <w:sz w:val="32"/>
        </w:rPr>
        <w:t>1.教育支出(类)2,980.09万元,占93.47%。</w:t>
      </w:r>
    </w:p>
    <w:p w14:paraId="50C3CA5C">
      <w:pPr>
        <w:spacing w:line="580" w:lineRule="exact"/>
        <w:ind w:firstLine="640"/>
        <w:jc w:val="both"/>
      </w:pPr>
      <w:r>
        <w:rPr>
          <w:rFonts w:ascii="仿宋_GB2312" w:hAnsi="仿宋_GB2312" w:eastAsia="仿宋_GB2312"/>
          <w:b w:val="0"/>
          <w:sz w:val="32"/>
        </w:rPr>
        <w:t>2.社会保障和就业支出(类)207.05万元,占6.49%。</w:t>
      </w:r>
    </w:p>
    <w:p w14:paraId="42F33548">
      <w:pPr>
        <w:spacing w:line="580" w:lineRule="exact"/>
        <w:ind w:firstLine="640"/>
        <w:jc w:val="both"/>
      </w:pPr>
      <w:r>
        <w:rPr>
          <w:rFonts w:ascii="仿宋_GB2312" w:hAnsi="仿宋_GB2312" w:eastAsia="仿宋_GB2312"/>
          <w:b w:val="0"/>
          <w:sz w:val="32"/>
        </w:rPr>
        <w:t>3.其他支出(类)1.00万元,占0.03%。</w:t>
      </w:r>
    </w:p>
    <w:p w14:paraId="6AEFF1E4">
      <w:pPr>
        <w:spacing w:line="640" w:lineRule="exact"/>
        <w:ind w:firstLine="640"/>
        <w:jc w:val="both"/>
        <w:outlineLvl w:val="3"/>
      </w:pPr>
      <w:r>
        <w:rPr>
          <w:rFonts w:ascii="楷体_GB2312" w:hAnsi="楷体_GB2312" w:eastAsia="楷体_GB2312"/>
          <w:b/>
          <w:sz w:val="32"/>
        </w:rPr>
        <w:t>（三）一般公共预算财政拨款支出决算具体情况</w:t>
      </w:r>
    </w:p>
    <w:p w14:paraId="3E450CCE">
      <w:pPr>
        <w:spacing w:line="580" w:lineRule="exact"/>
        <w:ind w:firstLine="640"/>
        <w:jc w:val="both"/>
      </w:pPr>
      <w:r>
        <w:rPr>
          <w:rFonts w:ascii="仿宋_GB2312" w:hAnsi="仿宋_GB2312" w:eastAsia="仿宋_GB2312"/>
          <w:b w:val="0"/>
          <w:sz w:val="32"/>
        </w:rPr>
        <w:t>1.教育支出(类)职业教育(款)中等职业教育(项):支出决算数为2,980.09万元，比上年决算减少991.88万元，下降24.97%,主要原因是：本年学生人数减少，现代职业教育质量提升计划项目、中等职业教育免学费项目、中等职业教育助学金项目等资金较上年减少；本年</w:t>
      </w:r>
      <w:r>
        <w:rPr>
          <w:rFonts w:hint="eastAsia" w:ascii="仿宋_GB2312" w:hAnsi="仿宋_GB2312" w:eastAsia="仿宋_GB2312"/>
          <w:b w:val="0"/>
          <w:sz w:val="32"/>
          <w:lang w:val="en-US" w:eastAsia="zh-CN"/>
        </w:rPr>
        <w:t>功能</w:t>
      </w:r>
      <w:r>
        <w:rPr>
          <w:rFonts w:ascii="仿宋_GB2312" w:hAnsi="仿宋_GB2312" w:eastAsia="仿宋_GB2312"/>
          <w:b w:val="0"/>
          <w:sz w:val="32"/>
        </w:rPr>
        <w:t>科目调整，援疆干部补贴经费上年在主科目列支，本年调整至其他支出科目列支，导致经费较上年减少。</w:t>
      </w:r>
    </w:p>
    <w:p w14:paraId="4ED2327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207.05万元，比上年决算增加3.95万元，增长1.94%,主要原因是：本年在职人员增加，养老保险缴费较上年增加。</w:t>
      </w:r>
    </w:p>
    <w:p w14:paraId="2F32900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37.75万元，下降100.00%,主要原因是：本年无新增退休人员，职业年金缴费较上年减少。</w:t>
      </w:r>
    </w:p>
    <w:p w14:paraId="326C4487">
      <w:pPr>
        <w:spacing w:line="580" w:lineRule="exact"/>
        <w:ind w:firstLine="640"/>
        <w:jc w:val="both"/>
      </w:pPr>
      <w:r>
        <w:rPr>
          <w:rFonts w:ascii="仿宋_GB2312" w:hAnsi="仿宋_GB2312" w:eastAsia="仿宋_GB2312"/>
          <w:b w:val="0"/>
          <w:sz w:val="32"/>
        </w:rPr>
        <w:t>4.其他支出(类)其他支出(款)其他支出(项):支出决算数为1.00万元，比上年决算增加1.00万元，增长100.00%,主要原因是：本年</w:t>
      </w:r>
      <w:r>
        <w:rPr>
          <w:rFonts w:hint="eastAsia" w:ascii="仿宋_GB2312" w:hAnsi="仿宋_GB2312" w:eastAsia="仿宋_GB2312"/>
          <w:b w:val="0"/>
          <w:sz w:val="32"/>
          <w:lang w:val="en-US" w:eastAsia="zh-CN"/>
        </w:rPr>
        <w:t>功能</w:t>
      </w:r>
      <w:bookmarkStart w:id="0" w:name="_GoBack"/>
      <w:bookmarkEnd w:id="0"/>
      <w:r>
        <w:rPr>
          <w:rFonts w:ascii="仿宋_GB2312" w:hAnsi="仿宋_GB2312" w:eastAsia="仿宋_GB2312"/>
          <w:b w:val="0"/>
          <w:sz w:val="32"/>
        </w:rPr>
        <w:t>科目调整，援疆干部补贴经费上年在主科目列支，本年调整至其他支出科目列支，导致经费较上年增加。</w:t>
      </w:r>
    </w:p>
    <w:p w14:paraId="5F30F54E">
      <w:pPr>
        <w:spacing w:line="640" w:lineRule="exact"/>
        <w:ind w:firstLine="640"/>
        <w:jc w:val="both"/>
        <w:outlineLvl w:val="2"/>
      </w:pPr>
      <w:r>
        <w:rPr>
          <w:rFonts w:ascii="黑体" w:hAnsi="黑体" w:eastAsia="黑体"/>
          <w:sz w:val="32"/>
        </w:rPr>
        <w:t>六、一般公共预算财政拨款基本支出决算情况说明</w:t>
      </w:r>
    </w:p>
    <w:p w14:paraId="04F419C9">
      <w:pPr>
        <w:spacing w:line="580" w:lineRule="exact"/>
        <w:ind w:firstLine="640"/>
        <w:jc w:val="both"/>
      </w:pPr>
      <w:r>
        <w:rPr>
          <w:rFonts w:ascii="仿宋_GB2312" w:hAnsi="仿宋_GB2312" w:eastAsia="仿宋_GB2312"/>
          <w:b w:val="0"/>
          <w:sz w:val="32"/>
        </w:rPr>
        <w:t>2024年度一般公共预算财政拨款基本支出2,034.42万元，其中：</w:t>
      </w:r>
      <w:r>
        <w:rPr>
          <w:rFonts w:ascii="仿宋_GB2312" w:hAnsi="仿宋_GB2312" w:eastAsia="仿宋_GB2312"/>
          <w:b/>
          <w:sz w:val="32"/>
        </w:rPr>
        <w:t>人员经费2,034.42万元，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w:t>
      </w:r>
    </w:p>
    <w:p w14:paraId="53C23C9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50011DE">
      <w:pPr>
        <w:spacing w:line="640" w:lineRule="exact"/>
        <w:ind w:firstLine="640"/>
        <w:jc w:val="both"/>
        <w:outlineLvl w:val="2"/>
      </w:pPr>
      <w:r>
        <w:rPr>
          <w:rFonts w:ascii="黑体" w:hAnsi="黑体" w:eastAsia="黑体"/>
          <w:sz w:val="32"/>
        </w:rPr>
        <w:t>七、政府性基金预算财政拨款收入支出决算情况说明</w:t>
      </w:r>
    </w:p>
    <w:p w14:paraId="3B91179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3FEE7C1">
      <w:pPr>
        <w:spacing w:line="640" w:lineRule="exact"/>
        <w:ind w:firstLine="640"/>
        <w:jc w:val="both"/>
        <w:outlineLvl w:val="2"/>
      </w:pPr>
      <w:r>
        <w:rPr>
          <w:rFonts w:ascii="黑体" w:hAnsi="黑体" w:eastAsia="黑体"/>
          <w:sz w:val="32"/>
        </w:rPr>
        <w:t>八、国有资本经营预算财政拨款收入支出决算情况说明</w:t>
      </w:r>
    </w:p>
    <w:p w14:paraId="3D2BA21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7EDEC5">
      <w:pPr>
        <w:spacing w:line="640" w:lineRule="exact"/>
        <w:ind w:firstLine="640"/>
        <w:jc w:val="both"/>
        <w:outlineLvl w:val="2"/>
      </w:pPr>
      <w:r>
        <w:rPr>
          <w:rFonts w:ascii="黑体" w:hAnsi="黑体" w:eastAsia="黑体"/>
          <w:sz w:val="32"/>
        </w:rPr>
        <w:t>九、财政拨款“三公”经费支出决算情况说明</w:t>
      </w:r>
    </w:p>
    <w:p w14:paraId="0FB1423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776E3E">
      <w:pPr>
        <w:spacing w:line="580" w:lineRule="exact"/>
        <w:ind w:firstLine="640"/>
        <w:jc w:val="both"/>
      </w:pPr>
      <w:r>
        <w:rPr>
          <w:rFonts w:ascii="仿宋_GB2312" w:hAnsi="仿宋_GB2312" w:eastAsia="仿宋_GB2312"/>
          <w:b/>
          <w:sz w:val="32"/>
        </w:rPr>
        <w:t>具体情况如下：</w:t>
      </w:r>
    </w:p>
    <w:p w14:paraId="5DAA2B0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8D735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8C021D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8B1B6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4D2561">
      <w:pPr>
        <w:spacing w:line="640" w:lineRule="exact"/>
        <w:ind w:firstLine="640"/>
        <w:jc w:val="both"/>
        <w:outlineLvl w:val="2"/>
      </w:pPr>
      <w:r>
        <w:rPr>
          <w:rFonts w:ascii="黑体" w:hAnsi="黑体" w:eastAsia="黑体"/>
          <w:sz w:val="32"/>
        </w:rPr>
        <w:t>十、其他重要事项的情况说明</w:t>
      </w:r>
    </w:p>
    <w:p w14:paraId="6EA68E62">
      <w:pPr>
        <w:spacing w:line="640" w:lineRule="exact"/>
        <w:ind w:firstLine="640"/>
        <w:jc w:val="both"/>
        <w:outlineLvl w:val="3"/>
      </w:pPr>
      <w:r>
        <w:rPr>
          <w:rFonts w:ascii="楷体_GB2312" w:hAnsi="楷体_GB2312" w:eastAsia="楷体_GB2312"/>
          <w:b/>
          <w:sz w:val="32"/>
        </w:rPr>
        <w:t>（一）机关运行经费及公用经费支出情况</w:t>
      </w:r>
    </w:p>
    <w:p w14:paraId="678F3C8F">
      <w:pPr>
        <w:spacing w:line="580" w:lineRule="exact"/>
        <w:ind w:firstLine="640"/>
        <w:jc w:val="both"/>
      </w:pPr>
      <w:r>
        <w:rPr>
          <w:rFonts w:ascii="仿宋_GB2312" w:hAnsi="仿宋_GB2312" w:eastAsia="仿宋_GB2312"/>
          <w:b w:val="0"/>
          <w:sz w:val="32"/>
        </w:rPr>
        <w:t>2024年度麦盖提县中等职业技术学校（事业单位）公用经费支出0.00万元，比上年增加0.00万元，增长0.00%，主要原因是：2023年与2024年均未安排公用经费支出。</w:t>
      </w:r>
    </w:p>
    <w:p w14:paraId="07B84203">
      <w:pPr>
        <w:spacing w:line="640" w:lineRule="exact"/>
        <w:ind w:firstLine="640"/>
        <w:jc w:val="both"/>
        <w:outlineLvl w:val="3"/>
      </w:pPr>
      <w:r>
        <w:rPr>
          <w:rFonts w:ascii="楷体_GB2312" w:hAnsi="楷体_GB2312" w:eastAsia="楷体_GB2312"/>
          <w:b/>
          <w:sz w:val="32"/>
        </w:rPr>
        <w:t>（二）政府采购情况</w:t>
      </w:r>
    </w:p>
    <w:p w14:paraId="504129A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9263AD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DA7912E">
      <w:pPr>
        <w:spacing w:line="640" w:lineRule="exact"/>
        <w:ind w:firstLine="640"/>
        <w:jc w:val="both"/>
        <w:outlineLvl w:val="3"/>
      </w:pPr>
      <w:r>
        <w:rPr>
          <w:rFonts w:ascii="楷体_GB2312" w:hAnsi="楷体_GB2312" w:eastAsia="楷体_GB2312"/>
          <w:b/>
          <w:sz w:val="32"/>
        </w:rPr>
        <w:t>（三）国有资产占用情况说明</w:t>
      </w:r>
    </w:p>
    <w:p w14:paraId="567FC935">
      <w:pPr>
        <w:spacing w:line="580" w:lineRule="exact"/>
        <w:ind w:firstLine="640"/>
        <w:jc w:val="both"/>
      </w:pPr>
      <w:r>
        <w:rPr>
          <w:rFonts w:ascii="仿宋_GB2312" w:hAnsi="仿宋_GB2312" w:eastAsia="仿宋_GB2312"/>
          <w:b w:val="0"/>
          <w:sz w:val="32"/>
        </w:rPr>
        <w:t>截至2024年12月31日，房屋49,810.76平方米，价值10,490.80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742109CD">
      <w:pPr>
        <w:spacing w:line="640" w:lineRule="exact"/>
        <w:ind w:firstLine="640"/>
        <w:jc w:val="both"/>
        <w:outlineLvl w:val="2"/>
      </w:pPr>
      <w:r>
        <w:rPr>
          <w:rFonts w:ascii="黑体" w:hAnsi="黑体" w:eastAsia="黑体"/>
          <w:sz w:val="32"/>
        </w:rPr>
        <w:t>十一、预算绩效的情况说明</w:t>
      </w:r>
    </w:p>
    <w:p w14:paraId="1CCD6B1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0B076B9C">
      <w:r>
        <w:br w:type="page"/>
      </w:r>
    </w:p>
    <w:p w14:paraId="1DE3A84E">
      <w:pPr>
        <w:spacing w:line="640" w:lineRule="exact"/>
        <w:ind w:firstLine="640"/>
        <w:jc w:val="both"/>
        <w:outlineLvl w:val="2"/>
      </w:pPr>
      <w:r>
        <w:rPr>
          <w:rFonts w:ascii="黑体" w:hAnsi="黑体" w:eastAsia="黑体"/>
          <w:sz w:val="32"/>
        </w:rPr>
        <w:t>十二、其他需说明的事项</w:t>
      </w:r>
    </w:p>
    <w:p w14:paraId="120157D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17371C8">
      <w:pPr>
        <w:spacing w:line="580" w:lineRule="exact"/>
        <w:ind w:firstLine="640"/>
        <w:jc w:val="both"/>
      </w:pPr>
      <w:r>
        <w:rPr>
          <w:rFonts w:ascii="仿宋_GB2312" w:hAnsi="仿宋_GB2312" w:eastAsia="仿宋_GB2312"/>
          <w:b w:val="0"/>
          <w:sz w:val="32"/>
        </w:rPr>
        <w:t>本年度本单位整体绩效自评表由麦盖提县教育局编报并公开。</w:t>
      </w:r>
    </w:p>
    <w:p w14:paraId="5489B449">
      <w:r>
        <w:br w:type="page"/>
      </w:r>
    </w:p>
    <w:p w14:paraId="3FC9B9A3">
      <w:pPr>
        <w:spacing w:line="240" w:lineRule="auto"/>
        <w:jc w:val="center"/>
        <w:outlineLvl w:val="1"/>
      </w:pPr>
      <w:r>
        <w:rPr>
          <w:rFonts w:ascii="黑体" w:hAnsi="黑体" w:eastAsia="黑体"/>
          <w:sz w:val="32"/>
        </w:rPr>
        <w:t>第三部分 专业名词解释</w:t>
      </w:r>
    </w:p>
    <w:p w14:paraId="46BEF07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A940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BDC5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BB1C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88A1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D29EC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02F05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35EA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5787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C71F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A532C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E5DE0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EE9B0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1792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1B2E01">
      <w:r>
        <w:br w:type="page"/>
      </w:r>
    </w:p>
    <w:p w14:paraId="261A9025">
      <w:pPr>
        <w:spacing w:line="240" w:lineRule="auto"/>
        <w:jc w:val="center"/>
        <w:outlineLvl w:val="1"/>
      </w:pPr>
      <w:r>
        <w:rPr>
          <w:rFonts w:ascii="黑体" w:hAnsi="黑体" w:eastAsia="黑体"/>
          <w:sz w:val="32"/>
        </w:rPr>
        <w:t>第四部分 部门决算报表（见附表）</w:t>
      </w:r>
    </w:p>
    <w:p w14:paraId="625E32BB">
      <w:pPr>
        <w:spacing w:line="240" w:lineRule="auto"/>
        <w:ind w:firstLine="640"/>
        <w:jc w:val="both"/>
      </w:pPr>
      <w:r>
        <w:rPr>
          <w:rFonts w:ascii="仿宋_GB2312" w:hAnsi="仿宋_GB2312" w:eastAsia="仿宋_GB2312"/>
          <w:b w:val="0"/>
          <w:sz w:val="32"/>
        </w:rPr>
        <w:t>一、《收入支出决算总表》</w:t>
      </w:r>
    </w:p>
    <w:p w14:paraId="5505362F">
      <w:pPr>
        <w:spacing w:line="240" w:lineRule="auto"/>
        <w:ind w:firstLine="640"/>
        <w:jc w:val="both"/>
      </w:pPr>
      <w:r>
        <w:rPr>
          <w:rFonts w:ascii="仿宋_GB2312" w:hAnsi="仿宋_GB2312" w:eastAsia="仿宋_GB2312"/>
          <w:b w:val="0"/>
          <w:sz w:val="32"/>
        </w:rPr>
        <w:t>二、《收入决算表》</w:t>
      </w:r>
    </w:p>
    <w:p w14:paraId="6EE2C231">
      <w:pPr>
        <w:spacing w:line="240" w:lineRule="auto"/>
        <w:ind w:firstLine="640"/>
        <w:jc w:val="both"/>
      </w:pPr>
      <w:r>
        <w:rPr>
          <w:rFonts w:ascii="仿宋_GB2312" w:hAnsi="仿宋_GB2312" w:eastAsia="仿宋_GB2312"/>
          <w:b w:val="0"/>
          <w:sz w:val="32"/>
        </w:rPr>
        <w:t>三、《支出决算表》</w:t>
      </w:r>
    </w:p>
    <w:p w14:paraId="56FDD3A0">
      <w:pPr>
        <w:spacing w:line="240" w:lineRule="auto"/>
        <w:ind w:firstLine="640"/>
        <w:jc w:val="both"/>
      </w:pPr>
      <w:r>
        <w:rPr>
          <w:rFonts w:ascii="仿宋_GB2312" w:hAnsi="仿宋_GB2312" w:eastAsia="仿宋_GB2312"/>
          <w:b w:val="0"/>
          <w:sz w:val="32"/>
        </w:rPr>
        <w:t>四、《财政拨款收入支出决算总表》</w:t>
      </w:r>
    </w:p>
    <w:p w14:paraId="5EB448E8">
      <w:pPr>
        <w:spacing w:line="240" w:lineRule="auto"/>
        <w:ind w:firstLine="640"/>
        <w:jc w:val="both"/>
      </w:pPr>
      <w:r>
        <w:rPr>
          <w:rFonts w:ascii="仿宋_GB2312" w:hAnsi="仿宋_GB2312" w:eastAsia="仿宋_GB2312"/>
          <w:b w:val="0"/>
          <w:sz w:val="32"/>
        </w:rPr>
        <w:t>五、《一般公共预算财政拨款支出决算表》</w:t>
      </w:r>
    </w:p>
    <w:p w14:paraId="0DF8C263">
      <w:pPr>
        <w:spacing w:line="240" w:lineRule="auto"/>
        <w:ind w:firstLine="640"/>
        <w:jc w:val="both"/>
      </w:pPr>
      <w:r>
        <w:rPr>
          <w:rFonts w:ascii="仿宋_GB2312" w:hAnsi="仿宋_GB2312" w:eastAsia="仿宋_GB2312"/>
          <w:b w:val="0"/>
          <w:sz w:val="32"/>
        </w:rPr>
        <w:t>六、《一般公共预算财政拨款基本支出决算表》</w:t>
      </w:r>
    </w:p>
    <w:p w14:paraId="175CA4FD">
      <w:pPr>
        <w:spacing w:line="240" w:lineRule="auto"/>
        <w:ind w:firstLine="640"/>
        <w:jc w:val="both"/>
      </w:pPr>
      <w:r>
        <w:rPr>
          <w:rFonts w:ascii="仿宋_GB2312" w:hAnsi="仿宋_GB2312" w:eastAsia="仿宋_GB2312"/>
          <w:b w:val="0"/>
          <w:sz w:val="32"/>
        </w:rPr>
        <w:t>七、《政府性基金预算财政拨款收入支出决算表》</w:t>
      </w:r>
    </w:p>
    <w:p w14:paraId="0A8F2EE3">
      <w:pPr>
        <w:spacing w:line="240" w:lineRule="auto"/>
        <w:ind w:firstLine="640"/>
        <w:jc w:val="both"/>
      </w:pPr>
      <w:r>
        <w:rPr>
          <w:rFonts w:ascii="仿宋_GB2312" w:hAnsi="仿宋_GB2312" w:eastAsia="仿宋_GB2312"/>
          <w:b w:val="0"/>
          <w:sz w:val="32"/>
        </w:rPr>
        <w:t>八、《国有资本经营预算财政拨款收入支出决算表》</w:t>
      </w:r>
    </w:p>
    <w:p w14:paraId="727E9B74">
      <w:pPr>
        <w:spacing w:line="240" w:lineRule="auto"/>
        <w:ind w:firstLine="640"/>
        <w:jc w:val="both"/>
      </w:pPr>
      <w:r>
        <w:rPr>
          <w:rFonts w:ascii="仿宋_GB2312" w:hAnsi="仿宋_GB2312" w:eastAsia="仿宋_GB2312"/>
          <w:b w:val="0"/>
          <w:sz w:val="32"/>
        </w:rPr>
        <w:t>九、《财政拨款“三公”经费支出决算表》</w:t>
      </w:r>
    </w:p>
    <w:p w14:paraId="01D00574">
      <w:pPr>
        <w:spacing w:line="240" w:lineRule="auto"/>
        <w:ind w:firstLine="640"/>
        <w:jc w:val="both"/>
      </w:pPr>
    </w:p>
    <w:p w14:paraId="4049BDFC">
      <w:pPr>
        <w:spacing w:line="240" w:lineRule="auto"/>
        <w:ind w:firstLine="640"/>
        <w:jc w:val="both"/>
      </w:pPr>
    </w:p>
    <w:p w14:paraId="1ACA6C09">
      <w:pPr>
        <w:spacing w:line="240" w:lineRule="auto"/>
        <w:ind w:firstLine="640"/>
        <w:jc w:val="both"/>
      </w:pPr>
    </w:p>
    <w:p w14:paraId="72415521">
      <w:pPr>
        <w:spacing w:line="240" w:lineRule="auto"/>
        <w:ind w:firstLine="640"/>
        <w:jc w:val="both"/>
      </w:pPr>
    </w:p>
    <w:p w14:paraId="69913F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50A740-8492-42A0-B001-E8F6984311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FF70ECF-ADAE-4DFF-8AA5-47F31EA7AC4C}"/>
  </w:font>
  <w:font w:name="仿宋_GB2312">
    <w:panose1 w:val="02010609030101010101"/>
    <w:charset w:val="86"/>
    <w:family w:val="modern"/>
    <w:pitch w:val="default"/>
    <w:sig w:usb0="00000001" w:usb1="080E0000" w:usb2="00000000" w:usb3="00000000" w:csb0="00040000" w:csb1="00000000"/>
    <w:embedRegular r:id="rId3" w:fontKey="{98231A7F-9A58-4AA2-BA00-B6124B152D4D}"/>
  </w:font>
  <w:font w:name="楷体_GB2312">
    <w:panose1 w:val="02010609030101010101"/>
    <w:charset w:val="86"/>
    <w:family w:val="auto"/>
    <w:pitch w:val="default"/>
    <w:sig w:usb0="00000001" w:usb1="080E0000" w:usb2="00000000" w:usb3="00000000" w:csb0="00040000" w:csb1="00000000"/>
    <w:embedRegular r:id="rId4" w:fontKey="{CAF397C3-CACA-4E1C-8929-6C5128C229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260D47"/>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EB553A"/>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5074</Words>
  <Characters>5723</Characters>
  <Lines>0</Lines>
  <Paragraphs>0</Paragraphs>
  <TotalTime>1</TotalTime>
  <ScaleCrop>false</ScaleCrop>
  <LinksUpToDate>false</LinksUpToDate>
  <CharactersWithSpaces>5733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2025-08-29T09:12:33Z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