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98E6D20">
      <w:r>
        <w:br w:type="page"/>
      </w:r>
    </w:p>
    <w:p w14:paraId="6AB6A4C1">
      <w:pPr>
        <w:spacing w:line="640" w:lineRule="exact"/>
        <w:jc w:val="center"/>
        <w:outlineLvl w:val="1"/>
      </w:pPr>
      <w:r>
        <w:rPr>
          <w:rFonts w:ascii="黑体" w:hAnsi="黑体" w:eastAsia="黑体"/>
          <w:sz w:val="32"/>
        </w:rPr>
        <w:t>第一部分 单位概况</w:t>
      </w:r>
    </w:p>
    <w:p w14:paraId="3DB35B32">
      <w:pPr>
        <w:spacing w:line="640" w:lineRule="exact"/>
        <w:ind w:firstLine="640"/>
        <w:jc w:val="both"/>
        <w:outlineLvl w:val="2"/>
      </w:pPr>
      <w:r>
        <w:rPr>
          <w:rFonts w:ascii="黑体" w:hAnsi="黑体" w:eastAsia="黑体"/>
          <w:sz w:val="32"/>
        </w:rPr>
        <w:t>一、主要职能</w:t>
      </w:r>
    </w:p>
    <w:p w14:paraId="5C885335">
      <w:pPr>
        <w:spacing w:line="580" w:lineRule="exact"/>
        <w:ind w:firstLine="640"/>
        <w:jc w:val="both"/>
      </w:pPr>
      <w:r>
        <w:rPr>
          <w:rFonts w:ascii="仿宋_GB2312" w:hAnsi="仿宋_GB2312" w:eastAsia="仿宋_GB2312"/>
          <w:sz w:val="32"/>
        </w:rPr>
        <w:t>我单位在县委、县人民政府领导下，负责贯彻落实新时代党的组织路线和以习近平同志为核心的</w:t>
      </w:r>
      <w:r>
        <w:rPr>
          <w:rFonts w:hint="eastAsia" w:ascii="仿宋_GB2312" w:hAnsi="仿宋_GB2312" w:eastAsia="仿宋_GB2312"/>
          <w:sz w:val="32"/>
          <w:lang w:eastAsia="zh-CN"/>
        </w:rPr>
        <w:t>党中央</w:t>
      </w:r>
      <w:r>
        <w:rPr>
          <w:rFonts w:ascii="仿宋_GB2312" w:hAnsi="仿宋_GB2312" w:eastAsia="仿宋_GB2312"/>
          <w:sz w:val="32"/>
        </w:rPr>
        <w:t>治疆方略、聚焦服务社会稳定和长治久安总目标，落实党中央、自治区党委、地委和县委关于组织体系、领导班子建设，领导干部队伍、公务员队伍、人才队伍、离退休干部建设的方针政策和决策部署。主要职责是。</w:t>
      </w:r>
    </w:p>
    <w:p w14:paraId="6AF5043C">
      <w:pPr>
        <w:spacing w:line="580" w:lineRule="exact"/>
        <w:ind w:firstLine="640"/>
        <w:jc w:val="both"/>
      </w:pPr>
      <w:r>
        <w:rPr>
          <w:rFonts w:ascii="仿宋_GB2312" w:hAnsi="仿宋_GB2312" w:eastAsia="仿宋_GB2312"/>
          <w:sz w:val="32"/>
        </w:rPr>
        <w:t>麦盖提县人民医院是一所综合性国家二级甲等医院，贯彻执行国家、自治区和地区有关公立医院工作的方针、政策、法律和法规；主要职责：担负着全县各族人民群众的医疗、预防、保健、急救、康复、医学科研和全县医疗卫生人员的专业技术培训工作。</w:t>
      </w:r>
    </w:p>
    <w:p w14:paraId="0BA66744">
      <w:pPr>
        <w:spacing w:line="640" w:lineRule="exact"/>
        <w:ind w:firstLine="640"/>
        <w:jc w:val="both"/>
        <w:outlineLvl w:val="2"/>
      </w:pPr>
      <w:r>
        <w:rPr>
          <w:rFonts w:ascii="黑体" w:hAnsi="黑体" w:eastAsia="黑体"/>
          <w:sz w:val="32"/>
        </w:rPr>
        <w:t>二、机构设置及人员情况</w:t>
      </w:r>
    </w:p>
    <w:p w14:paraId="11AC1D8A">
      <w:pPr>
        <w:spacing w:line="580" w:lineRule="exact"/>
        <w:ind w:firstLine="640"/>
        <w:jc w:val="both"/>
      </w:pPr>
      <w:r>
        <w:rPr>
          <w:rFonts w:ascii="仿宋_GB2312" w:hAnsi="仿宋_GB2312" w:eastAsia="仿宋_GB2312"/>
          <w:sz w:val="32"/>
        </w:rPr>
        <w:t>麦盖提县人民医院2024年度，实有人数381人，其中：在职人员248人，增加21人；离休人员0人，增加0人；退休人员133人,增加7人。</w:t>
      </w:r>
    </w:p>
    <w:p w14:paraId="3C9BABB9">
      <w:pPr>
        <w:spacing w:line="580" w:lineRule="exact"/>
        <w:ind w:firstLine="640"/>
        <w:jc w:val="both"/>
      </w:pPr>
      <w:r>
        <w:rPr>
          <w:rFonts w:ascii="仿宋_GB2312" w:hAnsi="仿宋_GB2312" w:eastAsia="仿宋_GB2312"/>
          <w:sz w:val="32"/>
        </w:rPr>
        <w:t>麦盖提县人民医院无下属预算单位，下设55个科室，分别是：院办、人事科、工会、医务科、医患纠纷办、护理部、内审经管办、院感办、科教科、公共卫生科、质控科、病案室、财务科、招采办、保卫科、网络中心、后勤、设备科、五官、眼科、儿科、新生儿科、妇科、产科、急诊科、重症医学科、药剂科、检验科、输血科、功能科、放射科、供应室、综合科、心脑血管肾病科、消化、内分泌老年病医学科、呼吸与危重症医学科、高血压、神经内科、精神卫生科、普外、肝胆胰外科、骨科、神经外科、泌尿、烧伤、肛肠、小儿外科、门诊、发热门诊、中医康复科、感染科、麻醉科、手术室、血液透析室。</w:t>
      </w:r>
    </w:p>
    <w:p w14:paraId="698D1D4A">
      <w:r>
        <w:br w:type="page"/>
      </w:r>
    </w:p>
    <w:p w14:paraId="28C78B94">
      <w:pPr>
        <w:spacing w:line="240" w:lineRule="auto"/>
        <w:jc w:val="center"/>
        <w:outlineLvl w:val="1"/>
      </w:pPr>
      <w:r>
        <w:rPr>
          <w:rFonts w:ascii="黑体" w:hAnsi="黑体" w:eastAsia="黑体"/>
          <w:sz w:val="32"/>
        </w:rPr>
        <w:t>第二部分 部门决算情况说明</w:t>
      </w:r>
    </w:p>
    <w:p w14:paraId="20D4CEDD">
      <w:pPr>
        <w:spacing w:line="640" w:lineRule="exact"/>
        <w:ind w:firstLine="640"/>
        <w:jc w:val="both"/>
        <w:outlineLvl w:val="2"/>
      </w:pPr>
      <w:r>
        <w:rPr>
          <w:rFonts w:ascii="黑体" w:hAnsi="黑体" w:eastAsia="黑体"/>
          <w:sz w:val="32"/>
        </w:rPr>
        <w:t>一、收入支出决算总体情况说明</w:t>
      </w:r>
    </w:p>
    <w:p w14:paraId="6E17599E">
      <w:pPr>
        <w:spacing w:line="580" w:lineRule="exact"/>
        <w:ind w:firstLine="640"/>
        <w:jc w:val="both"/>
      </w:pPr>
      <w:r>
        <w:rPr>
          <w:rFonts w:ascii="仿宋_GB2312" w:hAnsi="仿宋_GB2312" w:eastAsia="仿宋_GB2312"/>
          <w:b/>
          <w:sz w:val="32"/>
        </w:rPr>
        <w:t>2024年度收入总计19,110.73万元，</w:t>
      </w:r>
      <w:r>
        <w:rPr>
          <w:rFonts w:ascii="仿宋_GB2312" w:hAnsi="仿宋_GB2312" w:eastAsia="仿宋_GB2312"/>
          <w:b w:val="0"/>
          <w:sz w:val="32"/>
        </w:rPr>
        <w:t>其中：本年收入合计19,110.73万元，使用非财政拨款结余（含专用结余）0.00万元，年初结转和结余0.00万元。</w:t>
      </w:r>
    </w:p>
    <w:p w14:paraId="29EBA9CA">
      <w:pPr>
        <w:spacing w:line="580" w:lineRule="exact"/>
        <w:ind w:firstLine="640"/>
        <w:jc w:val="both"/>
      </w:pPr>
      <w:r>
        <w:rPr>
          <w:rFonts w:ascii="仿宋_GB2312" w:hAnsi="仿宋_GB2312" w:eastAsia="仿宋_GB2312"/>
          <w:b/>
          <w:sz w:val="32"/>
        </w:rPr>
        <w:t>2024年度支出总计19,110.73万元，</w:t>
      </w:r>
      <w:r>
        <w:rPr>
          <w:rFonts w:ascii="仿宋_GB2312" w:hAnsi="仿宋_GB2312" w:eastAsia="仿宋_GB2312"/>
          <w:b w:val="0"/>
          <w:sz w:val="32"/>
        </w:rPr>
        <w:t>其中：本年支出合计17,445.77万元，结余分配0.00万元，年末结转和结余1,664.96万元。</w:t>
      </w:r>
    </w:p>
    <w:p w14:paraId="1226F7BA">
      <w:pPr>
        <w:spacing w:line="580" w:lineRule="exact"/>
        <w:ind w:firstLine="640"/>
        <w:jc w:val="both"/>
      </w:pPr>
      <w:r>
        <w:rPr>
          <w:rFonts w:ascii="仿宋_GB2312" w:hAnsi="仿宋_GB2312" w:eastAsia="仿宋_GB2312"/>
          <w:b w:val="0"/>
          <w:sz w:val="32"/>
        </w:rPr>
        <w:t>收入支出总体与上年相比，减少1,067.31万元，下降5.29%，主要原因是：本年看病就诊人员减少，医疗收入减少；上年收到以前年度租金收入，本年单位房屋出租减少，租金收入减少。</w:t>
      </w:r>
    </w:p>
    <w:p w14:paraId="762C1789">
      <w:pPr>
        <w:spacing w:line="640" w:lineRule="exact"/>
        <w:ind w:firstLine="640"/>
        <w:jc w:val="both"/>
        <w:outlineLvl w:val="2"/>
      </w:pPr>
      <w:r>
        <w:rPr>
          <w:rFonts w:ascii="黑体" w:hAnsi="黑体" w:eastAsia="黑体"/>
          <w:sz w:val="32"/>
        </w:rPr>
        <w:t>二、收入决算情况说明</w:t>
      </w:r>
    </w:p>
    <w:p w14:paraId="152CB7C3">
      <w:pPr>
        <w:spacing w:line="580" w:lineRule="exact"/>
        <w:ind w:firstLine="640"/>
        <w:jc w:val="both"/>
      </w:pPr>
      <w:r>
        <w:rPr>
          <w:rFonts w:ascii="仿宋_GB2312" w:hAnsi="仿宋_GB2312" w:eastAsia="仿宋_GB2312"/>
          <w:b/>
          <w:sz w:val="32"/>
        </w:rPr>
        <w:t>本年收入19,110.73万元，</w:t>
      </w:r>
      <w:r>
        <w:rPr>
          <w:rFonts w:ascii="仿宋_GB2312" w:hAnsi="仿宋_GB2312" w:eastAsia="仿宋_GB2312"/>
          <w:b w:val="0"/>
          <w:sz w:val="32"/>
        </w:rPr>
        <w:t>其中：财政拨款收入3,652.14万元，占19.11%；上级补助收入0.00万元，占0.00%；事业收入15,073.53万元，占78.87%；经营收入0.00万元，占0.00%；附属单位上缴收入0.00万元，占0.00%；其他收入385.06万元，占2.01%。</w:t>
      </w:r>
    </w:p>
    <w:p w14:paraId="32E1402E">
      <w:pPr>
        <w:spacing w:line="640" w:lineRule="exact"/>
        <w:ind w:firstLine="640"/>
        <w:jc w:val="both"/>
        <w:outlineLvl w:val="2"/>
      </w:pPr>
      <w:r>
        <w:rPr>
          <w:rFonts w:ascii="黑体" w:hAnsi="黑体" w:eastAsia="黑体"/>
          <w:sz w:val="32"/>
        </w:rPr>
        <w:t>三、支出决算情况说明</w:t>
      </w:r>
    </w:p>
    <w:p w14:paraId="0F88E65B">
      <w:pPr>
        <w:spacing w:line="580" w:lineRule="exact"/>
        <w:ind w:firstLine="640"/>
        <w:jc w:val="both"/>
      </w:pPr>
      <w:r>
        <w:rPr>
          <w:rFonts w:ascii="仿宋_GB2312" w:hAnsi="仿宋_GB2312" w:eastAsia="仿宋_GB2312"/>
          <w:b/>
          <w:sz w:val="32"/>
        </w:rPr>
        <w:t>本年支出17,445.77万元，</w:t>
      </w:r>
      <w:r>
        <w:rPr>
          <w:rFonts w:ascii="仿宋_GB2312" w:hAnsi="仿宋_GB2312" w:eastAsia="仿宋_GB2312"/>
          <w:b w:val="0"/>
          <w:sz w:val="32"/>
        </w:rPr>
        <w:t>其中：基本支出16,525.41万元，占94.72%；项目支出920.36万元，占5.28%；上缴上级支出0.00万元，占0.00%；经营支出0.00万元，占0.00%；对附属单位补助支出0.00万元，占0.00%。</w:t>
      </w:r>
    </w:p>
    <w:p w14:paraId="13DD02A7">
      <w:pPr>
        <w:spacing w:line="640" w:lineRule="exact"/>
        <w:ind w:firstLine="640"/>
        <w:jc w:val="both"/>
        <w:outlineLvl w:val="2"/>
      </w:pPr>
      <w:r>
        <w:rPr>
          <w:rFonts w:ascii="黑体" w:hAnsi="黑体" w:eastAsia="黑体"/>
          <w:sz w:val="32"/>
        </w:rPr>
        <w:t>四、财政拨款收入支出决算总体情况说明</w:t>
      </w:r>
    </w:p>
    <w:p w14:paraId="7F715C83">
      <w:pPr>
        <w:spacing w:line="580" w:lineRule="exact"/>
        <w:ind w:firstLine="640"/>
        <w:jc w:val="both"/>
      </w:pPr>
      <w:r>
        <w:rPr>
          <w:rFonts w:ascii="仿宋_GB2312" w:hAnsi="仿宋_GB2312" w:eastAsia="仿宋_GB2312"/>
          <w:b/>
          <w:sz w:val="32"/>
        </w:rPr>
        <w:t>2024年度财政拨款收入总计3,652.14万元，</w:t>
      </w:r>
      <w:r>
        <w:rPr>
          <w:rFonts w:ascii="仿宋_GB2312" w:hAnsi="仿宋_GB2312" w:eastAsia="仿宋_GB2312"/>
          <w:b w:val="0"/>
          <w:sz w:val="32"/>
        </w:rPr>
        <w:t>其中：年初财政拨款结转和结余0.00万元，本年财政拨款收入3,652.14万元。</w:t>
      </w:r>
      <w:r>
        <w:rPr>
          <w:rFonts w:ascii="仿宋_GB2312" w:hAnsi="仿宋_GB2312" w:eastAsia="仿宋_GB2312"/>
          <w:b/>
          <w:sz w:val="32"/>
        </w:rPr>
        <w:t>财政拨款支出总计3,652.14万元，</w:t>
      </w:r>
      <w:r>
        <w:rPr>
          <w:rFonts w:ascii="仿宋_GB2312" w:hAnsi="仿宋_GB2312" w:eastAsia="仿宋_GB2312"/>
          <w:b w:val="0"/>
          <w:sz w:val="32"/>
        </w:rPr>
        <w:t>其中：年末财政拨款结转和结余0.00万元，本年财政拨款支出3,652.14万元。</w:t>
      </w:r>
    </w:p>
    <w:p w14:paraId="1BB72C3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319.46万元，增长9.59%，主要原因是：本年在职人员增加，在职人员工资调增、社保、公积金基数调增，人员经费增加。本年增加重大传染病防控项目、2024年中央专项彩票公益金支持地方社会公益事业发展(医疗救助-儿童护齿项目）、2024年中央医疗服务与保障能力提升（医疗卫生机构能力建设）补助资金，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3,289.95万元，决算数3,652.14万元，预决算差异率11.01%，主要原因是：年中追加2024年中央专项彩票公益金支持地方社会公益事业发展(医疗救助-儿童护齿项目、2024年中央医疗服务与保障能力提升（医疗卫生机构能力建设）补助资金等项目资金，导致预决算存在差异。</w:t>
      </w:r>
    </w:p>
    <w:p w14:paraId="15216D56">
      <w:pPr>
        <w:spacing w:line="640" w:lineRule="exact"/>
        <w:ind w:firstLine="640"/>
        <w:jc w:val="both"/>
        <w:outlineLvl w:val="2"/>
      </w:pPr>
      <w:r>
        <w:rPr>
          <w:rFonts w:ascii="黑体" w:hAnsi="黑体" w:eastAsia="黑体"/>
          <w:sz w:val="32"/>
        </w:rPr>
        <w:t>五、一般公共预算财政拨款支出决算情况说明</w:t>
      </w:r>
    </w:p>
    <w:p w14:paraId="7F7F165D">
      <w:pPr>
        <w:spacing w:line="640" w:lineRule="exact"/>
        <w:ind w:firstLine="640"/>
        <w:jc w:val="both"/>
        <w:outlineLvl w:val="3"/>
      </w:pPr>
      <w:r>
        <w:rPr>
          <w:rFonts w:ascii="楷体_GB2312" w:hAnsi="楷体_GB2312" w:eastAsia="楷体_GB2312"/>
          <w:b/>
          <w:sz w:val="32"/>
        </w:rPr>
        <w:t>（一）一般公共预算财政拨款支出决算总体情况</w:t>
      </w:r>
    </w:p>
    <w:p w14:paraId="703155EC">
      <w:pPr>
        <w:spacing w:line="580" w:lineRule="exact"/>
        <w:ind w:firstLine="640"/>
        <w:jc w:val="both"/>
      </w:pPr>
      <w:r>
        <w:rPr>
          <w:rFonts w:ascii="仿宋_GB2312" w:hAnsi="仿宋_GB2312" w:eastAsia="仿宋_GB2312"/>
          <w:b/>
          <w:sz w:val="32"/>
        </w:rPr>
        <w:t>2024年度一般公共预算财政拨款支出3,647.06万元，</w:t>
      </w:r>
      <w:r>
        <w:rPr>
          <w:rFonts w:ascii="仿宋_GB2312" w:hAnsi="仿宋_GB2312" w:eastAsia="仿宋_GB2312"/>
          <w:b w:val="0"/>
          <w:sz w:val="32"/>
        </w:rPr>
        <w:t>占本年支出合计的20.91%。</w:t>
      </w:r>
      <w:r>
        <w:rPr>
          <w:rFonts w:ascii="仿宋_GB2312" w:hAnsi="仿宋_GB2312" w:eastAsia="仿宋_GB2312"/>
          <w:b/>
          <w:sz w:val="32"/>
        </w:rPr>
        <w:t>与上年相比，</w:t>
      </w:r>
      <w:r>
        <w:rPr>
          <w:rFonts w:ascii="仿宋_GB2312" w:hAnsi="仿宋_GB2312" w:eastAsia="仿宋_GB2312"/>
          <w:b w:val="0"/>
          <w:sz w:val="32"/>
        </w:rPr>
        <w:t>增加314.38万元，增长9.43%，主要原因是：本年在职人员增加，在职人员工资调增、社保、公积金基数调增，人员经费增加。本年增加重大传染病防控项目。</w:t>
      </w:r>
      <w:r>
        <w:rPr>
          <w:rFonts w:ascii="仿宋_GB2312" w:hAnsi="仿宋_GB2312" w:eastAsia="仿宋_GB2312"/>
          <w:b/>
          <w:sz w:val="32"/>
        </w:rPr>
        <w:t>与年初预算相比,</w:t>
      </w:r>
      <w:r>
        <w:rPr>
          <w:rFonts w:ascii="仿宋_GB2312" w:hAnsi="仿宋_GB2312" w:eastAsia="仿宋_GB2312"/>
          <w:b w:val="0"/>
          <w:sz w:val="32"/>
        </w:rPr>
        <w:t>年初预算数3,289.95万元，决算数3,647.06万元，预决算差异率10.85%，主要原因是：本年在职人员增加，在职人员工资调增、社保、公积金基数调增，人员经费增加，年中追加人员经费。</w:t>
      </w:r>
    </w:p>
    <w:p w14:paraId="269315A6">
      <w:pPr>
        <w:spacing w:line="640" w:lineRule="exact"/>
        <w:ind w:firstLine="640"/>
        <w:jc w:val="both"/>
        <w:outlineLvl w:val="3"/>
      </w:pPr>
      <w:r>
        <w:rPr>
          <w:rFonts w:ascii="楷体_GB2312" w:hAnsi="楷体_GB2312" w:eastAsia="楷体_GB2312"/>
          <w:b/>
          <w:sz w:val="32"/>
        </w:rPr>
        <w:t>（二）一般公共预算财政拨款支出决算结构情况</w:t>
      </w:r>
    </w:p>
    <w:p w14:paraId="565EDD4D">
      <w:pPr>
        <w:spacing w:line="580" w:lineRule="exact"/>
        <w:ind w:firstLine="640"/>
        <w:jc w:val="both"/>
      </w:pPr>
      <w:r>
        <w:rPr>
          <w:rFonts w:ascii="仿宋_GB2312" w:hAnsi="仿宋_GB2312" w:eastAsia="仿宋_GB2312"/>
          <w:b w:val="0"/>
          <w:sz w:val="32"/>
        </w:rPr>
        <w:t>1.社会保障和就业支出(类)439.86万元,占12.06%。</w:t>
      </w:r>
    </w:p>
    <w:p w14:paraId="1820E142">
      <w:pPr>
        <w:spacing w:line="580" w:lineRule="exact"/>
        <w:ind w:firstLine="640"/>
        <w:jc w:val="both"/>
      </w:pPr>
      <w:r>
        <w:rPr>
          <w:rFonts w:ascii="仿宋_GB2312" w:hAnsi="仿宋_GB2312" w:eastAsia="仿宋_GB2312"/>
          <w:b w:val="0"/>
          <w:sz w:val="32"/>
        </w:rPr>
        <w:t>2.卫生健康支出(类)3,202.93万元,占87.82%。</w:t>
      </w:r>
    </w:p>
    <w:p w14:paraId="5C6E97B5">
      <w:pPr>
        <w:spacing w:line="580" w:lineRule="exact"/>
        <w:ind w:firstLine="640"/>
        <w:jc w:val="both"/>
      </w:pPr>
      <w:r>
        <w:rPr>
          <w:rFonts w:ascii="仿宋_GB2312" w:hAnsi="仿宋_GB2312" w:eastAsia="仿宋_GB2312"/>
          <w:b w:val="0"/>
          <w:sz w:val="32"/>
        </w:rPr>
        <w:t>3.其他支出(类)4.27万元,占0.12%。</w:t>
      </w:r>
    </w:p>
    <w:p w14:paraId="09FA053F">
      <w:pPr>
        <w:spacing w:line="640" w:lineRule="exact"/>
        <w:ind w:firstLine="640"/>
        <w:jc w:val="both"/>
        <w:outlineLvl w:val="3"/>
      </w:pPr>
      <w:r>
        <w:rPr>
          <w:rFonts w:ascii="楷体_GB2312" w:hAnsi="楷体_GB2312" w:eastAsia="楷体_GB2312"/>
          <w:b/>
          <w:sz w:val="32"/>
        </w:rPr>
        <w:t>（三）一般公共预算财政拨款支出决算具体情况</w:t>
      </w:r>
    </w:p>
    <w:p w14:paraId="6138EE33">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3.00万元，下降100.00%,主要原因是：本年功能科目调整，援疆干部补贴上年在其他组织事务支出科目列支，本年在其他支出科目列支，导致经费较上年减少。</w:t>
      </w:r>
    </w:p>
    <w:p w14:paraId="76F8645C">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293.24万元，比上年决算增加13.55万元，增长4.84%,主要原因是：本年在职人员增加，养老保险缴费较上年增加。</w:t>
      </w:r>
    </w:p>
    <w:p w14:paraId="54AB156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146.62万元，比上年决算增加6.77万元，增长4.84%,主要原因是：本年新增退休人员增加，职业年金缴费支出增加。</w:t>
      </w:r>
    </w:p>
    <w:p w14:paraId="59614B60">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0.00万元，比上年决算减少200.00万元，下降100.00%,主要原因是：本年功能科目调整，医疗服务与保障能力提升上年在其他卫生健康管理事务支出科目列支，本年在其他基层医疗卫生机构支出科目列支，导致经费较上年减少。</w:t>
      </w:r>
    </w:p>
    <w:p w14:paraId="56053E50">
      <w:pPr>
        <w:spacing w:line="580" w:lineRule="exact"/>
        <w:ind w:firstLine="640"/>
        <w:jc w:val="both"/>
      </w:pPr>
      <w:r>
        <w:rPr>
          <w:rFonts w:ascii="仿宋_GB2312" w:hAnsi="仿宋_GB2312" w:eastAsia="仿宋_GB2312"/>
          <w:b w:val="0"/>
          <w:sz w:val="32"/>
        </w:rPr>
        <w:t>5.卫生健康支出(类)公立医院(款)综合医院(项):支出决算数为2,757.92万元，比上年决算增加204.33万元，增长8.00%,主要原因是：本年在职人员增加，在职人员工资调增，相关人员经费增加。</w:t>
      </w:r>
    </w:p>
    <w:p w14:paraId="5765E298">
      <w:pPr>
        <w:spacing w:line="580" w:lineRule="exact"/>
        <w:ind w:firstLine="640"/>
        <w:jc w:val="both"/>
      </w:pPr>
      <w:r>
        <w:rPr>
          <w:rFonts w:ascii="仿宋_GB2312" w:hAnsi="仿宋_GB2312" w:eastAsia="仿宋_GB2312"/>
          <w:b w:val="0"/>
          <w:sz w:val="32"/>
        </w:rPr>
        <w:t>6.卫生健康支出(类)公立医院(款)其他公立医院支出(项):支出决算数为0.00万元，比上年决算减少144.00万元，下降100.00%,主要原因是：本年功能科目调整，医疗服务与保障能力提升上年在其他公立医院支出科目列支，本年在其他基层医疗卫生机构支出科目列支，导致经费较上年减少。</w:t>
      </w:r>
    </w:p>
    <w:p w14:paraId="71424D1F">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402.90万元，比上年决算增加402.90万元，增长100.00%,主要原因是：本年功能科目调整，医疗服务与保障能力提升上年在其他公立医院支出科目、其他卫生健康管理事务支出科目列支，本年在其他基层医疗卫生机构支出科目列支，导致经费较上年增加。</w:t>
      </w:r>
    </w:p>
    <w:p w14:paraId="4D25F5CD">
      <w:pPr>
        <w:spacing w:line="580" w:lineRule="exact"/>
        <w:ind w:firstLine="640"/>
        <w:jc w:val="both"/>
      </w:pPr>
      <w:r>
        <w:rPr>
          <w:rFonts w:ascii="仿宋_GB2312" w:hAnsi="仿宋_GB2312" w:eastAsia="仿宋_GB2312"/>
          <w:b w:val="0"/>
          <w:sz w:val="32"/>
        </w:rPr>
        <w:t>8.卫生健康支出(类)公共卫生(款)重大公共卫生服务(项):支出决算数为25.20万元，比上年决算增加12.65万元，增长100.80%,主要原因是：本年增加重大传染病防控结核病防治项目。</w:t>
      </w:r>
    </w:p>
    <w:p w14:paraId="52F617AC">
      <w:pPr>
        <w:spacing w:line="580" w:lineRule="exact"/>
        <w:ind w:firstLine="640"/>
        <w:jc w:val="both"/>
      </w:pPr>
      <w:r>
        <w:rPr>
          <w:rFonts w:ascii="仿宋_GB2312" w:hAnsi="仿宋_GB2312" w:eastAsia="仿宋_GB2312"/>
          <w:b w:val="0"/>
          <w:sz w:val="32"/>
        </w:rPr>
        <w:t>9.卫生健康支出(类)公共卫生(款)突发公共卫生事件应急处置(项):支出决算数为16.92万元，比上年决算增加16.92万元，增长100.00%,主要原因是：本年增加2024年YQ防控项目。</w:t>
      </w:r>
    </w:p>
    <w:p w14:paraId="660C32EE">
      <w:pPr>
        <w:spacing w:line="580" w:lineRule="exact"/>
        <w:ind w:firstLine="640"/>
        <w:jc w:val="both"/>
      </w:pPr>
      <w:r>
        <w:rPr>
          <w:rFonts w:ascii="仿宋_GB2312" w:hAnsi="仿宋_GB2312" w:eastAsia="仿宋_GB2312"/>
          <w:b w:val="0"/>
          <w:sz w:val="32"/>
        </w:rPr>
        <w:t>10.其他支出(类)其他支出(款)其他支出(项):支出决算数为4.27万元，比上年决算增加4.27万元，增长100.00%,主要原因是：本年功能科目调整，援疆干部补贴上年在其他组织事务支出科目列支，本年在其他支出科目列支，导致经费较上年增加。</w:t>
      </w:r>
    </w:p>
    <w:p w14:paraId="708C96D2">
      <w:pPr>
        <w:spacing w:line="640" w:lineRule="exact"/>
        <w:ind w:firstLine="640"/>
        <w:jc w:val="both"/>
        <w:outlineLvl w:val="2"/>
      </w:pPr>
      <w:r>
        <w:rPr>
          <w:rFonts w:ascii="黑体" w:hAnsi="黑体" w:eastAsia="黑体"/>
          <w:sz w:val="32"/>
        </w:rPr>
        <w:t>六、一般公共预算财政拨款基本支出决算情况说明</w:t>
      </w:r>
    </w:p>
    <w:p w14:paraId="4E580D70">
      <w:pPr>
        <w:spacing w:line="580" w:lineRule="exact"/>
        <w:ind w:firstLine="640"/>
        <w:jc w:val="both"/>
      </w:pPr>
      <w:r>
        <w:rPr>
          <w:rFonts w:ascii="仿宋_GB2312" w:hAnsi="仿宋_GB2312" w:eastAsia="仿宋_GB2312"/>
          <w:b w:val="0"/>
          <w:sz w:val="32"/>
        </w:rPr>
        <w:t>2024年度一般公共预算财政拨款基本支出3,048.78万元，其中：</w:t>
      </w:r>
      <w:r>
        <w:rPr>
          <w:rFonts w:ascii="仿宋_GB2312" w:hAnsi="仿宋_GB2312" w:eastAsia="仿宋_GB2312"/>
          <w:b/>
          <w:sz w:val="32"/>
        </w:rPr>
        <w:t>人员经费3,048.78万元，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包括：基本工资、津贴补贴、奖金、绩效工资、机关事业单位基本养老保险缴费、职业年金缴费、职工基本医疗保险缴费、其他社会保障缴费、其他工资福利支出、退休费、抚恤金、生活补助。</w:t>
      </w:r>
    </w:p>
    <w:p w14:paraId="155B2DE8">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3716C091">
      <w:pPr>
        <w:spacing w:line="640" w:lineRule="exact"/>
        <w:ind w:firstLine="640"/>
        <w:jc w:val="both"/>
        <w:outlineLvl w:val="2"/>
      </w:pPr>
      <w:r>
        <w:rPr>
          <w:rFonts w:ascii="黑体" w:hAnsi="黑体" w:eastAsia="黑体"/>
          <w:sz w:val="32"/>
        </w:rPr>
        <w:t>七、政府性基金预算财政拨款收入支出决算情况说明</w:t>
      </w:r>
    </w:p>
    <w:p w14:paraId="261A2121">
      <w:pPr>
        <w:spacing w:line="580" w:lineRule="exact"/>
        <w:ind w:firstLine="640"/>
        <w:jc w:val="both"/>
      </w:pPr>
      <w:r>
        <w:rPr>
          <w:rFonts w:ascii="仿宋_GB2312" w:hAnsi="仿宋_GB2312" w:eastAsia="仿宋_GB2312"/>
          <w:b/>
          <w:sz w:val="32"/>
        </w:rPr>
        <w:t>2024年度政府性基金预算财政拨款收入总计5.08万元，</w:t>
      </w:r>
      <w:r>
        <w:rPr>
          <w:rFonts w:ascii="仿宋_GB2312" w:hAnsi="仿宋_GB2312" w:eastAsia="仿宋_GB2312"/>
          <w:b w:val="0"/>
          <w:sz w:val="32"/>
        </w:rPr>
        <w:t>其中：年初结转和结余0.00万元，本年收入5.08万元。</w:t>
      </w:r>
      <w:r>
        <w:rPr>
          <w:rFonts w:ascii="仿宋_GB2312" w:hAnsi="仿宋_GB2312" w:eastAsia="仿宋_GB2312"/>
          <w:b/>
          <w:sz w:val="32"/>
        </w:rPr>
        <w:t>政府性基金预算财政拨款支出总计5.08万元，</w:t>
      </w:r>
      <w:r>
        <w:rPr>
          <w:rFonts w:ascii="仿宋_GB2312" w:hAnsi="仿宋_GB2312" w:eastAsia="仿宋_GB2312"/>
          <w:b w:val="0"/>
          <w:sz w:val="32"/>
        </w:rPr>
        <w:t>其中：年末结转和结余0.00万元，本年支出5.08万元。</w:t>
      </w:r>
    </w:p>
    <w:p w14:paraId="248D6A70">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增加5.08万元，增长100.00%，主要原因是：本年增加2024年中央专项彩票公益金支持地方社会公益事业发展(医疗救助-儿童护齿项目）。</w:t>
      </w:r>
      <w:r>
        <w:rPr>
          <w:rFonts w:ascii="仿宋_GB2312" w:hAnsi="仿宋_GB2312" w:eastAsia="仿宋_GB2312"/>
          <w:b/>
          <w:sz w:val="32"/>
        </w:rPr>
        <w:t>与年初预算相比，</w:t>
      </w:r>
      <w:r>
        <w:rPr>
          <w:rFonts w:ascii="仿宋_GB2312" w:hAnsi="仿宋_GB2312" w:eastAsia="仿宋_GB2312"/>
          <w:b w:val="0"/>
          <w:sz w:val="32"/>
        </w:rPr>
        <w:t>年初预算数0.00万元，决算数5.08万元，预决算差异率100.00%，主要原因是：年中追加2024年中央专项彩票公益金支持地方社会公益事业发展(医疗救助-儿童护齿项目），导致预决算存在差异。</w:t>
      </w:r>
    </w:p>
    <w:p w14:paraId="1D46E538">
      <w:pPr>
        <w:spacing w:line="580" w:lineRule="exact"/>
        <w:ind w:firstLine="640"/>
        <w:jc w:val="both"/>
      </w:pPr>
      <w:r>
        <w:rPr>
          <w:rFonts w:ascii="仿宋_GB2312" w:hAnsi="仿宋_GB2312" w:eastAsia="仿宋_GB2312"/>
          <w:b w:val="0"/>
          <w:sz w:val="32"/>
        </w:rPr>
        <w:t>政府性基金预算财政拨款支出5.08万元。</w:t>
      </w:r>
    </w:p>
    <w:p w14:paraId="7D52DC93">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5.08万元，比上年决算增加5.08万元，增长100.00%,主要原因是：本年增加2024年中央专项彩票公益金支持地方社会公益事业发展(医疗救助-儿童护齿项目）。</w:t>
      </w:r>
    </w:p>
    <w:p w14:paraId="36CDA70D">
      <w:pPr>
        <w:spacing w:line="640" w:lineRule="exact"/>
        <w:ind w:firstLine="640"/>
        <w:jc w:val="both"/>
        <w:outlineLvl w:val="2"/>
      </w:pPr>
      <w:r>
        <w:rPr>
          <w:rFonts w:ascii="黑体" w:hAnsi="黑体" w:eastAsia="黑体"/>
          <w:sz w:val="32"/>
        </w:rPr>
        <w:t>八、国有资本经营预算财政拨款收入支出决算情况说明</w:t>
      </w:r>
    </w:p>
    <w:p w14:paraId="600EEBD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03E1BCE">
      <w:pPr>
        <w:spacing w:line="640" w:lineRule="exact"/>
        <w:ind w:firstLine="640"/>
        <w:jc w:val="both"/>
        <w:outlineLvl w:val="2"/>
      </w:pPr>
      <w:r>
        <w:rPr>
          <w:rFonts w:ascii="黑体" w:hAnsi="黑体" w:eastAsia="黑体"/>
          <w:sz w:val="32"/>
        </w:rPr>
        <w:t>九、财政拨款“三公”经费支出决算情况说明</w:t>
      </w:r>
    </w:p>
    <w:p w14:paraId="45BD928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27DD1AF">
      <w:pPr>
        <w:spacing w:line="580" w:lineRule="exact"/>
        <w:ind w:firstLine="640"/>
        <w:jc w:val="both"/>
      </w:pPr>
      <w:r>
        <w:rPr>
          <w:rFonts w:ascii="仿宋_GB2312" w:hAnsi="仿宋_GB2312" w:eastAsia="仿宋_GB2312"/>
          <w:b/>
          <w:sz w:val="32"/>
        </w:rPr>
        <w:t>具体情况如下：</w:t>
      </w:r>
    </w:p>
    <w:p w14:paraId="6A298B7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2B43089">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9辆，与公务用车保有量差异原因是：车辆为我单位救护车，未使用财政拨款公务用车运行维护费支付，由事业收入经费保障。</w:t>
      </w:r>
    </w:p>
    <w:p w14:paraId="10570FC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9C677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BD75AE2">
      <w:pPr>
        <w:spacing w:line="640" w:lineRule="exact"/>
        <w:ind w:firstLine="640"/>
        <w:jc w:val="both"/>
        <w:outlineLvl w:val="2"/>
      </w:pPr>
      <w:r>
        <w:rPr>
          <w:rFonts w:ascii="黑体" w:hAnsi="黑体" w:eastAsia="黑体"/>
          <w:sz w:val="32"/>
        </w:rPr>
        <w:t>十、其他重要事项的情况说明</w:t>
      </w:r>
    </w:p>
    <w:p w14:paraId="25FB56E1">
      <w:pPr>
        <w:spacing w:line="640" w:lineRule="exact"/>
        <w:ind w:firstLine="640"/>
        <w:jc w:val="both"/>
        <w:outlineLvl w:val="3"/>
      </w:pPr>
      <w:r>
        <w:rPr>
          <w:rFonts w:ascii="楷体_GB2312" w:hAnsi="楷体_GB2312" w:eastAsia="楷体_GB2312"/>
          <w:b/>
          <w:sz w:val="32"/>
        </w:rPr>
        <w:t>（一）机关运行经费及公用经费支出情况</w:t>
      </w:r>
    </w:p>
    <w:p w14:paraId="20C31CB5">
      <w:pPr>
        <w:spacing w:line="580" w:lineRule="exact"/>
        <w:ind w:firstLine="640"/>
        <w:jc w:val="both"/>
      </w:pPr>
      <w:r>
        <w:rPr>
          <w:rFonts w:ascii="仿宋_GB2312" w:hAnsi="仿宋_GB2312" w:eastAsia="仿宋_GB2312"/>
          <w:b w:val="0"/>
          <w:sz w:val="32"/>
        </w:rPr>
        <w:t>2024年度麦盖提县人民医院（事业单位）公用经费支出0.00万元，比上年增加0.00万元，增长0.00%，主要原因是：2023年与2024年均未安排公用经费支出。</w:t>
      </w:r>
    </w:p>
    <w:p w14:paraId="57100317">
      <w:pPr>
        <w:spacing w:line="640" w:lineRule="exact"/>
        <w:ind w:firstLine="640"/>
        <w:jc w:val="both"/>
        <w:outlineLvl w:val="3"/>
      </w:pPr>
      <w:r>
        <w:rPr>
          <w:rFonts w:ascii="楷体_GB2312" w:hAnsi="楷体_GB2312" w:eastAsia="楷体_GB2312"/>
          <w:b/>
          <w:sz w:val="32"/>
        </w:rPr>
        <w:t>（二）政府采购情况</w:t>
      </w:r>
    </w:p>
    <w:p w14:paraId="1FF70320">
      <w:pPr>
        <w:spacing w:line="580" w:lineRule="exact"/>
        <w:ind w:firstLine="640"/>
        <w:jc w:val="both"/>
      </w:pPr>
      <w:r>
        <w:rPr>
          <w:rFonts w:ascii="仿宋_GB2312" w:hAnsi="仿宋_GB2312" w:eastAsia="仿宋_GB2312"/>
          <w:b w:val="0"/>
          <w:sz w:val="32"/>
        </w:rPr>
        <w:t>2024年度政府采购支出总额840.13万元，其中：政府采购货物支出559.86万元、政府采购工程支出49.11万元、政府采购服务支出231.17万元。</w:t>
      </w:r>
    </w:p>
    <w:p w14:paraId="3AB50E18">
      <w:pPr>
        <w:spacing w:line="580" w:lineRule="exact"/>
        <w:ind w:firstLine="640"/>
        <w:jc w:val="both"/>
      </w:pPr>
      <w:r>
        <w:rPr>
          <w:rFonts w:ascii="仿宋_GB2312" w:hAnsi="仿宋_GB2312" w:eastAsia="仿宋_GB2312"/>
          <w:b w:val="0"/>
          <w:sz w:val="32"/>
        </w:rPr>
        <w:t>授予中小企业合同金额555.16万元，占政府采购支出总额的66.08%，其中：授予小微企业合同金额539.37万元，占政府采购支出总额的64.20%。</w:t>
      </w:r>
    </w:p>
    <w:p w14:paraId="37B27F33">
      <w:pPr>
        <w:spacing w:line="640" w:lineRule="exact"/>
        <w:ind w:firstLine="640"/>
        <w:jc w:val="both"/>
        <w:outlineLvl w:val="3"/>
      </w:pPr>
      <w:r>
        <w:rPr>
          <w:rFonts w:ascii="楷体_GB2312" w:hAnsi="楷体_GB2312" w:eastAsia="楷体_GB2312"/>
          <w:b/>
          <w:sz w:val="32"/>
        </w:rPr>
        <w:t>（三）国有资产占用情况说明</w:t>
      </w:r>
    </w:p>
    <w:p w14:paraId="084FF6C8">
      <w:pPr>
        <w:spacing w:line="580" w:lineRule="exact"/>
        <w:ind w:firstLine="640"/>
        <w:jc w:val="both"/>
      </w:pPr>
      <w:r>
        <w:rPr>
          <w:rFonts w:ascii="仿宋_GB2312" w:hAnsi="仿宋_GB2312" w:eastAsia="仿宋_GB2312"/>
          <w:b w:val="0"/>
          <w:sz w:val="32"/>
        </w:rPr>
        <w:t>截至2024年12月31日，房屋59,424.96平方米，价值12,178.62万元。车辆9辆，价值256.90万元，其中：副部（省）级及以上领导用车0辆、主要负责人用车0辆、机要通信用车0辆、应急保障用车0辆、执法执勤用车0辆、特种专业技术用车7辆、离退休干部服务用车0辆、其他用车2辆，其他用车主要是：单位业务用车。单价100万元（含）以上设备（不含车辆）19台（套）。</w:t>
      </w:r>
    </w:p>
    <w:p w14:paraId="19B23EE3">
      <w:pPr>
        <w:spacing w:line="640" w:lineRule="exact"/>
        <w:ind w:firstLine="640"/>
        <w:jc w:val="both"/>
        <w:outlineLvl w:val="2"/>
      </w:pPr>
      <w:r>
        <w:rPr>
          <w:rFonts w:ascii="黑体" w:hAnsi="黑体" w:eastAsia="黑体"/>
          <w:sz w:val="32"/>
        </w:rPr>
        <w:t>十一、预算绩效的情况说明</w:t>
      </w:r>
    </w:p>
    <w:p w14:paraId="0CE5BCB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19,223.69万元，实际执行总额17,445.77万元；预算绩效评价项目2个，全年预算数317.00万元，全年执行数317.00万元。预算绩效管理取得的成效：项目支出</w:t>
      </w:r>
      <w:r>
        <w:rPr>
          <w:rFonts w:hint="eastAsia" w:ascii="仿宋_GB2312" w:hAnsi="仿宋_GB2312" w:eastAsia="仿宋_GB2312"/>
          <w:b w:val="0"/>
          <w:sz w:val="32"/>
          <w:lang w:eastAsia="zh-CN"/>
        </w:rPr>
        <w:t>用于部</w:t>
      </w:r>
      <w:r>
        <w:rPr>
          <w:rFonts w:ascii="仿宋_GB2312" w:hAnsi="仿宋_GB2312" w:eastAsia="仿宋_GB2312"/>
          <w:b w:val="0"/>
          <w:sz w:val="32"/>
        </w:rPr>
        <w:t>门履职的核心业务，涉及医疗服务与保障能力提升、重大公共卫生服务和其他组织事务支出等领域，不仅提升了医院的综合实力和服务水平，也为保障人民群众的健康福祉做出了积极的贡献。发现的问题及原因：医疗报销范围不明确，部分患者对医疗报销政策了解不足，导致无法充分利用政策优惠。此外，部分医务人员对相关政策也存在了解不足的现象，这在一定程度上影响了医疗报销工作的顺利进行。下一步改进措施：1、制定详细的医疗报销政策宣传计划，利用各种渠道进行广泛宣传，提高患者和医务人员的政策知晓率。2、组织专题讲座和培训，加强对医务人员的教育，提高其对医疗报销政策的理解和执行能力。具体附整体支出绩效自评表，项目支出绩效自评表和评价报告。</w:t>
      </w:r>
    </w:p>
    <w:p w14:paraId="56C30DC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CCE64DF">
        <w:tblPrEx>
          <w:tblCellMar>
            <w:top w:w="0" w:type="dxa"/>
            <w:left w:w="108" w:type="dxa"/>
            <w:bottom w:w="0" w:type="dxa"/>
            <w:right w:w="108" w:type="dxa"/>
          </w:tblCellMar>
        </w:tblPrEx>
        <w:tc>
          <w:tcPr>
            <w:tcW w:w="8847" w:type="dxa"/>
            <w:gridSpan w:val="9"/>
            <w:vAlign w:val="center"/>
          </w:tcPr>
          <w:p w14:paraId="0E910EC3">
            <w:pPr>
              <w:jc w:val="center"/>
            </w:pPr>
            <w:r>
              <w:rPr>
                <w:rFonts w:ascii="宋体" w:hAnsi="宋体" w:eastAsia="宋体"/>
                <w:sz w:val="24"/>
              </w:rPr>
              <w:t>单位整体支出绩效自评表</w:t>
            </w:r>
          </w:p>
        </w:tc>
      </w:tr>
      <w:tr w14:paraId="36B1DAE8">
        <w:tblPrEx>
          <w:tblCellMar>
            <w:top w:w="0" w:type="dxa"/>
            <w:left w:w="108" w:type="dxa"/>
            <w:bottom w:w="0" w:type="dxa"/>
            <w:right w:w="108" w:type="dxa"/>
          </w:tblCellMar>
        </w:tblPrEx>
        <w:tc>
          <w:tcPr>
            <w:tcW w:w="8847" w:type="dxa"/>
            <w:gridSpan w:val="9"/>
            <w:vAlign w:val="center"/>
          </w:tcPr>
          <w:p w14:paraId="3F5DF180">
            <w:pPr>
              <w:jc w:val="center"/>
            </w:pPr>
            <w:r>
              <w:rPr>
                <w:rFonts w:ascii="宋体" w:hAnsi="宋体" w:eastAsia="宋体"/>
                <w:sz w:val="24"/>
              </w:rPr>
              <w:t>（2024年度）</w:t>
            </w:r>
          </w:p>
        </w:tc>
      </w:tr>
      <w:tr w14:paraId="1C44F33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D715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4779F61">
            <w:pPr>
              <w:jc w:val="center"/>
            </w:pPr>
            <w:r>
              <w:rPr>
                <w:rFonts w:ascii="宋体" w:hAnsi="宋体" w:eastAsia="宋体"/>
                <w:sz w:val="16"/>
              </w:rPr>
              <w:t>麦盖提县人民医院</w:t>
            </w:r>
          </w:p>
        </w:tc>
      </w:tr>
      <w:tr w14:paraId="2B194C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051E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FC6F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6C57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DF7D1">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27B0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5FDF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2E18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349FD">
            <w:pPr>
              <w:jc w:val="center"/>
            </w:pPr>
            <w:r>
              <w:rPr>
                <w:rFonts w:ascii="宋体" w:hAnsi="宋体" w:eastAsia="宋体"/>
                <w:sz w:val="16"/>
              </w:rPr>
              <w:t>得分</w:t>
            </w:r>
          </w:p>
        </w:tc>
      </w:tr>
      <w:tr w14:paraId="16833D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947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29107">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D29F3">
            <w:pPr>
              <w:jc w:val="center"/>
            </w:pPr>
            <w:r>
              <w:rPr>
                <w:rFonts w:ascii="宋体" w:hAnsi="宋体" w:eastAsia="宋体"/>
                <w:sz w:val="16"/>
              </w:rPr>
              <w:t>18,539.93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81153">
            <w:pPr>
              <w:jc w:val="center"/>
            </w:pPr>
            <w:r>
              <w:rPr>
                <w:rFonts w:ascii="宋体" w:hAnsi="宋体" w:eastAsia="宋体"/>
                <w:sz w:val="16"/>
              </w:rPr>
              <w:t>19,223.69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2B258">
            <w:pPr>
              <w:jc w:val="center"/>
            </w:pPr>
            <w:r>
              <w:rPr>
                <w:rFonts w:ascii="宋体" w:hAnsi="宋体" w:eastAsia="宋体"/>
                <w:sz w:val="16"/>
              </w:rPr>
              <w:t>17,445.77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B85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A1420">
            <w:pPr>
              <w:jc w:val="center"/>
            </w:pPr>
            <w:r>
              <w:rPr>
                <w:rFonts w:ascii="宋体" w:hAnsi="宋体" w:eastAsia="宋体"/>
                <w:sz w:val="16"/>
              </w:rPr>
              <w:t>90.75%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EBB9C">
            <w:pPr>
              <w:jc w:val="center"/>
            </w:pPr>
            <w:r>
              <w:rPr>
                <w:rFonts w:ascii="宋体" w:hAnsi="宋体" w:eastAsia="宋体"/>
                <w:sz w:val="16"/>
              </w:rPr>
              <w:t>9.08</w:t>
            </w:r>
          </w:p>
        </w:tc>
      </w:tr>
      <w:tr w14:paraId="2F0EA8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D7D7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FB9F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DC32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12282">
            <w:pPr>
              <w:jc w:val="center"/>
            </w:pPr>
            <w:r>
              <w:rPr>
                <w:rFonts w:ascii="宋体" w:hAnsi="宋体" w:eastAsia="宋体"/>
                <w:sz w:val="16"/>
              </w:rPr>
              <w:t>1,250.30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0F1E0">
            <w:pPr>
              <w:jc w:val="center"/>
            </w:pPr>
            <w:r>
              <w:rPr>
                <w:rFonts w:ascii="宋体" w:hAnsi="宋体" w:eastAsia="宋体"/>
                <w:sz w:val="16"/>
              </w:rPr>
              <w:t>1,250.30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B51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A6E6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2920F">
            <w:pPr>
              <w:jc w:val="center"/>
            </w:pPr>
            <w:r>
              <w:rPr>
                <w:rFonts w:ascii="宋体" w:hAnsi="宋体" w:eastAsia="宋体"/>
                <w:sz w:val="16"/>
              </w:rPr>
              <w:t>—</w:t>
            </w:r>
          </w:p>
        </w:tc>
      </w:tr>
      <w:tr w14:paraId="151F62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2181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C9EF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82EF9">
            <w:pPr>
              <w:jc w:val="center"/>
            </w:pPr>
            <w:r>
              <w:rPr>
                <w:rFonts w:ascii="宋体" w:hAnsi="宋体" w:eastAsia="宋体"/>
                <w:sz w:val="16"/>
              </w:rPr>
              <w:t>3,289.93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4CB89">
            <w:pPr>
              <w:jc w:val="center"/>
            </w:pPr>
            <w:r>
              <w:rPr>
                <w:rFonts w:ascii="宋体" w:hAnsi="宋体" w:eastAsia="宋体"/>
                <w:sz w:val="16"/>
              </w:rPr>
              <w:t>2,406.39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8FA61">
            <w:pPr>
              <w:jc w:val="center"/>
            </w:pPr>
            <w:r>
              <w:rPr>
                <w:rFonts w:ascii="宋体" w:hAnsi="宋体" w:eastAsia="宋体"/>
                <w:sz w:val="16"/>
              </w:rPr>
              <w:t>2,401.84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735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51EB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434E2">
            <w:pPr>
              <w:jc w:val="center"/>
            </w:pPr>
            <w:r>
              <w:rPr>
                <w:rFonts w:ascii="宋体" w:hAnsi="宋体" w:eastAsia="宋体"/>
                <w:sz w:val="16"/>
              </w:rPr>
              <w:t>—</w:t>
            </w:r>
          </w:p>
        </w:tc>
      </w:tr>
      <w:tr w14:paraId="2A2C7B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B77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63DB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F57E4">
            <w:pPr>
              <w:jc w:val="center"/>
            </w:pPr>
            <w:r>
              <w:rPr>
                <w:rFonts w:ascii="宋体" w:hAnsi="宋体" w:eastAsia="宋体"/>
                <w:sz w:val="16"/>
              </w:rPr>
              <w:t>15,250.00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274A6">
            <w:pPr>
              <w:jc w:val="center"/>
            </w:pPr>
            <w:r>
              <w:rPr>
                <w:rFonts w:ascii="宋体" w:hAnsi="宋体" w:eastAsia="宋体"/>
                <w:sz w:val="16"/>
              </w:rPr>
              <w:t>15,567.00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8EE63">
            <w:pPr>
              <w:jc w:val="center"/>
            </w:pPr>
            <w:r>
              <w:rPr>
                <w:rFonts w:ascii="宋体" w:hAnsi="宋体" w:eastAsia="宋体"/>
                <w:sz w:val="16"/>
              </w:rPr>
              <w:t>13,793.63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13A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8AFB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34493">
            <w:pPr>
              <w:jc w:val="center"/>
            </w:pPr>
            <w:r>
              <w:rPr>
                <w:rFonts w:ascii="宋体" w:hAnsi="宋体" w:eastAsia="宋体"/>
                <w:sz w:val="16"/>
              </w:rPr>
              <w:t>—</w:t>
            </w:r>
          </w:p>
        </w:tc>
      </w:tr>
      <w:tr w14:paraId="0C8958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A2CD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08FA2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CDDCBA">
            <w:pPr>
              <w:jc w:val="center"/>
              <w:rPr>
                <w:rFonts w:hint="eastAsia" w:eastAsia="宋体"/>
                <w:lang w:eastAsia="zh-CN"/>
              </w:rPr>
            </w:pPr>
            <w:r>
              <w:rPr>
                <w:rFonts w:hint="eastAsia" w:ascii="宋体" w:hAnsi="宋体"/>
                <w:sz w:val="16"/>
                <w:lang w:eastAsia="zh-CN"/>
              </w:rPr>
              <w:t>实际完成情况</w:t>
            </w:r>
          </w:p>
        </w:tc>
      </w:tr>
      <w:tr w14:paraId="70DDA2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3BD03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243B9F8">
            <w:pPr>
              <w:jc w:val="both"/>
            </w:pPr>
            <w:r>
              <w:rPr>
                <w:rFonts w:ascii="宋体" w:hAnsi="宋体" w:eastAsia="宋体"/>
                <w:sz w:val="16"/>
              </w:rPr>
              <w:t>担负全县人民群众的医疗、预防、</w:t>
            </w:r>
            <w:r>
              <w:rPr>
                <w:rFonts w:hint="eastAsia" w:ascii="宋体" w:hAnsi="宋体"/>
                <w:sz w:val="16"/>
                <w:lang w:eastAsia="zh-CN"/>
              </w:rPr>
              <w:t>保健</w:t>
            </w:r>
            <w:r>
              <w:rPr>
                <w:rFonts w:ascii="宋体" w:hAnsi="宋体" w:eastAsia="宋体"/>
                <w:sz w:val="16"/>
              </w:rPr>
              <w:t>、急救、康复、医学科研和全县医疗卫生人员的专业技术培训工作，是农村三级医疗卫生服务网络的龙头和县域医疗卫生服务中心，承担着全县各类医疗应急处置工作。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15C623">
            <w:pPr>
              <w:jc w:val="both"/>
            </w:pPr>
            <w:r>
              <w:rPr>
                <w:rFonts w:ascii="宋体" w:hAnsi="宋体" w:eastAsia="宋体"/>
                <w:sz w:val="16"/>
              </w:rPr>
              <w:t>截至绩效自评日，我单位已完成以下工作：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1.担负全县人民群众的医疗、预防、</w:t>
            </w:r>
            <w:r>
              <w:rPr>
                <w:rFonts w:hint="eastAsia" w:ascii="宋体" w:hAnsi="宋体"/>
                <w:sz w:val="16"/>
                <w:lang w:eastAsia="zh-CN"/>
              </w:rPr>
              <w:t>保健</w:t>
            </w:r>
            <w:r>
              <w:rPr>
                <w:rFonts w:ascii="宋体" w:hAnsi="宋体" w:eastAsia="宋体"/>
                <w:sz w:val="16"/>
              </w:rPr>
              <w:t>、急救、康复、医学科研和全县医疗卫生人员的专业技术培训工作，本年度专业技术培训次数4次，卫生专业技术人员继续医学教育覆盖率达100%;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2.是农村三级医疗卫生服务网络的龙头和县域医疗卫生服务中心，承担着全县各类医疗应急处置工作，治愈好转率达到99%，处方合格率为99%，利民惠民实施率100%。</w:t>
            </w:r>
          </w:p>
        </w:tc>
      </w:tr>
      <w:tr w14:paraId="42AE62C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4127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AA0E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BED1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94F2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29F7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1F1E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92D5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834A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98D5D">
            <w:pPr>
              <w:jc w:val="center"/>
            </w:pPr>
            <w:r>
              <w:rPr>
                <w:rFonts w:ascii="宋体" w:hAnsi="宋体" w:eastAsia="宋体"/>
                <w:sz w:val="16"/>
              </w:rPr>
              <w:t>得分</w:t>
            </w:r>
          </w:p>
        </w:tc>
      </w:tr>
      <w:tr w14:paraId="1CD8365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ADDF4">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9525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4433D">
            <w:pPr>
              <w:jc w:val="center"/>
            </w:pPr>
            <w:r>
              <w:rPr>
                <w:rFonts w:ascii="宋体" w:hAnsi="宋体" w:eastAsia="宋体"/>
                <w:sz w:val="16"/>
              </w:rPr>
              <w:t>专业技术培训次数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C8321">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FD526">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EDAD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01A2B">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B6A2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74079">
            <w:pPr>
              <w:jc w:val="center"/>
            </w:pPr>
            <w:r>
              <w:rPr>
                <w:rFonts w:ascii="宋体" w:hAnsi="宋体" w:eastAsia="宋体"/>
                <w:sz w:val="16"/>
              </w:rPr>
              <w:t>18</w:t>
            </w:r>
          </w:p>
        </w:tc>
      </w:tr>
      <w:tr w14:paraId="0CFCAA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5764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CA51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53B9C">
            <w:pPr>
              <w:jc w:val="center"/>
            </w:pPr>
            <w:r>
              <w:rPr>
                <w:rFonts w:ascii="宋体" w:hAnsi="宋体" w:eastAsia="宋体"/>
                <w:sz w:val="16"/>
              </w:rPr>
              <w:t>利民惠民实施率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1A2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CDCD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0D71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2D9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F44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6F7C3">
            <w:pPr>
              <w:jc w:val="center"/>
            </w:pPr>
            <w:r>
              <w:rPr>
                <w:rFonts w:ascii="宋体" w:hAnsi="宋体" w:eastAsia="宋体"/>
                <w:sz w:val="16"/>
              </w:rPr>
              <w:t>18</w:t>
            </w:r>
          </w:p>
        </w:tc>
      </w:tr>
      <w:tr w14:paraId="7659BE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365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F6D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296FE">
            <w:pPr>
              <w:jc w:val="center"/>
            </w:pPr>
            <w:r>
              <w:rPr>
                <w:rFonts w:ascii="宋体" w:hAnsi="宋体" w:eastAsia="宋体"/>
                <w:sz w:val="16"/>
              </w:rPr>
              <w:t>治愈好转率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F20F5">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96AE1">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0C1E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5B947">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7AE5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8D6AE">
            <w:pPr>
              <w:jc w:val="center"/>
            </w:pPr>
            <w:r>
              <w:rPr>
                <w:rFonts w:ascii="宋体" w:hAnsi="宋体" w:eastAsia="宋体"/>
                <w:sz w:val="16"/>
              </w:rPr>
              <w:t>18</w:t>
            </w:r>
          </w:p>
        </w:tc>
      </w:tr>
      <w:tr w14:paraId="07C6FA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3482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33C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CEAF4">
            <w:pPr>
              <w:jc w:val="center"/>
            </w:pPr>
            <w:r>
              <w:rPr>
                <w:rFonts w:ascii="宋体" w:hAnsi="宋体" w:eastAsia="宋体"/>
                <w:sz w:val="16"/>
              </w:rPr>
              <w:t>处方合格率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1D2C4">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29ABD">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54F8B">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4E9CC">
            <w:pPr>
              <w:jc w:val="center"/>
            </w:pPr>
            <w:r>
              <w:rPr>
                <w:rFonts w:ascii="宋体" w:hAnsi="宋体" w:eastAsia="宋体"/>
                <w:sz w:val="16"/>
              </w:rPr>
              <w:t>99.94%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E0954">
            <w:pPr>
              <w:jc w:val="center"/>
            </w:pPr>
            <w:r>
              <w:rPr>
                <w:rFonts w:ascii="宋体" w:hAnsi="宋体" w:eastAsia="宋体"/>
                <w:sz w:val="16"/>
              </w:rPr>
              <w:t>100.95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81BD3">
            <w:pPr>
              <w:jc w:val="center"/>
            </w:pPr>
            <w:r>
              <w:rPr>
                <w:rFonts w:ascii="宋体" w:hAnsi="宋体" w:eastAsia="宋体"/>
                <w:sz w:val="16"/>
              </w:rPr>
              <w:t>18</w:t>
            </w:r>
          </w:p>
        </w:tc>
      </w:tr>
      <w:tr w14:paraId="281812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84F5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D103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70B76">
            <w:pPr>
              <w:jc w:val="center"/>
            </w:pPr>
            <w:r>
              <w:rPr>
                <w:rFonts w:ascii="宋体" w:hAnsi="宋体" w:eastAsia="宋体"/>
                <w:sz w:val="16"/>
              </w:rPr>
              <w:t>卫生专业技术人员继续医学教育覆盖率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7FCB5">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7E553">
            <w:pPr>
              <w:jc w:val="center"/>
            </w:pPr>
            <w:r>
              <w:rPr>
                <w:rFonts w:ascii="宋体" w:hAnsi="宋体" w:eastAsia="宋体"/>
                <w:sz w:val="16"/>
              </w:rPr>
              <w:t>重点工作计划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AEC16">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6EFE4">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D7C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D94A0">
            <w:pPr>
              <w:jc w:val="center"/>
            </w:pPr>
            <w:r>
              <w:rPr>
                <w:rFonts w:ascii="宋体" w:hAnsi="宋体" w:eastAsia="宋体"/>
                <w:sz w:val="16"/>
              </w:rPr>
              <w:t>18</w:t>
            </w:r>
          </w:p>
        </w:tc>
      </w:tr>
    </w:tbl>
    <w:p w14:paraId="02F9964D">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17"/>
        <w:gridCol w:w="617"/>
        <w:gridCol w:w="622"/>
        <w:gridCol w:w="776"/>
        <w:gridCol w:w="631"/>
        <w:gridCol w:w="600"/>
        <w:gridCol w:w="631"/>
      </w:tblGrid>
      <w:tr w14:paraId="4557DACB">
        <w:tblPrEx>
          <w:tblCellMar>
            <w:top w:w="0" w:type="dxa"/>
            <w:left w:w="108" w:type="dxa"/>
            <w:bottom w:w="0" w:type="dxa"/>
            <w:right w:w="108" w:type="dxa"/>
          </w:tblCellMar>
        </w:tblPrEx>
        <w:tc>
          <w:tcPr>
            <w:tcW w:w="8848" w:type="dxa"/>
            <w:gridSpan w:val="14"/>
            <w:vAlign w:val="center"/>
          </w:tcPr>
          <w:p w14:paraId="366295BB">
            <w:pPr>
              <w:jc w:val="center"/>
            </w:pPr>
            <w:r>
              <w:rPr>
                <w:rFonts w:ascii="宋体" w:hAnsi="宋体" w:eastAsia="宋体"/>
                <w:sz w:val="24"/>
              </w:rPr>
              <w:t>项目支出绩效自评表</w:t>
            </w:r>
          </w:p>
        </w:tc>
      </w:tr>
      <w:tr w14:paraId="603F9D0E">
        <w:tblPrEx>
          <w:tblCellMar>
            <w:top w:w="0" w:type="dxa"/>
            <w:left w:w="108" w:type="dxa"/>
            <w:bottom w:w="0" w:type="dxa"/>
            <w:right w:w="108" w:type="dxa"/>
          </w:tblCellMar>
        </w:tblPrEx>
        <w:tc>
          <w:tcPr>
            <w:tcW w:w="8848" w:type="dxa"/>
            <w:gridSpan w:val="14"/>
            <w:vAlign w:val="center"/>
          </w:tcPr>
          <w:p w14:paraId="6C43A85A">
            <w:pPr>
              <w:jc w:val="center"/>
            </w:pPr>
            <w:r>
              <w:rPr>
                <w:rFonts w:ascii="宋体" w:hAnsi="宋体" w:eastAsia="宋体"/>
                <w:sz w:val="24"/>
              </w:rPr>
              <w:t>(2024年度)</w:t>
            </w:r>
          </w:p>
        </w:tc>
      </w:tr>
      <w:tr w14:paraId="540F1D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723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7B9A0D">
            <w:pPr>
              <w:jc w:val="center"/>
            </w:pPr>
            <w:r>
              <w:rPr>
                <w:rFonts w:ascii="宋体" w:hAnsi="宋体" w:eastAsia="宋体"/>
                <w:sz w:val="16"/>
              </w:rPr>
              <w:t>麦盖提县医疗救助项目（山东援疆）</w:t>
            </w:r>
          </w:p>
        </w:tc>
      </w:tr>
      <w:tr w14:paraId="3041EA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7F22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CA6734">
            <w:pPr>
              <w:jc w:val="center"/>
            </w:pPr>
            <w:r>
              <w:rPr>
                <w:rFonts w:ascii="宋体" w:hAnsi="宋体" w:eastAsia="宋体"/>
                <w:sz w:val="16"/>
              </w:rPr>
              <w:t>麦盖提县卫健委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005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67EDE7">
            <w:pPr>
              <w:jc w:val="center"/>
            </w:pPr>
            <w:r>
              <w:rPr>
                <w:rFonts w:ascii="宋体" w:hAnsi="宋体" w:eastAsia="宋体"/>
                <w:sz w:val="16"/>
              </w:rPr>
              <w:t>麦盖提县人民医院</w:t>
            </w:r>
          </w:p>
        </w:tc>
      </w:tr>
      <w:tr w14:paraId="1CEEAB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A501D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FE0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3C93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B79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48D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CAD9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F40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E4EA">
            <w:pPr>
              <w:jc w:val="center"/>
            </w:pPr>
            <w:r>
              <w:rPr>
                <w:rFonts w:ascii="宋体" w:hAnsi="宋体" w:eastAsia="宋体"/>
                <w:sz w:val="16"/>
              </w:rPr>
              <w:t>得分</w:t>
            </w:r>
          </w:p>
        </w:tc>
      </w:tr>
      <w:tr w14:paraId="34D847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FB9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16E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4C81E">
            <w:pPr>
              <w:jc w:val="center"/>
            </w:pPr>
            <w:r>
              <w:rPr>
                <w:rFonts w:ascii="宋体" w:hAnsi="宋体" w:eastAsia="宋体"/>
                <w:sz w:val="16"/>
              </w:rPr>
              <w:t>172.00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70E6F">
            <w:pPr>
              <w:jc w:val="center"/>
            </w:pPr>
            <w:r>
              <w:rPr>
                <w:rFonts w:ascii="宋体" w:hAnsi="宋体" w:eastAsia="宋体"/>
                <w:sz w:val="16"/>
              </w:rPr>
              <w:t>172.00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9B3B6">
            <w:pPr>
              <w:jc w:val="center"/>
            </w:pPr>
            <w:r>
              <w:rPr>
                <w:rFonts w:ascii="宋体" w:hAnsi="宋体" w:eastAsia="宋体"/>
                <w:sz w:val="16"/>
              </w:rPr>
              <w:t>172.00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280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C0AA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BCD9">
            <w:pPr>
              <w:jc w:val="center"/>
            </w:pPr>
            <w:r>
              <w:rPr>
                <w:rFonts w:ascii="宋体" w:hAnsi="宋体" w:eastAsia="宋体"/>
                <w:sz w:val="16"/>
              </w:rPr>
              <w:t>10.00分</w:t>
            </w:r>
          </w:p>
        </w:tc>
      </w:tr>
      <w:tr w14:paraId="3682E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955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02D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219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2A1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572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0C2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B94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31924">
            <w:pPr>
              <w:jc w:val="center"/>
            </w:pPr>
            <w:r>
              <w:rPr>
                <w:rFonts w:ascii="宋体" w:hAnsi="宋体" w:eastAsia="宋体"/>
                <w:sz w:val="16"/>
              </w:rPr>
              <w:t>—</w:t>
            </w:r>
          </w:p>
        </w:tc>
      </w:tr>
      <w:tr w14:paraId="6C03A5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1E1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2BF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2858E">
            <w:pPr>
              <w:jc w:val="center"/>
            </w:pPr>
            <w:r>
              <w:rPr>
                <w:rFonts w:ascii="宋体" w:hAnsi="宋体" w:eastAsia="宋体"/>
                <w:sz w:val="16"/>
              </w:rPr>
              <w:t>172.00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91CC3">
            <w:pPr>
              <w:jc w:val="center"/>
            </w:pPr>
            <w:r>
              <w:rPr>
                <w:rFonts w:ascii="宋体" w:hAnsi="宋体" w:eastAsia="宋体"/>
                <w:sz w:val="16"/>
              </w:rPr>
              <w:t>172.00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9FE6D">
            <w:pPr>
              <w:jc w:val="center"/>
            </w:pPr>
            <w:r>
              <w:rPr>
                <w:rFonts w:ascii="宋体" w:hAnsi="宋体" w:eastAsia="宋体"/>
                <w:sz w:val="16"/>
              </w:rPr>
              <w:t>172.00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F67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81A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FFA5">
            <w:pPr>
              <w:jc w:val="center"/>
            </w:pPr>
            <w:r>
              <w:rPr>
                <w:rFonts w:ascii="宋体" w:hAnsi="宋体" w:eastAsia="宋体"/>
                <w:sz w:val="16"/>
              </w:rPr>
              <w:t>—</w:t>
            </w:r>
          </w:p>
        </w:tc>
      </w:tr>
      <w:tr w14:paraId="03745C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D66B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29EA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9E820D">
            <w:pPr>
              <w:jc w:val="center"/>
            </w:pPr>
            <w:r>
              <w:rPr>
                <w:rFonts w:ascii="宋体" w:hAnsi="宋体" w:eastAsia="宋体"/>
                <w:sz w:val="16"/>
              </w:rPr>
              <w:t>实际完成情况</w:t>
            </w:r>
          </w:p>
        </w:tc>
      </w:tr>
      <w:tr w14:paraId="11150B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2A5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2E8F2E">
            <w:pPr>
              <w:jc w:val="both"/>
            </w:pPr>
            <w:r>
              <w:rPr>
                <w:rFonts w:ascii="宋体" w:hAnsi="宋体" w:eastAsia="宋体"/>
                <w:sz w:val="16"/>
              </w:rPr>
              <w:t>本项目总金额172万元，预计医疗救助患者人数不少于7560人，医疗救助病种不少于40种。项目的实施有效减少患者经济负担，降低因病致贫率。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AABDBB">
            <w:pPr>
              <w:jc w:val="both"/>
            </w:pPr>
            <w:r>
              <w:rPr>
                <w:rFonts w:hint="eastAsia" w:ascii="宋体" w:hAnsi="宋体"/>
                <w:sz w:val="16"/>
                <w:lang w:eastAsia="zh-CN"/>
              </w:rPr>
              <w:t>截至</w:t>
            </w:r>
            <w:r>
              <w:rPr>
                <w:rFonts w:ascii="宋体" w:hAnsi="宋体" w:eastAsia="宋体"/>
                <w:sz w:val="16"/>
              </w:rPr>
              <w:t>自评日,本项目已支出金额为172万元，已完成医疗救助患者人数7560人，医疗救助病种40种。项目的实施有效</w:t>
            </w:r>
            <w:r>
              <w:rPr>
                <w:rFonts w:hint="eastAsia" w:ascii="宋体" w:hAnsi="宋体"/>
                <w:sz w:val="16"/>
                <w:lang w:eastAsia="zh-CN"/>
              </w:rPr>
              <w:t>减少</w:t>
            </w:r>
            <w:r>
              <w:rPr>
                <w:rFonts w:ascii="宋体" w:hAnsi="宋体" w:eastAsia="宋体"/>
                <w:sz w:val="16"/>
              </w:rPr>
              <w:t>了患者经济负担，降低了因病致贫率.</w:t>
            </w:r>
          </w:p>
        </w:tc>
      </w:tr>
      <w:tr w14:paraId="287F91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2490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572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B3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531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5561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D0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C1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8B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4A2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01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DF91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1C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B6D98">
            <w:pPr>
              <w:jc w:val="center"/>
            </w:pPr>
            <w:r>
              <w:rPr>
                <w:rFonts w:ascii="宋体" w:hAnsi="宋体" w:eastAsia="宋体"/>
                <w:sz w:val="16"/>
              </w:rPr>
              <w:t>偏差原因分析及改进措施</w:t>
            </w:r>
          </w:p>
        </w:tc>
      </w:tr>
      <w:tr w14:paraId="55430F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B16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890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7CC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3ADF3">
            <w:pPr>
              <w:jc w:val="center"/>
            </w:pPr>
            <w:r>
              <w:rPr>
                <w:rFonts w:ascii="宋体" w:hAnsi="宋体" w:eastAsia="宋体"/>
                <w:sz w:val="16"/>
              </w:rPr>
              <w:t>医疗救助患者人数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55F95">
            <w:pPr>
              <w:jc w:val="center"/>
            </w:pPr>
            <w:r>
              <w:rPr>
                <w:rFonts w:ascii="宋体" w:hAnsi="宋体" w:eastAsia="宋体"/>
                <w:sz w:val="16"/>
              </w:rPr>
              <w:t>&gt;=7560人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E9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50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3C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F5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F0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D7B0">
            <w:pPr>
              <w:jc w:val="center"/>
            </w:pPr>
            <w:r>
              <w:rPr>
                <w:rFonts w:ascii="宋体" w:hAnsi="宋体" w:eastAsia="宋体"/>
                <w:sz w:val="16"/>
              </w:rPr>
              <w:t>=7560人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F8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1E92B">
            <w:pPr>
              <w:jc w:val="center"/>
            </w:pPr>
          </w:p>
        </w:tc>
      </w:tr>
      <w:tr w14:paraId="6EAD03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4A8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44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9D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B237F">
            <w:pPr>
              <w:jc w:val="center"/>
            </w:pPr>
            <w:r>
              <w:rPr>
                <w:rFonts w:ascii="宋体" w:hAnsi="宋体" w:eastAsia="宋体"/>
                <w:sz w:val="16"/>
              </w:rPr>
              <w:t>医疗救助病种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B6DF">
            <w:pPr>
              <w:jc w:val="center"/>
            </w:pPr>
            <w:r>
              <w:rPr>
                <w:rFonts w:ascii="宋体" w:hAnsi="宋体" w:eastAsia="宋体"/>
                <w:sz w:val="16"/>
              </w:rPr>
              <w:t>&gt;=40种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20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6EE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3E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6AC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99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3295B">
            <w:pPr>
              <w:jc w:val="center"/>
            </w:pPr>
            <w:r>
              <w:rPr>
                <w:rFonts w:ascii="宋体" w:hAnsi="宋体" w:eastAsia="宋体"/>
                <w:sz w:val="16"/>
              </w:rPr>
              <w:t>=40种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87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A9AFB">
            <w:pPr>
              <w:jc w:val="center"/>
            </w:pPr>
          </w:p>
        </w:tc>
      </w:tr>
      <w:tr w14:paraId="0C56D9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57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E8C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46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5062F">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283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9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AF8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EB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E86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21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2E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496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FE19E">
            <w:pPr>
              <w:jc w:val="center"/>
            </w:pPr>
          </w:p>
        </w:tc>
      </w:tr>
      <w:tr w14:paraId="1A701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078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2F3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5D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7F5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C76CA">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F46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42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B6E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C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580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6E61">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57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646FD">
            <w:pPr>
              <w:jc w:val="center"/>
            </w:pPr>
          </w:p>
        </w:tc>
      </w:tr>
      <w:tr w14:paraId="12A7A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D42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80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DC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BF1B">
            <w:pPr>
              <w:jc w:val="center"/>
            </w:pPr>
            <w:r>
              <w:rPr>
                <w:rFonts w:ascii="宋体" w:hAnsi="宋体" w:eastAsia="宋体"/>
                <w:sz w:val="16"/>
              </w:rPr>
              <w:t>医疗救助人均成本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3BC2">
            <w:pPr>
              <w:jc w:val="center"/>
            </w:pPr>
            <w:r>
              <w:rPr>
                <w:rFonts w:ascii="宋体" w:hAnsi="宋体" w:eastAsia="宋体"/>
                <w:sz w:val="16"/>
              </w:rPr>
              <w:t>&lt;=227.51元/人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C6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711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4E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E9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A100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93C7">
            <w:pPr>
              <w:jc w:val="center"/>
            </w:pPr>
            <w:r>
              <w:rPr>
                <w:rFonts w:ascii="宋体" w:hAnsi="宋体" w:eastAsia="宋体"/>
                <w:sz w:val="16"/>
              </w:rPr>
              <w:t>=227.51元/人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D8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1E200">
            <w:pPr>
              <w:jc w:val="center"/>
            </w:pPr>
          </w:p>
        </w:tc>
      </w:tr>
      <w:tr w14:paraId="2D806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99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21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6CD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C23A">
            <w:pPr>
              <w:jc w:val="center"/>
            </w:pPr>
            <w:r>
              <w:rPr>
                <w:rFonts w:ascii="宋体" w:hAnsi="宋体" w:eastAsia="宋体"/>
                <w:sz w:val="16"/>
              </w:rPr>
              <w:t>减少患者经济负担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03A5">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7C0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4C1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AE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7F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12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32CA">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3EF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A41E1">
            <w:pPr>
              <w:jc w:val="center"/>
            </w:pPr>
          </w:p>
        </w:tc>
      </w:tr>
      <w:tr w14:paraId="0C058F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7F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46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582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5F7B">
            <w:pPr>
              <w:jc w:val="center"/>
            </w:pPr>
            <w:r>
              <w:rPr>
                <w:rFonts w:ascii="宋体" w:hAnsi="宋体" w:eastAsia="宋体"/>
                <w:sz w:val="16"/>
              </w:rPr>
              <w:t>救助患者满意度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9A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58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7B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1A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0A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325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737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2FA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597C4">
            <w:pPr>
              <w:jc w:val="center"/>
            </w:pPr>
          </w:p>
        </w:tc>
      </w:tr>
      <w:tr w14:paraId="0EFB54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370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5457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622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FBD6BE">
            <w:pPr>
              <w:jc w:val="center"/>
            </w:pPr>
            <w:r>
              <w:rPr>
                <w:rFonts w:ascii="宋体" w:hAnsi="宋体" w:eastAsia="宋体"/>
                <w:sz w:val="16"/>
              </w:rPr>
              <w:t>100分</w:t>
            </w:r>
          </w:p>
        </w:tc>
      </w:tr>
    </w:tbl>
    <w:p w14:paraId="22F342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58F0535">
        <w:tblPrEx>
          <w:tblCellMar>
            <w:top w:w="0" w:type="dxa"/>
            <w:left w:w="108" w:type="dxa"/>
            <w:bottom w:w="0" w:type="dxa"/>
            <w:right w:w="108" w:type="dxa"/>
          </w:tblCellMar>
        </w:tblPrEx>
        <w:tc>
          <w:tcPr>
            <w:tcW w:w="8848" w:type="dxa"/>
            <w:gridSpan w:val="14"/>
            <w:vAlign w:val="center"/>
          </w:tcPr>
          <w:p w14:paraId="46858B9D">
            <w:pPr>
              <w:jc w:val="center"/>
            </w:pPr>
            <w:r>
              <w:rPr>
                <w:rFonts w:ascii="宋体" w:hAnsi="宋体" w:eastAsia="宋体"/>
                <w:sz w:val="24"/>
              </w:rPr>
              <w:t>项目支出绩效自评表</w:t>
            </w:r>
          </w:p>
        </w:tc>
      </w:tr>
      <w:tr w14:paraId="65DE92A4">
        <w:tblPrEx>
          <w:tblCellMar>
            <w:top w:w="0" w:type="dxa"/>
            <w:left w:w="108" w:type="dxa"/>
            <w:bottom w:w="0" w:type="dxa"/>
            <w:right w:w="108" w:type="dxa"/>
          </w:tblCellMar>
        </w:tblPrEx>
        <w:tc>
          <w:tcPr>
            <w:tcW w:w="8848" w:type="dxa"/>
            <w:gridSpan w:val="14"/>
            <w:vAlign w:val="center"/>
          </w:tcPr>
          <w:p w14:paraId="1AFCD0F2">
            <w:pPr>
              <w:jc w:val="center"/>
            </w:pPr>
            <w:r>
              <w:rPr>
                <w:rFonts w:ascii="宋体" w:hAnsi="宋体" w:eastAsia="宋体"/>
                <w:sz w:val="24"/>
              </w:rPr>
              <w:t>(2024年度)</w:t>
            </w:r>
          </w:p>
        </w:tc>
      </w:tr>
      <w:tr w14:paraId="5469F8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6B0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08DD9F">
            <w:pPr>
              <w:jc w:val="center"/>
            </w:pPr>
            <w:r>
              <w:rPr>
                <w:rFonts w:ascii="宋体" w:hAnsi="宋体" w:eastAsia="宋体"/>
                <w:sz w:val="16"/>
              </w:rPr>
              <w:t>麦盖提县级医院医疗提升、巡诊义诊服务项目(山东援疆）</w:t>
            </w:r>
          </w:p>
        </w:tc>
      </w:tr>
      <w:tr w14:paraId="06DD20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678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E95984">
            <w:pPr>
              <w:jc w:val="center"/>
            </w:pPr>
            <w:r>
              <w:rPr>
                <w:rFonts w:ascii="宋体" w:hAnsi="宋体" w:eastAsia="宋体"/>
                <w:sz w:val="16"/>
              </w:rPr>
              <w:t>麦盖提县卫健委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0EDD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EEDB75">
            <w:pPr>
              <w:jc w:val="center"/>
            </w:pPr>
            <w:r>
              <w:rPr>
                <w:rFonts w:ascii="宋体" w:hAnsi="宋体" w:eastAsia="宋体"/>
                <w:sz w:val="16"/>
              </w:rPr>
              <w:t>麦盖提县人民医院</w:t>
            </w:r>
          </w:p>
        </w:tc>
      </w:tr>
      <w:tr w14:paraId="0BB3DB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96A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BC4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0C0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8F2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F25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347C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E3E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60B4">
            <w:pPr>
              <w:jc w:val="center"/>
            </w:pPr>
            <w:r>
              <w:rPr>
                <w:rFonts w:ascii="宋体" w:hAnsi="宋体" w:eastAsia="宋体"/>
                <w:sz w:val="16"/>
              </w:rPr>
              <w:t>得分</w:t>
            </w:r>
          </w:p>
        </w:tc>
      </w:tr>
      <w:tr w14:paraId="7D9ECF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0CA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74F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A2CCF">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2D568">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04A4D">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4D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787F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DC9A">
            <w:pPr>
              <w:jc w:val="center"/>
            </w:pPr>
            <w:r>
              <w:rPr>
                <w:rFonts w:ascii="宋体" w:hAnsi="宋体" w:eastAsia="宋体"/>
                <w:sz w:val="16"/>
              </w:rPr>
              <w:t>10.00分</w:t>
            </w:r>
          </w:p>
        </w:tc>
      </w:tr>
      <w:tr w14:paraId="77F1DF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5F2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ED7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8CB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0B5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709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156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F90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ED030">
            <w:pPr>
              <w:jc w:val="center"/>
            </w:pPr>
            <w:r>
              <w:rPr>
                <w:rFonts w:ascii="宋体" w:hAnsi="宋体" w:eastAsia="宋体"/>
                <w:sz w:val="16"/>
              </w:rPr>
              <w:t>—</w:t>
            </w:r>
          </w:p>
        </w:tc>
      </w:tr>
      <w:tr w14:paraId="53D25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6E4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C3E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A9D88">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85EB2">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45DB7">
            <w:pPr>
              <w:jc w:val="center"/>
            </w:pPr>
            <w:r>
              <w:rPr>
                <w:rFonts w:ascii="宋体" w:hAnsi="宋体" w:eastAsia="宋体"/>
                <w:sz w:val="16"/>
              </w:rPr>
              <w:t>145.00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AFF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A42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FDCA7">
            <w:pPr>
              <w:jc w:val="center"/>
            </w:pPr>
            <w:r>
              <w:rPr>
                <w:rFonts w:ascii="宋体" w:hAnsi="宋体" w:eastAsia="宋体"/>
                <w:sz w:val="16"/>
              </w:rPr>
              <w:t>—</w:t>
            </w:r>
          </w:p>
        </w:tc>
      </w:tr>
      <w:tr w14:paraId="421419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6019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4333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C30A77">
            <w:pPr>
              <w:jc w:val="center"/>
            </w:pPr>
            <w:r>
              <w:rPr>
                <w:rFonts w:ascii="宋体" w:hAnsi="宋体" w:eastAsia="宋体"/>
                <w:sz w:val="16"/>
              </w:rPr>
              <w:t>实际完成情况</w:t>
            </w:r>
          </w:p>
        </w:tc>
      </w:tr>
      <w:tr w14:paraId="4C97A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34C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DBFD40">
            <w:pPr>
              <w:jc w:val="both"/>
            </w:pPr>
            <w:r>
              <w:rPr>
                <w:rFonts w:ascii="宋体" w:hAnsi="宋体" w:eastAsia="宋体"/>
                <w:sz w:val="16"/>
              </w:rPr>
              <w:t>项目总金额145万元，主要用于采购功能科经颅多普勒超声1台、高血压神经内科生物反馈治疗仪1台，呼吸与危重症医学科、心血管肾病科双人吊桥4套、呼吸与危重症医学科、心血管肾病科心电监护仪8套、新生儿科婴儿培养箱3套、外系手术科室手术器械2批及进行义诊15次等。项目的实施有效提升医院综合服务能力，强化服务意识、规范服务行为、优化服务流程，使医院能够健康、快速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4AE101">
            <w:pPr>
              <w:jc w:val="both"/>
            </w:pPr>
            <w:r>
              <w:rPr>
                <w:rFonts w:ascii="宋体" w:hAnsi="宋体" w:eastAsia="宋体"/>
                <w:sz w:val="16"/>
              </w:rPr>
              <w:t>截止自评日，项目总支出金额为145万元，已采购功能科经颅多普勒超声1台、高血压神经内科生物反馈治疗仪1台，呼吸与危重症医学科、心血管肾病科双人吊桥4套、呼吸与危重症医学科、心血管肾病科心电监护仪8套、新生儿科婴儿培养箱3套、外系手术科室手术器械2批及进行义诊15次等。项目的实施有效提升了医院综合服务能力，强化了服务意识、规范了服务行为、优化了服务流程，使医院能够健康、快速发展。</w:t>
            </w:r>
          </w:p>
        </w:tc>
      </w:tr>
      <w:tr w14:paraId="2ED50A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C085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8D7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51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8A6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C9F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A3D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D4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7F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04C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92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1FC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A2E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68207">
            <w:pPr>
              <w:jc w:val="center"/>
            </w:pPr>
            <w:r>
              <w:rPr>
                <w:rFonts w:ascii="宋体" w:hAnsi="宋体" w:eastAsia="宋体"/>
                <w:sz w:val="16"/>
              </w:rPr>
              <w:t>偏差原因分析及改进措施</w:t>
            </w:r>
          </w:p>
        </w:tc>
      </w:tr>
      <w:tr w14:paraId="6B1670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853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A251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E0E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DEF9">
            <w:pPr>
              <w:jc w:val="center"/>
            </w:pPr>
            <w:r>
              <w:rPr>
                <w:rFonts w:ascii="宋体" w:hAnsi="宋体" w:eastAsia="宋体"/>
                <w:sz w:val="16"/>
              </w:rPr>
              <w:t>采购设备、仪器数量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B34C">
            <w:pPr>
              <w:jc w:val="center"/>
            </w:pPr>
            <w:r>
              <w:rPr>
                <w:rFonts w:ascii="宋体" w:hAnsi="宋体" w:eastAsia="宋体"/>
                <w:sz w:val="16"/>
              </w:rPr>
              <w:t>&gt;=17套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5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AE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85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90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8D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78D2">
            <w:pPr>
              <w:jc w:val="center"/>
            </w:pPr>
            <w:r>
              <w:rPr>
                <w:rFonts w:ascii="宋体" w:hAnsi="宋体" w:eastAsia="宋体"/>
                <w:sz w:val="16"/>
              </w:rPr>
              <w:t>=17套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AFA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AF76E">
            <w:pPr>
              <w:jc w:val="center"/>
            </w:pPr>
          </w:p>
        </w:tc>
      </w:tr>
      <w:tr w14:paraId="448183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FE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AD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421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5A42B">
            <w:pPr>
              <w:jc w:val="center"/>
            </w:pPr>
            <w:r>
              <w:rPr>
                <w:rFonts w:ascii="宋体" w:hAnsi="宋体" w:eastAsia="宋体"/>
                <w:sz w:val="16"/>
              </w:rPr>
              <w:t>采购手术器械批次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A833A">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973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DA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CE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14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5A3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D16D">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15D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2D609">
            <w:pPr>
              <w:jc w:val="center"/>
            </w:pPr>
          </w:p>
        </w:tc>
      </w:tr>
      <w:tr w14:paraId="0CBC6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0D5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F21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2DF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DA27">
            <w:pPr>
              <w:jc w:val="center"/>
            </w:pPr>
            <w:r>
              <w:rPr>
                <w:rFonts w:ascii="宋体" w:hAnsi="宋体" w:eastAsia="宋体"/>
                <w:sz w:val="16"/>
              </w:rPr>
              <w:t>进行义诊次数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B1C4">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9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5A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8D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2F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08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67464">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30D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2D2FA">
            <w:pPr>
              <w:jc w:val="center"/>
            </w:pPr>
          </w:p>
        </w:tc>
      </w:tr>
      <w:tr w14:paraId="2AAA9A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43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C46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CD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C5C0">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E1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4A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38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1B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B8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B18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96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E3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36ACE">
            <w:pPr>
              <w:jc w:val="center"/>
            </w:pPr>
          </w:p>
        </w:tc>
      </w:tr>
      <w:tr w14:paraId="4B661C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9D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31D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DEB9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A825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D5F5">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679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014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9BF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9DF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A9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CCD0">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7AA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79662">
            <w:pPr>
              <w:jc w:val="center"/>
            </w:pPr>
          </w:p>
        </w:tc>
      </w:tr>
      <w:tr w14:paraId="4DFF0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D0B3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048F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935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99AE">
            <w:pPr>
              <w:jc w:val="center"/>
            </w:pPr>
            <w:r>
              <w:rPr>
                <w:rFonts w:ascii="宋体" w:hAnsi="宋体" w:eastAsia="宋体"/>
                <w:sz w:val="16"/>
              </w:rPr>
              <w:t>采购设备、仪器成本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8AC4">
            <w:pPr>
              <w:jc w:val="center"/>
            </w:pPr>
            <w:r>
              <w:rPr>
                <w:rFonts w:ascii="宋体" w:hAnsi="宋体" w:eastAsia="宋体"/>
                <w:sz w:val="16"/>
              </w:rPr>
              <w:t>&lt;=96.74万元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A6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90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DF5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B6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CC8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3443">
            <w:pPr>
              <w:jc w:val="center"/>
            </w:pPr>
            <w:r>
              <w:rPr>
                <w:rFonts w:ascii="宋体" w:hAnsi="宋体" w:eastAsia="宋体"/>
                <w:sz w:val="16"/>
              </w:rPr>
              <w:t>=96.74万元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617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51D0">
            <w:pPr>
              <w:jc w:val="center"/>
            </w:pPr>
          </w:p>
        </w:tc>
      </w:tr>
      <w:tr w14:paraId="51A0D3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136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C6B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3A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99308">
            <w:pPr>
              <w:jc w:val="center"/>
            </w:pPr>
            <w:r>
              <w:rPr>
                <w:rFonts w:ascii="宋体" w:hAnsi="宋体" w:eastAsia="宋体"/>
                <w:sz w:val="16"/>
              </w:rPr>
              <w:t>采购手术器械成本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2D4BC">
            <w:pPr>
              <w:jc w:val="center"/>
            </w:pPr>
            <w:r>
              <w:rPr>
                <w:rFonts w:ascii="宋体" w:hAnsi="宋体" w:eastAsia="宋体"/>
                <w:sz w:val="16"/>
              </w:rPr>
              <w:t>&lt;=42.26万元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308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45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A17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A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B85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63EE">
            <w:pPr>
              <w:jc w:val="center"/>
            </w:pPr>
            <w:r>
              <w:rPr>
                <w:rFonts w:ascii="宋体" w:hAnsi="宋体" w:eastAsia="宋体"/>
                <w:sz w:val="16"/>
              </w:rPr>
              <w:t>=42.26万元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32F3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EF3C1">
            <w:pPr>
              <w:jc w:val="center"/>
            </w:pPr>
          </w:p>
        </w:tc>
      </w:tr>
      <w:tr w14:paraId="4DF61C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64F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CB69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777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2566D">
            <w:pPr>
              <w:jc w:val="center"/>
            </w:pPr>
            <w:r>
              <w:rPr>
                <w:rFonts w:ascii="宋体" w:hAnsi="宋体" w:eastAsia="宋体"/>
                <w:sz w:val="16"/>
              </w:rPr>
              <w:t>义诊成本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236E">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D9AC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38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26A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2A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338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DA2F">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E38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EEE3">
            <w:pPr>
              <w:jc w:val="center"/>
            </w:pPr>
          </w:p>
        </w:tc>
      </w:tr>
      <w:tr w14:paraId="11265F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FA9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11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32BE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4E329">
            <w:pPr>
              <w:jc w:val="center"/>
            </w:pPr>
            <w:r>
              <w:rPr>
                <w:rFonts w:ascii="宋体" w:hAnsi="宋体" w:eastAsia="宋体"/>
                <w:sz w:val="16"/>
              </w:rPr>
              <w:t>提升医院综合服务能力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A67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B3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D4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43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3C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C4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09F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1F6C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C7D58">
            <w:pPr>
              <w:jc w:val="center"/>
            </w:pPr>
          </w:p>
        </w:tc>
      </w:tr>
      <w:tr w14:paraId="3D8A7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58E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31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67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D489">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15B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6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D9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96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3C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E3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89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C2E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AEBC6">
            <w:pPr>
              <w:jc w:val="center"/>
            </w:pPr>
          </w:p>
        </w:tc>
      </w:tr>
      <w:tr w14:paraId="43BCA0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95A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F56F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06DD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EB0A2E">
            <w:pPr>
              <w:jc w:val="center"/>
            </w:pPr>
            <w:r>
              <w:rPr>
                <w:rFonts w:ascii="宋体" w:hAnsi="宋体" w:eastAsia="宋体"/>
                <w:sz w:val="16"/>
              </w:rPr>
              <w:t>100分</w:t>
            </w:r>
          </w:p>
        </w:tc>
      </w:tr>
    </w:tbl>
    <w:p w14:paraId="1718107D">
      <w:r>
        <w:br w:type="page"/>
      </w:r>
    </w:p>
    <w:p w14:paraId="5BC4F361">
      <w:pPr>
        <w:spacing w:line="640" w:lineRule="exact"/>
        <w:ind w:firstLine="640"/>
        <w:jc w:val="both"/>
        <w:outlineLvl w:val="2"/>
      </w:pPr>
      <w:r>
        <w:rPr>
          <w:rFonts w:ascii="黑体" w:hAnsi="黑体" w:eastAsia="黑体"/>
          <w:sz w:val="32"/>
        </w:rPr>
        <w:t>十二、其他需说明的事项</w:t>
      </w:r>
    </w:p>
    <w:p w14:paraId="24EEA18D">
      <w:pPr>
        <w:spacing w:line="580" w:lineRule="exact"/>
        <w:ind w:firstLine="640"/>
        <w:jc w:val="both"/>
      </w:pPr>
      <w:r>
        <w:rPr>
          <w:rFonts w:ascii="仿宋_GB2312" w:hAnsi="仿宋_GB2312" w:eastAsia="仿宋_GB2312"/>
          <w:b w:val="0"/>
          <w:sz w:val="32"/>
        </w:rPr>
        <w:t>本单位无其他需说明的事项。</w:t>
      </w:r>
    </w:p>
    <w:p w14:paraId="58F4ACDB">
      <w:r>
        <w:br w:type="page"/>
      </w:r>
    </w:p>
    <w:p w14:paraId="0E294B42">
      <w:pPr>
        <w:spacing w:line="240" w:lineRule="auto"/>
        <w:jc w:val="center"/>
        <w:outlineLvl w:val="1"/>
      </w:pPr>
      <w:r>
        <w:rPr>
          <w:rFonts w:ascii="黑体" w:hAnsi="黑体" w:eastAsia="黑体"/>
          <w:sz w:val="32"/>
        </w:rPr>
        <w:t>第三部分 专业名词解释</w:t>
      </w:r>
    </w:p>
    <w:p w14:paraId="235FBA6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960BC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2E070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437E85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234E9C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48A9E7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6ACEA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F77FB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7B36C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7C4CE0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242C0E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21D31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E65711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5C08B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F7B5AA">
      <w:r>
        <w:br w:type="page"/>
      </w:r>
    </w:p>
    <w:p w14:paraId="7CF3D6F8">
      <w:pPr>
        <w:spacing w:line="240" w:lineRule="auto"/>
        <w:jc w:val="center"/>
        <w:outlineLvl w:val="1"/>
      </w:pPr>
      <w:r>
        <w:rPr>
          <w:rFonts w:ascii="黑体" w:hAnsi="黑体" w:eastAsia="黑体"/>
          <w:sz w:val="32"/>
        </w:rPr>
        <w:t>第四部分 部门决算报表（见附表）</w:t>
      </w:r>
    </w:p>
    <w:p w14:paraId="65C890B5">
      <w:pPr>
        <w:spacing w:line="240" w:lineRule="auto"/>
        <w:ind w:firstLine="640"/>
        <w:jc w:val="both"/>
      </w:pPr>
      <w:r>
        <w:rPr>
          <w:rFonts w:ascii="仿宋_GB2312" w:hAnsi="仿宋_GB2312" w:eastAsia="仿宋_GB2312"/>
          <w:b w:val="0"/>
          <w:sz w:val="32"/>
        </w:rPr>
        <w:t>一、《收入支出决算总表》</w:t>
      </w:r>
    </w:p>
    <w:p w14:paraId="7F373BFF">
      <w:pPr>
        <w:spacing w:line="240" w:lineRule="auto"/>
        <w:ind w:firstLine="640"/>
        <w:jc w:val="both"/>
      </w:pPr>
      <w:r>
        <w:rPr>
          <w:rFonts w:ascii="仿宋_GB2312" w:hAnsi="仿宋_GB2312" w:eastAsia="仿宋_GB2312"/>
          <w:b w:val="0"/>
          <w:sz w:val="32"/>
        </w:rPr>
        <w:t>二、《收入决算表》</w:t>
      </w:r>
    </w:p>
    <w:p w14:paraId="3746B18F">
      <w:pPr>
        <w:spacing w:line="240" w:lineRule="auto"/>
        <w:ind w:firstLine="640"/>
        <w:jc w:val="both"/>
      </w:pPr>
      <w:r>
        <w:rPr>
          <w:rFonts w:ascii="仿宋_GB2312" w:hAnsi="仿宋_GB2312" w:eastAsia="仿宋_GB2312"/>
          <w:b w:val="0"/>
          <w:sz w:val="32"/>
        </w:rPr>
        <w:t>三、《支出决算表》</w:t>
      </w:r>
    </w:p>
    <w:p w14:paraId="1BB82A74">
      <w:pPr>
        <w:spacing w:line="240" w:lineRule="auto"/>
        <w:ind w:firstLine="640"/>
        <w:jc w:val="both"/>
      </w:pPr>
      <w:r>
        <w:rPr>
          <w:rFonts w:ascii="仿宋_GB2312" w:hAnsi="仿宋_GB2312" w:eastAsia="仿宋_GB2312"/>
          <w:b w:val="0"/>
          <w:sz w:val="32"/>
        </w:rPr>
        <w:t>四、《财政拨款收入支出决算总表》</w:t>
      </w:r>
    </w:p>
    <w:p w14:paraId="228156F8">
      <w:pPr>
        <w:spacing w:line="240" w:lineRule="auto"/>
        <w:ind w:firstLine="640"/>
        <w:jc w:val="both"/>
      </w:pPr>
      <w:r>
        <w:rPr>
          <w:rFonts w:ascii="仿宋_GB2312" w:hAnsi="仿宋_GB2312" w:eastAsia="仿宋_GB2312"/>
          <w:b w:val="0"/>
          <w:sz w:val="32"/>
        </w:rPr>
        <w:t>五、《一般公共预算财政拨款支出决算表》</w:t>
      </w:r>
    </w:p>
    <w:p w14:paraId="2700FADF">
      <w:pPr>
        <w:spacing w:line="240" w:lineRule="auto"/>
        <w:ind w:firstLine="640"/>
        <w:jc w:val="both"/>
      </w:pPr>
      <w:r>
        <w:rPr>
          <w:rFonts w:ascii="仿宋_GB2312" w:hAnsi="仿宋_GB2312" w:eastAsia="仿宋_GB2312"/>
          <w:b w:val="0"/>
          <w:sz w:val="32"/>
        </w:rPr>
        <w:t>六、《一般公共预算财政拨款基本支出决算表》</w:t>
      </w:r>
    </w:p>
    <w:p w14:paraId="158377EC">
      <w:pPr>
        <w:spacing w:line="240" w:lineRule="auto"/>
        <w:ind w:firstLine="640"/>
        <w:jc w:val="both"/>
      </w:pPr>
      <w:r>
        <w:rPr>
          <w:rFonts w:ascii="仿宋_GB2312" w:hAnsi="仿宋_GB2312" w:eastAsia="仿宋_GB2312"/>
          <w:b w:val="0"/>
          <w:sz w:val="32"/>
        </w:rPr>
        <w:t>七、《政府性基金预算财政拨款收入支出决算表》</w:t>
      </w:r>
    </w:p>
    <w:p w14:paraId="24D5B73A">
      <w:pPr>
        <w:spacing w:line="240" w:lineRule="auto"/>
        <w:ind w:firstLine="640"/>
        <w:jc w:val="both"/>
      </w:pPr>
      <w:r>
        <w:rPr>
          <w:rFonts w:ascii="仿宋_GB2312" w:hAnsi="仿宋_GB2312" w:eastAsia="仿宋_GB2312"/>
          <w:b w:val="0"/>
          <w:sz w:val="32"/>
        </w:rPr>
        <w:t>八、《国有资本经营预算财政拨款收入支出决算表》</w:t>
      </w:r>
    </w:p>
    <w:p w14:paraId="36BB30B6">
      <w:pPr>
        <w:spacing w:line="240" w:lineRule="auto"/>
        <w:ind w:firstLine="640"/>
        <w:jc w:val="both"/>
      </w:pPr>
      <w:r>
        <w:rPr>
          <w:rFonts w:ascii="仿宋_GB2312" w:hAnsi="仿宋_GB2312" w:eastAsia="仿宋_GB2312"/>
          <w:b w:val="0"/>
          <w:sz w:val="32"/>
        </w:rPr>
        <w:t>九、《财政拨款“三公”经费支出决算表》</w:t>
      </w:r>
    </w:p>
    <w:p w14:paraId="5731617D">
      <w:pPr>
        <w:spacing w:line="240" w:lineRule="auto"/>
        <w:ind w:firstLine="640"/>
        <w:jc w:val="both"/>
      </w:pPr>
    </w:p>
    <w:p w14:paraId="4A4C04DE">
      <w:pPr>
        <w:spacing w:line="240" w:lineRule="auto"/>
        <w:ind w:firstLine="640"/>
        <w:jc w:val="both"/>
      </w:pPr>
    </w:p>
    <w:p w14:paraId="1B230933">
      <w:pPr>
        <w:spacing w:line="240" w:lineRule="auto"/>
        <w:ind w:firstLine="640"/>
        <w:jc w:val="both"/>
      </w:pPr>
    </w:p>
    <w:p w14:paraId="25C378FA">
      <w:pPr>
        <w:spacing w:line="240" w:lineRule="auto"/>
        <w:ind w:firstLine="640"/>
        <w:jc w:val="both"/>
      </w:pPr>
    </w:p>
    <w:p w14:paraId="68C12B1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94246B"/>
    <w:rsid w:val="043E5B56"/>
    <w:rsid w:val="06792773"/>
    <w:rsid w:val="0746651C"/>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6527975"/>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6062</Words>
  <Characters>7102</Characters>
  <Lines>0</Lines>
  <Paragraphs>0</Paragraphs>
  <TotalTime>5</TotalTime>
  <ScaleCrop>false</ScaleCrop>
  <LinksUpToDate>false</LinksUpToDate>
  <CharactersWithSpaces>7110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2025-09-04T03:48:00Z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eyJoZGlkIjoiZjZjY2YzNDY3YWM4YThjNjdkZTk2MDAwYjE2OGQzNDQiLCJ1c2VySWQiOiIyNTk4NTcxMjUifQ==</vt:lpwstr>
  </property>
</Properties>
</file>