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326E8">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C970AA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FF0B77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30B0D6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133161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0AA9CF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麦盖提县医疗保障局2024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207A315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40CA94A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2706C61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E9B7D4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6D4E27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10F89B35">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5020EF9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63391E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7A30189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2B0B4E2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3A7BFF6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39CA55D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5C8CD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2610E28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7618AF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13FC66D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4DCFEF2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542D691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1E2919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5EC3F4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5B0BB88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131B053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67AA0AE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4D37198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5FEF8F9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06BF388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4125535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22F626C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49DEEE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3A3FCEA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452E57A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4E14770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40AADA1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0136CA1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6306F1E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19B5EC1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F81C57E">
      <w:r>
        <w:br w:type="page"/>
      </w:r>
    </w:p>
    <w:p w14:paraId="435E1DD2">
      <w:pPr>
        <w:spacing w:line="640" w:lineRule="exact"/>
        <w:jc w:val="center"/>
        <w:outlineLvl w:val="1"/>
      </w:pPr>
      <w:r>
        <w:rPr>
          <w:rFonts w:ascii="黑体" w:hAnsi="黑体" w:eastAsia="黑体"/>
          <w:sz w:val="32"/>
        </w:rPr>
        <w:t>第一部分 单位概况</w:t>
      </w:r>
    </w:p>
    <w:p w14:paraId="1C0DD7B3">
      <w:pPr>
        <w:spacing w:line="640" w:lineRule="exact"/>
        <w:ind w:firstLine="640"/>
        <w:jc w:val="both"/>
        <w:outlineLvl w:val="2"/>
      </w:pPr>
      <w:r>
        <w:rPr>
          <w:rFonts w:ascii="黑体" w:hAnsi="黑体" w:eastAsia="黑体"/>
          <w:sz w:val="32"/>
        </w:rPr>
        <w:t>一、主要职能</w:t>
      </w:r>
    </w:p>
    <w:p w14:paraId="5454258A">
      <w:pPr>
        <w:spacing w:line="580" w:lineRule="exact"/>
        <w:ind w:firstLine="640"/>
        <w:jc w:val="both"/>
      </w:pPr>
      <w:r>
        <w:rPr>
          <w:rFonts w:ascii="仿宋_GB2312" w:hAnsi="仿宋_GB2312" w:eastAsia="仿宋_GB2312"/>
          <w:sz w:val="32"/>
        </w:rPr>
        <w:t>(一）贯彻落实国家和自治区医疗保险、生育保险、人身意外伤害保险、医疗救助等医疗保障制度。</w:t>
      </w:r>
    </w:p>
    <w:p w14:paraId="14EF5841">
      <w:pPr>
        <w:spacing w:line="580" w:lineRule="exact"/>
        <w:ind w:firstLine="640"/>
        <w:jc w:val="both"/>
      </w:pPr>
      <w:r>
        <w:rPr>
          <w:rFonts w:ascii="仿宋_GB2312" w:hAnsi="仿宋_GB2312" w:eastAsia="仿宋_GB2312"/>
          <w:sz w:val="32"/>
        </w:rPr>
        <w:t>(二）建立健全医疗保障基金安全防控机制，承担推进医疗保障基金支付方式改革工作。</w:t>
      </w:r>
    </w:p>
    <w:p w14:paraId="3036D20D">
      <w:pPr>
        <w:spacing w:line="580" w:lineRule="exact"/>
        <w:ind w:firstLine="640"/>
        <w:jc w:val="both"/>
      </w:pPr>
      <w:r>
        <w:rPr>
          <w:rFonts w:ascii="仿宋_GB2312" w:hAnsi="仿宋_GB2312" w:eastAsia="仿宋_GB2312"/>
          <w:sz w:val="32"/>
        </w:rPr>
        <w:t>(三）贯彻落实地区关于医疗保障筹资和待遇政策，完善动态调整和区域调剂平衡机制，统筹城乡医疗保障待遇标准，落实各项参保政策。</w:t>
      </w:r>
    </w:p>
    <w:p w14:paraId="39C16EDC">
      <w:pPr>
        <w:spacing w:line="580" w:lineRule="exact"/>
        <w:ind w:firstLine="640"/>
        <w:jc w:val="both"/>
      </w:pPr>
      <w:r>
        <w:rPr>
          <w:rFonts w:ascii="仿宋_GB2312" w:hAnsi="仿宋_GB2312" w:eastAsia="仿宋_GB2312"/>
          <w:sz w:val="32"/>
        </w:rPr>
        <w:t>(四）贯彻落实国家、自治区、地区药品医用耗材价格和医疗服务项目、医疗服务设施收费等政策并监督实施，执行自治区制定的药品、医用耗材的招标采购政策并监督实施。</w:t>
      </w:r>
    </w:p>
    <w:p w14:paraId="58A6000C">
      <w:pPr>
        <w:spacing w:line="580" w:lineRule="exact"/>
        <w:ind w:firstLine="640"/>
        <w:jc w:val="both"/>
      </w:pPr>
      <w:r>
        <w:rPr>
          <w:rFonts w:ascii="仿宋_GB2312" w:hAnsi="仿宋_GB2312" w:eastAsia="仿宋_GB2312"/>
          <w:sz w:val="32"/>
        </w:rPr>
        <w:t>(五）贯彻落实国家、自治区、地区药品、医用耗材、医疗服务项目、医疗服务设施等医保目录和支付标准。</w:t>
      </w:r>
    </w:p>
    <w:p w14:paraId="4C6B919A">
      <w:pPr>
        <w:spacing w:line="580" w:lineRule="exact"/>
        <w:ind w:firstLine="640"/>
        <w:jc w:val="both"/>
      </w:pPr>
      <w:r>
        <w:rPr>
          <w:rFonts w:ascii="仿宋_GB2312" w:hAnsi="仿宋_GB2312" w:eastAsia="仿宋_GB2312"/>
          <w:sz w:val="32"/>
        </w:rPr>
        <w:t>(六）落实定点医药机构协议和支付管理，建立健全医疗保障信用评价体系和信息披露制度，监督管理纳入医保范围内的医疗服务行为和医疗费用，依法查处医疗保障、生育保险领域违法违规行为。</w:t>
      </w:r>
    </w:p>
    <w:p w14:paraId="390365EF">
      <w:pPr>
        <w:spacing w:line="580" w:lineRule="exact"/>
        <w:ind w:firstLine="640"/>
        <w:jc w:val="both"/>
      </w:pPr>
      <w:r>
        <w:rPr>
          <w:rFonts w:ascii="仿宋_GB2312" w:hAnsi="仿宋_GB2312" w:eastAsia="仿宋_GB2312"/>
          <w:sz w:val="32"/>
        </w:rPr>
        <w:t>(七）负责全县医疗保障经办管理、公共服务体系和信息化建设。贯彻落实国家和自治区跨省异地就医管理和费用结算政策，监督指导医疗保障经办机构开展业务工作。</w:t>
      </w:r>
    </w:p>
    <w:p w14:paraId="0BEE81CB">
      <w:pPr>
        <w:spacing w:line="580" w:lineRule="exact"/>
        <w:ind w:firstLine="640"/>
        <w:jc w:val="both"/>
      </w:pPr>
      <w:r>
        <w:rPr>
          <w:rFonts w:ascii="仿宋_GB2312" w:hAnsi="仿宋_GB2312" w:eastAsia="仿宋_GB2312"/>
          <w:sz w:val="32"/>
        </w:rPr>
        <w:t>(八）承办县委、县政府交办的其他任务。</w:t>
      </w:r>
    </w:p>
    <w:p w14:paraId="4EE5CB9D">
      <w:pPr>
        <w:spacing w:line="640" w:lineRule="exact"/>
        <w:ind w:firstLine="640"/>
        <w:jc w:val="both"/>
        <w:outlineLvl w:val="2"/>
      </w:pPr>
      <w:r>
        <w:rPr>
          <w:rFonts w:ascii="黑体" w:hAnsi="黑体" w:eastAsia="黑体"/>
          <w:sz w:val="32"/>
        </w:rPr>
        <w:t>二、机构设置及人员情况</w:t>
      </w:r>
    </w:p>
    <w:p w14:paraId="2ED381DA">
      <w:pPr>
        <w:spacing w:line="580" w:lineRule="exact"/>
        <w:ind w:firstLine="640"/>
        <w:jc w:val="both"/>
      </w:pPr>
      <w:r>
        <w:rPr>
          <w:rFonts w:ascii="仿宋_GB2312" w:hAnsi="仿宋_GB2312" w:eastAsia="仿宋_GB2312"/>
          <w:sz w:val="32"/>
        </w:rPr>
        <w:t>麦盖提县医疗保障局2024年度，实有人数17人，其中：在职人员15人，增加0人；离休人员0人，增加0人；退休人员2人,增加1人。</w:t>
      </w:r>
    </w:p>
    <w:p w14:paraId="32750FFB">
      <w:pPr>
        <w:spacing w:line="580" w:lineRule="exact"/>
        <w:ind w:firstLine="640"/>
        <w:jc w:val="both"/>
      </w:pPr>
      <w:r>
        <w:rPr>
          <w:rFonts w:ascii="仿宋_GB2312" w:hAnsi="仿宋_GB2312" w:eastAsia="仿宋_GB2312"/>
          <w:sz w:val="32"/>
        </w:rPr>
        <w:t>麦盖提县医疗保障局无下属预算单位，下设5个科室，分别是：办公室、财务室、征缴科、基金监管科、待遇支付科。</w:t>
      </w:r>
    </w:p>
    <w:p w14:paraId="673CA661">
      <w:r>
        <w:br w:type="page"/>
      </w:r>
    </w:p>
    <w:p w14:paraId="497E3857">
      <w:pPr>
        <w:spacing w:line="240" w:lineRule="auto"/>
        <w:jc w:val="center"/>
        <w:outlineLvl w:val="1"/>
      </w:pPr>
      <w:r>
        <w:rPr>
          <w:rFonts w:ascii="黑体" w:hAnsi="黑体" w:eastAsia="黑体"/>
          <w:sz w:val="32"/>
        </w:rPr>
        <w:t>第二部分 部门决算情况说明</w:t>
      </w:r>
    </w:p>
    <w:p w14:paraId="7F9DDF46">
      <w:pPr>
        <w:spacing w:line="640" w:lineRule="exact"/>
        <w:ind w:firstLine="640"/>
        <w:jc w:val="both"/>
        <w:outlineLvl w:val="2"/>
      </w:pPr>
      <w:r>
        <w:rPr>
          <w:rFonts w:ascii="黑体" w:hAnsi="黑体" w:eastAsia="黑体"/>
          <w:sz w:val="32"/>
        </w:rPr>
        <w:t>一、收入支出决算总体情况说明</w:t>
      </w:r>
    </w:p>
    <w:p w14:paraId="57D37F68">
      <w:pPr>
        <w:spacing w:line="580" w:lineRule="exact"/>
        <w:ind w:firstLine="640"/>
        <w:jc w:val="both"/>
      </w:pPr>
      <w:r>
        <w:rPr>
          <w:rFonts w:ascii="仿宋_GB2312" w:hAnsi="仿宋_GB2312" w:eastAsia="仿宋_GB2312"/>
          <w:b/>
          <w:sz w:val="32"/>
        </w:rPr>
        <w:t>2024年度收入总计283.19万元，</w:t>
      </w:r>
      <w:r>
        <w:rPr>
          <w:rFonts w:ascii="仿宋_GB2312" w:hAnsi="仿宋_GB2312" w:eastAsia="仿宋_GB2312"/>
          <w:b w:val="0"/>
          <w:sz w:val="32"/>
        </w:rPr>
        <w:t>其中：本年收入合计283.19万元，使用非财政拨款结余（含专用结余）0.00万元，年初结转和结余0.00万元。</w:t>
      </w:r>
    </w:p>
    <w:p w14:paraId="676A8187">
      <w:pPr>
        <w:spacing w:line="580" w:lineRule="exact"/>
        <w:ind w:firstLine="640"/>
        <w:jc w:val="both"/>
      </w:pPr>
      <w:r>
        <w:rPr>
          <w:rFonts w:ascii="仿宋_GB2312" w:hAnsi="仿宋_GB2312" w:eastAsia="仿宋_GB2312"/>
          <w:b/>
          <w:sz w:val="32"/>
        </w:rPr>
        <w:t>2024年度支出总计283.19万元，</w:t>
      </w:r>
      <w:r>
        <w:rPr>
          <w:rFonts w:ascii="仿宋_GB2312" w:hAnsi="仿宋_GB2312" w:eastAsia="仿宋_GB2312"/>
          <w:b w:val="0"/>
          <w:sz w:val="32"/>
        </w:rPr>
        <w:t>其中：本年支出合计283.19万元，结余分配0.00万元，年末结转和结余0.00万元。</w:t>
      </w:r>
    </w:p>
    <w:p w14:paraId="2DC2E8D1">
      <w:pPr>
        <w:spacing w:line="580" w:lineRule="exact"/>
        <w:ind w:firstLine="640"/>
        <w:jc w:val="both"/>
      </w:pPr>
      <w:r>
        <w:rPr>
          <w:rFonts w:ascii="仿宋_GB2312" w:hAnsi="仿宋_GB2312" w:eastAsia="仿宋_GB2312"/>
          <w:b w:val="0"/>
          <w:sz w:val="32"/>
        </w:rPr>
        <w:t>收入支出总体与上年相比，增加4.58万元，增长1.64%，主要原因是：本年在职人员工资调增，社保、公积金基数调增，人员经费增加。</w:t>
      </w:r>
    </w:p>
    <w:p w14:paraId="33FE8282">
      <w:pPr>
        <w:spacing w:line="640" w:lineRule="exact"/>
        <w:ind w:firstLine="640"/>
        <w:jc w:val="both"/>
        <w:outlineLvl w:val="2"/>
      </w:pPr>
      <w:r>
        <w:rPr>
          <w:rFonts w:ascii="黑体" w:hAnsi="黑体" w:eastAsia="黑体"/>
          <w:sz w:val="32"/>
        </w:rPr>
        <w:t>二、收入决算情况说明</w:t>
      </w:r>
    </w:p>
    <w:p w14:paraId="711AA34A">
      <w:pPr>
        <w:spacing w:line="580" w:lineRule="exact"/>
        <w:ind w:firstLine="640"/>
        <w:jc w:val="both"/>
      </w:pPr>
      <w:r>
        <w:rPr>
          <w:rFonts w:ascii="仿宋_GB2312" w:hAnsi="仿宋_GB2312" w:eastAsia="仿宋_GB2312"/>
          <w:b/>
          <w:sz w:val="32"/>
        </w:rPr>
        <w:t>本年收入283.19万元，</w:t>
      </w:r>
      <w:r>
        <w:rPr>
          <w:rFonts w:ascii="仿宋_GB2312" w:hAnsi="仿宋_GB2312" w:eastAsia="仿宋_GB2312"/>
          <w:b w:val="0"/>
          <w:sz w:val="32"/>
        </w:rPr>
        <w:t>其中：财政拨款收入283.19万元，占100.00%；上级补助收入0.00万元，占0.00%；事业收入0.00万元，占0.00%；经营收入0.00万元，占0.00%；附属单位上缴收入0.00万元，占0.00%；其他收入0.00万元，占0.00%。</w:t>
      </w:r>
    </w:p>
    <w:p w14:paraId="11CAB51D">
      <w:pPr>
        <w:spacing w:line="640" w:lineRule="exact"/>
        <w:ind w:firstLine="640"/>
        <w:jc w:val="both"/>
        <w:outlineLvl w:val="2"/>
      </w:pPr>
      <w:r>
        <w:rPr>
          <w:rFonts w:ascii="黑体" w:hAnsi="黑体" w:eastAsia="黑体"/>
          <w:sz w:val="32"/>
        </w:rPr>
        <w:t>三、支出决算情况说明</w:t>
      </w:r>
    </w:p>
    <w:p w14:paraId="37AC9B35">
      <w:pPr>
        <w:spacing w:line="580" w:lineRule="exact"/>
        <w:ind w:firstLine="640"/>
        <w:jc w:val="both"/>
      </w:pPr>
      <w:r>
        <w:rPr>
          <w:rFonts w:ascii="仿宋_GB2312" w:hAnsi="仿宋_GB2312" w:eastAsia="仿宋_GB2312"/>
          <w:b/>
          <w:sz w:val="32"/>
        </w:rPr>
        <w:t>本年支出283.19万元，</w:t>
      </w:r>
      <w:r>
        <w:rPr>
          <w:rFonts w:ascii="仿宋_GB2312" w:hAnsi="仿宋_GB2312" w:eastAsia="仿宋_GB2312"/>
          <w:b w:val="0"/>
          <w:sz w:val="32"/>
        </w:rPr>
        <w:t>其中：基本支出275.30万元，占97.21%；项目支出7.89万元，占2.79%；上缴上级支出0.00万元，占0.00%；经营支出0.00万元，占0.00%；对附属单位补助支出0.00万元，占0.00%。</w:t>
      </w:r>
    </w:p>
    <w:p w14:paraId="3692D08C">
      <w:pPr>
        <w:spacing w:line="640" w:lineRule="exact"/>
        <w:ind w:firstLine="640"/>
        <w:jc w:val="both"/>
        <w:outlineLvl w:val="2"/>
      </w:pPr>
      <w:r>
        <w:rPr>
          <w:rFonts w:ascii="黑体" w:hAnsi="黑体" w:eastAsia="黑体"/>
          <w:sz w:val="32"/>
        </w:rPr>
        <w:t>四、财政拨款收入支出决算总体情况说明</w:t>
      </w:r>
    </w:p>
    <w:p w14:paraId="2B2050B0">
      <w:pPr>
        <w:spacing w:line="580" w:lineRule="exact"/>
        <w:ind w:firstLine="640"/>
        <w:jc w:val="both"/>
      </w:pPr>
      <w:r>
        <w:rPr>
          <w:rFonts w:ascii="仿宋_GB2312" w:hAnsi="仿宋_GB2312" w:eastAsia="仿宋_GB2312"/>
          <w:b/>
          <w:sz w:val="32"/>
        </w:rPr>
        <w:t>2024年度财政拨款收入总计283.19万元，</w:t>
      </w:r>
      <w:r>
        <w:rPr>
          <w:rFonts w:ascii="仿宋_GB2312" w:hAnsi="仿宋_GB2312" w:eastAsia="仿宋_GB2312"/>
          <w:b w:val="0"/>
          <w:sz w:val="32"/>
        </w:rPr>
        <w:t>其中：年初财政拨款结转和结余0.00万元，本年财政拨款收入283.19万元。</w:t>
      </w:r>
      <w:r>
        <w:rPr>
          <w:rFonts w:ascii="仿宋_GB2312" w:hAnsi="仿宋_GB2312" w:eastAsia="仿宋_GB2312"/>
          <w:b/>
          <w:sz w:val="32"/>
        </w:rPr>
        <w:t>财政拨款支出总计283.19万元，</w:t>
      </w:r>
      <w:r>
        <w:rPr>
          <w:rFonts w:ascii="仿宋_GB2312" w:hAnsi="仿宋_GB2312" w:eastAsia="仿宋_GB2312"/>
          <w:b w:val="0"/>
          <w:sz w:val="32"/>
        </w:rPr>
        <w:t>其中：年末财政拨款结转和结余0.00万元，本年财政拨款支出283.19万元。</w:t>
      </w:r>
    </w:p>
    <w:p w14:paraId="0E8C9E6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增加4.58万元，增长1.64%，主要原因是：本年在职人员工资调增，社保、公积金基数调增，人员经费增加。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年初预算数265.18万元，决算数283.19万元，预决算差异率6.79%，主要原因是：年中追加人员工资、社保、公积金基数调增部分资金，导致预决算存在差异。</w:t>
      </w:r>
    </w:p>
    <w:p w14:paraId="537E8038">
      <w:pPr>
        <w:spacing w:line="640" w:lineRule="exact"/>
        <w:ind w:firstLine="640"/>
        <w:jc w:val="both"/>
        <w:outlineLvl w:val="2"/>
      </w:pPr>
      <w:r>
        <w:rPr>
          <w:rFonts w:ascii="黑体" w:hAnsi="黑体" w:eastAsia="黑体"/>
          <w:sz w:val="32"/>
        </w:rPr>
        <w:t>五、一般公共预算财政拨款支出决算情况说明</w:t>
      </w:r>
    </w:p>
    <w:p w14:paraId="13438A2A">
      <w:pPr>
        <w:spacing w:line="640" w:lineRule="exact"/>
        <w:ind w:firstLine="640"/>
        <w:jc w:val="both"/>
        <w:outlineLvl w:val="3"/>
      </w:pPr>
      <w:r>
        <w:rPr>
          <w:rFonts w:ascii="楷体_GB2312" w:hAnsi="楷体_GB2312" w:eastAsia="楷体_GB2312"/>
          <w:b/>
          <w:sz w:val="32"/>
        </w:rPr>
        <w:t>（一）一般公共预算财政拨款支出决算总体情况</w:t>
      </w:r>
    </w:p>
    <w:p w14:paraId="5E45438F">
      <w:pPr>
        <w:spacing w:line="580" w:lineRule="exact"/>
        <w:ind w:firstLine="640"/>
        <w:jc w:val="both"/>
      </w:pPr>
      <w:r>
        <w:rPr>
          <w:rFonts w:ascii="仿宋_GB2312" w:hAnsi="仿宋_GB2312" w:eastAsia="仿宋_GB2312"/>
          <w:b/>
          <w:sz w:val="32"/>
        </w:rPr>
        <w:t>2024年度一般公共预算财政拨款支出283.19万元，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增加4.58万元，增长1.64%，主要原因是：本年在职人员工资调增，社保、公积金基数调增，人员经费增加。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年初预算数265.18万元，决算数283.19万元，预决算差异率6.79%，主要原因是：年中追加人员工资、社保、公积金基数调增部分资金，导致预决算存在差异。</w:t>
      </w:r>
    </w:p>
    <w:p w14:paraId="19AB6238">
      <w:pPr>
        <w:spacing w:line="640" w:lineRule="exact"/>
        <w:ind w:firstLine="640"/>
        <w:jc w:val="both"/>
        <w:outlineLvl w:val="3"/>
      </w:pPr>
      <w:r>
        <w:rPr>
          <w:rFonts w:ascii="楷体_GB2312" w:hAnsi="楷体_GB2312" w:eastAsia="楷体_GB2312"/>
          <w:b/>
          <w:sz w:val="32"/>
        </w:rPr>
        <w:t>（二）一般公共预算财政拨款支出决算结构情况</w:t>
      </w:r>
    </w:p>
    <w:p w14:paraId="52888CB3">
      <w:pPr>
        <w:spacing w:line="580" w:lineRule="exact"/>
        <w:ind w:firstLine="640"/>
        <w:jc w:val="both"/>
      </w:pPr>
      <w:r>
        <w:rPr>
          <w:rFonts w:ascii="仿宋_GB2312" w:hAnsi="仿宋_GB2312" w:eastAsia="仿宋_GB2312"/>
          <w:b w:val="0"/>
          <w:sz w:val="32"/>
        </w:rPr>
        <w:t>1.社会保障和就业支出(类)37.73万元,占13.32%。</w:t>
      </w:r>
    </w:p>
    <w:p w14:paraId="739F6C6D">
      <w:pPr>
        <w:spacing w:line="580" w:lineRule="exact"/>
        <w:ind w:firstLine="640"/>
        <w:jc w:val="both"/>
      </w:pPr>
      <w:r>
        <w:rPr>
          <w:rFonts w:ascii="仿宋_GB2312" w:hAnsi="仿宋_GB2312" w:eastAsia="仿宋_GB2312"/>
          <w:b w:val="0"/>
          <w:sz w:val="32"/>
        </w:rPr>
        <w:t>2.卫生健康支出(类)224.37万元,占79.23%。</w:t>
      </w:r>
    </w:p>
    <w:p w14:paraId="6649CAFF">
      <w:pPr>
        <w:spacing w:line="580" w:lineRule="exact"/>
        <w:ind w:firstLine="640"/>
        <w:jc w:val="both"/>
      </w:pPr>
      <w:r>
        <w:rPr>
          <w:rFonts w:ascii="仿宋_GB2312" w:hAnsi="仿宋_GB2312" w:eastAsia="仿宋_GB2312"/>
          <w:b w:val="0"/>
          <w:sz w:val="32"/>
        </w:rPr>
        <w:t>3.住房保障支出(类)21.09万元,占7.45%。</w:t>
      </w:r>
    </w:p>
    <w:p w14:paraId="1B463121">
      <w:pPr>
        <w:spacing w:line="640" w:lineRule="exact"/>
        <w:ind w:firstLine="640"/>
        <w:jc w:val="both"/>
        <w:outlineLvl w:val="3"/>
      </w:pPr>
      <w:r>
        <w:rPr>
          <w:rFonts w:ascii="楷体_GB2312" w:hAnsi="楷体_GB2312" w:eastAsia="楷体_GB2312"/>
          <w:b/>
          <w:sz w:val="32"/>
        </w:rPr>
        <w:t>（三）一般公共预算财政拨款支出决算具体情况</w:t>
      </w:r>
    </w:p>
    <w:p w14:paraId="4661FD09">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1.社会保障和就业支出(类)行政事业单位养老支出(款)行政单位离退休(项):支出决算数为1.50万元，比上年决算增加0.35万元，增长30.43%,主要原因是：本年度退休人员新增1名，退休费支出增加。</w:t>
      </w:r>
    </w:p>
    <w:p w14:paraId="4F4CBF7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26.19万元，比上年决算增加0.97万元，增长3.85%,主要原因是：本年在职人员工资基数调增，养老缴费基数上涨，相应支出增加。</w:t>
      </w:r>
    </w:p>
    <w:p w14:paraId="1517D43A">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10.03万元，比上年决算增加5.07万元，增长102.22%,主要原因是：本年度退休人员新增1名，职业年金缴费支出增加。</w:t>
      </w:r>
    </w:p>
    <w:p w14:paraId="204C6530">
      <w:pPr>
        <w:spacing w:line="580" w:lineRule="exact"/>
        <w:ind w:firstLine="640"/>
        <w:jc w:val="both"/>
      </w:pPr>
      <w:r>
        <w:rPr>
          <w:rFonts w:ascii="仿宋_GB2312" w:hAnsi="仿宋_GB2312" w:eastAsia="仿宋_GB2312"/>
          <w:b w:val="0"/>
          <w:sz w:val="32"/>
        </w:rPr>
        <w:t>4.卫生健康支出(类)行政事业单位医疗(款)行政单位医疗(项):支出决算数为11.13万元，比上年决算增加0.41万元，增长3.82%,主要原因是：本年在职人员工资基数调增，医疗缴费基数上涨，相应支出增加。</w:t>
      </w:r>
    </w:p>
    <w:p w14:paraId="5D2532EB">
      <w:pPr>
        <w:spacing w:line="580" w:lineRule="exact"/>
        <w:ind w:firstLine="640"/>
        <w:jc w:val="both"/>
      </w:pPr>
      <w:r>
        <w:rPr>
          <w:rFonts w:ascii="仿宋_GB2312" w:hAnsi="仿宋_GB2312" w:eastAsia="仿宋_GB2312"/>
          <w:b w:val="0"/>
          <w:sz w:val="32"/>
        </w:rPr>
        <w:t>5.卫生健康支出(类)行政事业单位医疗(款)公务员医疗补助(项):支出决算数为0.95万元，比上年决算增加0.02万元，增长2.15%,主要原因是：本年在职人员工资基数调增，医疗缴费基数上涨，相应支出增加。</w:t>
      </w:r>
    </w:p>
    <w:p w14:paraId="0EDFBA73">
      <w:pPr>
        <w:spacing w:line="580" w:lineRule="exact"/>
        <w:ind w:firstLine="640"/>
        <w:jc w:val="both"/>
      </w:pPr>
      <w:r>
        <w:rPr>
          <w:rFonts w:ascii="仿宋_GB2312" w:hAnsi="仿宋_GB2312" w:eastAsia="仿宋_GB2312"/>
          <w:b w:val="0"/>
          <w:sz w:val="32"/>
        </w:rPr>
        <w:t>6.卫生健康支出(类)医疗保障管理事务(款)行政运行(项):支出决算数为204.40万元，比上年决算增加11.39万元，增长5.90%,主要原因是：本年在职人员工资调增，导致相关人员经费较上年有所增加。</w:t>
      </w:r>
    </w:p>
    <w:p w14:paraId="74DE7A3A">
      <w:pPr>
        <w:spacing w:line="580" w:lineRule="exact"/>
        <w:ind w:firstLine="640"/>
        <w:jc w:val="both"/>
      </w:pPr>
      <w:r>
        <w:rPr>
          <w:rFonts w:ascii="仿宋_GB2312" w:hAnsi="仿宋_GB2312" w:eastAsia="仿宋_GB2312"/>
          <w:b w:val="0"/>
          <w:sz w:val="32"/>
        </w:rPr>
        <w:t>7.卫生健康支出(类)医疗保障管理事务(款)医疗保障经办事务(项):支出决算数为5.89万元，比上年决算减少14.58万元，下降71.23%,主要原因是：本年减少医疗服务与保障能力提升补助资金项目资金，导致经费较上年减少。</w:t>
      </w:r>
    </w:p>
    <w:p w14:paraId="2B8603C7">
      <w:pPr>
        <w:spacing w:line="580" w:lineRule="exact"/>
        <w:ind w:firstLine="640"/>
        <w:jc w:val="both"/>
      </w:pPr>
      <w:r>
        <w:rPr>
          <w:rFonts w:ascii="仿宋_GB2312" w:hAnsi="仿宋_GB2312" w:eastAsia="仿宋_GB2312"/>
          <w:b w:val="0"/>
          <w:sz w:val="32"/>
        </w:rPr>
        <w:t>8.卫生健康支出(类)医疗保障管理事务(款)其他医疗保障管理事务支出(项):支出决算数为2.00万元，比上年决算减少2.14万元，下降51.69%,主要原因是：本年度减少离休医疗补助项目经费，导致决算数较上年减少。</w:t>
      </w:r>
    </w:p>
    <w:p w14:paraId="205650CA">
      <w:pPr>
        <w:spacing w:line="580" w:lineRule="exact"/>
        <w:ind w:firstLine="640"/>
        <w:jc w:val="both"/>
      </w:pPr>
      <w:r>
        <w:rPr>
          <w:rFonts w:ascii="仿宋_GB2312" w:hAnsi="仿宋_GB2312" w:eastAsia="仿宋_GB2312"/>
          <w:b w:val="0"/>
          <w:sz w:val="32"/>
        </w:rPr>
        <w:t>9.住房保障支出(类)住房改革支出(款)住房公积金(项):支出决算数为21.09万元，比上年决算增加3.09万元，增长17.17%,主要原因是：本年在职人员工资基数调增，公积金缴费基数上涨，相应支出增加。</w:t>
      </w:r>
    </w:p>
    <w:p w14:paraId="05D65CAD">
      <w:pPr>
        <w:spacing w:line="640" w:lineRule="exact"/>
        <w:ind w:firstLine="640"/>
        <w:jc w:val="both"/>
        <w:outlineLvl w:val="2"/>
      </w:pPr>
      <w:r>
        <w:rPr>
          <w:rFonts w:ascii="黑体" w:hAnsi="黑体" w:eastAsia="黑体"/>
          <w:sz w:val="32"/>
        </w:rPr>
        <w:t>六、一般公共预算财政拨款基本支出决算情况说明</w:t>
      </w:r>
    </w:p>
    <w:p w14:paraId="3CFBCE9A">
      <w:pPr>
        <w:spacing w:line="580" w:lineRule="exact"/>
        <w:ind w:firstLine="640"/>
        <w:jc w:val="both"/>
      </w:pPr>
      <w:r>
        <w:rPr>
          <w:rFonts w:ascii="仿宋_GB2312" w:hAnsi="仿宋_GB2312" w:eastAsia="仿宋_GB2312"/>
          <w:b w:val="0"/>
          <w:sz w:val="32"/>
        </w:rPr>
        <w:t>2024年度一般公共预算财政拨款基本支出275.30万元，其中：</w:t>
      </w:r>
      <w:r>
        <w:rPr>
          <w:rFonts w:ascii="仿宋_GB2312" w:hAnsi="仿宋_GB2312" w:eastAsia="仿宋_GB2312"/>
          <w:b/>
          <w:sz w:val="32"/>
        </w:rPr>
        <w:t>人员经费269.54万元，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21574AB4">
      <w:pPr>
        <w:spacing w:line="580" w:lineRule="exact"/>
        <w:ind w:firstLine="640"/>
        <w:jc w:val="both"/>
      </w:pPr>
      <w:r>
        <w:rPr>
          <w:rFonts w:ascii="仿宋_GB2312" w:hAnsi="仿宋_GB2312" w:eastAsia="仿宋_GB2312"/>
          <w:b/>
          <w:sz w:val="32"/>
        </w:rPr>
        <w:t>公用经费5.75万元，</w:t>
      </w:r>
      <w:r>
        <w:rPr>
          <w:rFonts w:ascii="仿宋_GB2312" w:hAnsi="仿宋_GB2312" w:eastAsia="仿宋_GB2312"/>
          <w:b w:val="0"/>
          <w:sz w:val="32"/>
        </w:rPr>
        <w:t>包括：办公费、印刷费、电费、邮电费、取暖费、维修（护）费。</w:t>
      </w:r>
    </w:p>
    <w:p w14:paraId="0698E300">
      <w:pPr>
        <w:spacing w:line="640" w:lineRule="exact"/>
        <w:ind w:firstLine="640"/>
        <w:jc w:val="both"/>
        <w:outlineLvl w:val="2"/>
      </w:pPr>
      <w:r>
        <w:rPr>
          <w:rFonts w:ascii="黑体" w:hAnsi="黑体" w:eastAsia="黑体"/>
          <w:sz w:val="32"/>
        </w:rPr>
        <w:t>七、政府性基金预算财政拨款收入支出决算情况说明</w:t>
      </w:r>
    </w:p>
    <w:p w14:paraId="6CB38F5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F76F2EC">
      <w:pPr>
        <w:spacing w:line="640" w:lineRule="exact"/>
        <w:ind w:firstLine="640"/>
        <w:jc w:val="both"/>
        <w:outlineLvl w:val="2"/>
      </w:pPr>
      <w:r>
        <w:rPr>
          <w:rFonts w:ascii="黑体" w:hAnsi="黑体" w:eastAsia="黑体"/>
          <w:sz w:val="32"/>
        </w:rPr>
        <w:t>八、国有资本经营预算财政拨款收入支出决算情况说明</w:t>
      </w:r>
    </w:p>
    <w:p w14:paraId="2C35F1A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4E063D0">
      <w:pPr>
        <w:spacing w:line="640" w:lineRule="exact"/>
        <w:ind w:firstLine="640"/>
        <w:jc w:val="both"/>
        <w:outlineLvl w:val="2"/>
      </w:pPr>
      <w:r>
        <w:rPr>
          <w:rFonts w:ascii="黑体" w:hAnsi="黑体" w:eastAsia="黑体"/>
          <w:sz w:val="32"/>
        </w:rPr>
        <w:t>九、财政拨款“三公”经费支出决算情况说明</w:t>
      </w:r>
    </w:p>
    <w:p w14:paraId="065D6B4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3D90F9A">
      <w:pPr>
        <w:spacing w:line="580" w:lineRule="exact"/>
        <w:ind w:firstLine="640"/>
        <w:jc w:val="both"/>
      </w:pPr>
      <w:r>
        <w:rPr>
          <w:rFonts w:ascii="仿宋_GB2312" w:hAnsi="仿宋_GB2312" w:eastAsia="仿宋_GB2312"/>
          <w:b/>
          <w:sz w:val="32"/>
        </w:rPr>
        <w:t>具体情况如下：</w:t>
      </w:r>
    </w:p>
    <w:p w14:paraId="45C3270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D4C2BC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44FF05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2FC99E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A0A4149">
      <w:pPr>
        <w:spacing w:line="640" w:lineRule="exact"/>
        <w:ind w:firstLine="640"/>
        <w:jc w:val="both"/>
        <w:outlineLvl w:val="2"/>
      </w:pPr>
      <w:r>
        <w:rPr>
          <w:rFonts w:ascii="黑体" w:hAnsi="黑体" w:eastAsia="黑体"/>
          <w:sz w:val="32"/>
        </w:rPr>
        <w:t>十、其他重要事项的情况说明</w:t>
      </w:r>
    </w:p>
    <w:p w14:paraId="5098AA5A">
      <w:pPr>
        <w:spacing w:line="640" w:lineRule="exact"/>
        <w:ind w:firstLine="640"/>
        <w:jc w:val="both"/>
        <w:outlineLvl w:val="3"/>
      </w:pPr>
      <w:r>
        <w:rPr>
          <w:rFonts w:ascii="楷体_GB2312" w:hAnsi="楷体_GB2312" w:eastAsia="楷体_GB2312"/>
          <w:b/>
          <w:sz w:val="32"/>
        </w:rPr>
        <w:t>（一）机关运行经费及公用经费支出情况</w:t>
      </w:r>
    </w:p>
    <w:p w14:paraId="6B2AAA16">
      <w:pPr>
        <w:spacing w:line="580" w:lineRule="exact"/>
        <w:ind w:firstLine="640"/>
        <w:jc w:val="both"/>
      </w:pPr>
      <w:r>
        <w:rPr>
          <w:rFonts w:ascii="仿宋_GB2312" w:hAnsi="仿宋_GB2312" w:eastAsia="仿宋_GB2312"/>
          <w:b w:val="0"/>
          <w:sz w:val="32"/>
        </w:rPr>
        <w:t>2024年度麦盖提县医疗保障局（行政单位和参照公务员法管理事业单位）机关运行经费支出5.75万元，比上年增加2.00万元，增长53.33%，主要原因是：本年度临时增加电力维修维护费用、支付历年取暖费，导致机关运行经费支出增加。</w:t>
      </w:r>
    </w:p>
    <w:p w14:paraId="17FF6EF9">
      <w:pPr>
        <w:spacing w:line="640" w:lineRule="exact"/>
        <w:ind w:firstLine="640"/>
        <w:jc w:val="both"/>
        <w:outlineLvl w:val="3"/>
      </w:pPr>
      <w:r>
        <w:rPr>
          <w:rFonts w:ascii="楷体_GB2312" w:hAnsi="楷体_GB2312" w:eastAsia="楷体_GB2312"/>
          <w:b/>
          <w:sz w:val="32"/>
        </w:rPr>
        <w:t>（二）政府采购情况</w:t>
      </w:r>
    </w:p>
    <w:p w14:paraId="217E04B8">
      <w:pPr>
        <w:spacing w:line="580" w:lineRule="exact"/>
        <w:ind w:firstLine="640"/>
        <w:jc w:val="both"/>
      </w:pPr>
      <w:r>
        <w:rPr>
          <w:rFonts w:ascii="仿宋_GB2312" w:hAnsi="仿宋_GB2312" w:eastAsia="仿宋_GB2312"/>
          <w:b w:val="0"/>
          <w:sz w:val="32"/>
        </w:rPr>
        <w:t>2024年度政府采购支出总额0.86万元，其中：政府采购货物支出0.78万元、政府采购工程支出0.08万元、政府采购服务支出0.00万元。</w:t>
      </w:r>
    </w:p>
    <w:p w14:paraId="181C007D">
      <w:pPr>
        <w:spacing w:line="580" w:lineRule="exact"/>
        <w:ind w:firstLine="640"/>
        <w:jc w:val="both"/>
      </w:pPr>
      <w:r>
        <w:rPr>
          <w:rFonts w:ascii="仿宋_GB2312" w:hAnsi="仿宋_GB2312" w:eastAsia="仿宋_GB2312"/>
          <w:b w:val="0"/>
          <w:sz w:val="32"/>
        </w:rPr>
        <w:t>授予中小企业合同金额0.86万元，占政府采购支出总额的100.00%，其中：授予小微企业合同金额0.08万元，占政府采购支出总额的9.30%。</w:t>
      </w:r>
    </w:p>
    <w:p w14:paraId="508366BD">
      <w:pPr>
        <w:spacing w:line="640" w:lineRule="exact"/>
        <w:ind w:firstLine="640"/>
        <w:jc w:val="both"/>
        <w:outlineLvl w:val="3"/>
      </w:pPr>
      <w:r>
        <w:rPr>
          <w:rFonts w:ascii="楷体_GB2312" w:hAnsi="楷体_GB2312" w:eastAsia="楷体_GB2312"/>
          <w:b/>
          <w:sz w:val="32"/>
        </w:rPr>
        <w:t>（三）国有资产占用情况说明</w:t>
      </w:r>
    </w:p>
    <w:p w14:paraId="47710A22">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31F3B12">
      <w:pPr>
        <w:spacing w:line="640" w:lineRule="exact"/>
        <w:ind w:firstLine="640"/>
        <w:jc w:val="both"/>
        <w:outlineLvl w:val="2"/>
      </w:pPr>
      <w:r>
        <w:rPr>
          <w:rFonts w:ascii="黑体" w:hAnsi="黑体" w:eastAsia="黑体"/>
          <w:sz w:val="32"/>
        </w:rPr>
        <w:t>十一、预算绩效的情况说明</w:t>
      </w:r>
    </w:p>
    <w:p w14:paraId="15933F8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284.69万元，实际执行总额283.21万元；预算绩效评价项目2个，全年预算数7.89万元，全年执行数7.89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作用。二是严格按照工作职责和相关文件依据，确保专款专用。三是严格控制资金的流出方向，确保资金的合规性。发现的问题及原因：一是缺乏相关绩效管理方面的专业知识。在绩效评价过程中，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对绩效指标表述不清晰。二是缺少带着问题去评价的意识。下一步改进措施：一是积极参加绩效管理工作培训，进一步夯实业务基础，提高绩效人员工作水平。二是通过绩效管理，发现实施中存在漏洞，以后加强管理，及时掌握与之相关的各类信息，减少成本，使资金效益最大化。三是细化预算编制工作，认真做好预算的编制。进一步加强单位内部机构各股室的预算管理意识，严格按照预算编制的相关制度和要求进行预算编制。四是加强财务管理，严格财务审核。加强单位财务管理，健全单位财务管理制度体系，规范单位财务行为。在费用报账支付时，按照预算规定的费用项目和用途进行资金使用审核、列报支付、财务核算，杜绝超支现象的发生。五是对相关参与预算绩效管理人员加强培训，积极参加县财政组织预算绩效管理培训会，切实提高部门预算绩效管理水平。具体附整体支出绩效自评表，项目支出绩效自评表和评价报告。</w:t>
      </w:r>
    </w:p>
    <w:p w14:paraId="664CB54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DD74656">
        <w:tblPrEx>
          <w:tblCellMar>
            <w:top w:w="0" w:type="dxa"/>
            <w:left w:w="108" w:type="dxa"/>
            <w:bottom w:w="0" w:type="dxa"/>
            <w:right w:w="108" w:type="dxa"/>
          </w:tblCellMar>
        </w:tblPrEx>
        <w:tc>
          <w:tcPr>
            <w:tcW w:w="8847" w:type="dxa"/>
            <w:gridSpan w:val="9"/>
            <w:vAlign w:val="center"/>
          </w:tcPr>
          <w:p w14:paraId="4DB5645A">
            <w:pPr>
              <w:jc w:val="center"/>
            </w:pPr>
            <w:r>
              <w:rPr>
                <w:rFonts w:ascii="宋体" w:hAnsi="宋体" w:eastAsia="宋体"/>
                <w:sz w:val="24"/>
              </w:rPr>
              <w:t>单位整体支出绩效自评表</w:t>
            </w:r>
          </w:p>
        </w:tc>
      </w:tr>
      <w:tr w14:paraId="10A6C125">
        <w:tblPrEx>
          <w:tblCellMar>
            <w:top w:w="0" w:type="dxa"/>
            <w:left w:w="108" w:type="dxa"/>
            <w:bottom w:w="0" w:type="dxa"/>
            <w:right w:w="108" w:type="dxa"/>
          </w:tblCellMar>
        </w:tblPrEx>
        <w:tc>
          <w:tcPr>
            <w:tcW w:w="8847" w:type="dxa"/>
            <w:gridSpan w:val="9"/>
            <w:vAlign w:val="center"/>
          </w:tcPr>
          <w:p w14:paraId="5D41E5D3">
            <w:pPr>
              <w:jc w:val="center"/>
            </w:pPr>
            <w:r>
              <w:rPr>
                <w:rFonts w:ascii="宋体" w:hAnsi="宋体" w:eastAsia="宋体"/>
                <w:sz w:val="24"/>
              </w:rPr>
              <w:t>（2024年度）</w:t>
            </w:r>
          </w:p>
        </w:tc>
      </w:tr>
      <w:tr w14:paraId="5FEAFE1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672C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A7EEA04">
            <w:pPr>
              <w:jc w:val="center"/>
            </w:pPr>
            <w:r>
              <w:rPr>
                <w:rFonts w:ascii="宋体" w:hAnsi="宋体" w:eastAsia="宋体"/>
                <w:sz w:val="16"/>
              </w:rPr>
              <w:t>麦盖提县医疗保障局</w:t>
            </w:r>
          </w:p>
        </w:tc>
      </w:tr>
      <w:tr w14:paraId="11624CD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CB76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DEC8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0E95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F3EA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45EA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1113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C148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29588">
            <w:pPr>
              <w:jc w:val="center"/>
            </w:pPr>
            <w:r>
              <w:rPr>
                <w:rFonts w:ascii="宋体" w:hAnsi="宋体" w:eastAsia="宋体"/>
                <w:sz w:val="16"/>
              </w:rPr>
              <w:t>得分</w:t>
            </w:r>
          </w:p>
        </w:tc>
      </w:tr>
      <w:tr w14:paraId="3A0D9F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A823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4862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FDE5E">
            <w:pPr>
              <w:jc w:val="center"/>
            </w:pPr>
            <w:r>
              <w:rPr>
                <w:rFonts w:ascii="宋体" w:hAnsi="宋体" w:eastAsia="宋体"/>
                <w:sz w:val="16"/>
              </w:rPr>
              <w:t>265.18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BB4BD">
            <w:pPr>
              <w:jc w:val="center"/>
            </w:pPr>
            <w:r>
              <w:rPr>
                <w:rFonts w:ascii="宋体" w:hAnsi="宋体" w:eastAsia="宋体"/>
                <w:sz w:val="16"/>
              </w:rPr>
              <w:t>284.69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06D43">
            <w:pPr>
              <w:jc w:val="center"/>
            </w:pPr>
            <w:r>
              <w:rPr>
                <w:rFonts w:ascii="宋体" w:hAnsi="宋体" w:eastAsia="宋体"/>
                <w:sz w:val="16"/>
              </w:rPr>
              <w:t>283.21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857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3215A">
            <w:pPr>
              <w:jc w:val="center"/>
            </w:pPr>
            <w:r>
              <w:rPr>
                <w:rFonts w:ascii="宋体" w:hAnsi="宋体" w:eastAsia="宋体"/>
                <w:sz w:val="16"/>
              </w:rPr>
              <w:t>99.48%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36363">
            <w:pPr>
              <w:jc w:val="center"/>
            </w:pPr>
            <w:r>
              <w:rPr>
                <w:rFonts w:ascii="宋体" w:hAnsi="宋体" w:eastAsia="宋体"/>
                <w:sz w:val="16"/>
              </w:rPr>
              <w:t>9.95</w:t>
            </w:r>
          </w:p>
        </w:tc>
      </w:tr>
      <w:tr w14:paraId="449C97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BD52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03C0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19520">
            <w:pPr>
              <w:jc w:val="center"/>
            </w:pPr>
            <w:r>
              <w:rPr>
                <w:rFonts w:ascii="宋体" w:hAnsi="宋体" w:eastAsia="宋体"/>
                <w:sz w:val="16"/>
              </w:rPr>
              <w:t>5.89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2A233">
            <w:pPr>
              <w:jc w:val="center"/>
            </w:pPr>
            <w:r>
              <w:rPr>
                <w:rFonts w:ascii="宋体" w:hAnsi="宋体" w:eastAsia="宋体"/>
                <w:sz w:val="16"/>
              </w:rPr>
              <w:t>5.89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734DA">
            <w:pPr>
              <w:jc w:val="center"/>
            </w:pPr>
            <w:r>
              <w:rPr>
                <w:rFonts w:ascii="宋体" w:hAnsi="宋体" w:eastAsia="宋体"/>
                <w:sz w:val="16"/>
              </w:rPr>
              <w:t>5.89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76B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E6BC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17351">
            <w:pPr>
              <w:jc w:val="center"/>
            </w:pPr>
            <w:r>
              <w:rPr>
                <w:rFonts w:ascii="宋体" w:hAnsi="宋体" w:eastAsia="宋体"/>
                <w:sz w:val="16"/>
              </w:rPr>
              <w:t>—</w:t>
            </w:r>
          </w:p>
        </w:tc>
      </w:tr>
      <w:tr w14:paraId="024333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CEBB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BA6F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152C3">
            <w:pPr>
              <w:jc w:val="center"/>
            </w:pPr>
            <w:r>
              <w:rPr>
                <w:rFonts w:ascii="宋体" w:hAnsi="宋体" w:eastAsia="宋体"/>
                <w:sz w:val="16"/>
              </w:rPr>
              <w:t>259.29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0D0F4">
            <w:pPr>
              <w:jc w:val="center"/>
            </w:pPr>
            <w:r>
              <w:rPr>
                <w:rFonts w:ascii="宋体" w:hAnsi="宋体" w:eastAsia="宋体"/>
                <w:sz w:val="16"/>
              </w:rPr>
              <w:t>278.80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01496">
            <w:pPr>
              <w:jc w:val="center"/>
            </w:pPr>
            <w:r>
              <w:rPr>
                <w:rFonts w:ascii="宋体" w:hAnsi="宋体" w:eastAsia="宋体"/>
                <w:sz w:val="16"/>
              </w:rPr>
              <w:t>277.32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BF8A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3124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48367">
            <w:pPr>
              <w:jc w:val="center"/>
            </w:pPr>
            <w:r>
              <w:rPr>
                <w:rFonts w:ascii="宋体" w:hAnsi="宋体" w:eastAsia="宋体"/>
                <w:sz w:val="16"/>
              </w:rPr>
              <w:t>—</w:t>
            </w:r>
          </w:p>
        </w:tc>
      </w:tr>
      <w:tr w14:paraId="63BDA6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25B9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4AE6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D76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D6ED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792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31E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41A1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2C40E">
            <w:pPr>
              <w:jc w:val="center"/>
            </w:pPr>
            <w:r>
              <w:rPr>
                <w:rFonts w:ascii="宋体" w:hAnsi="宋体" w:eastAsia="宋体"/>
                <w:sz w:val="16"/>
              </w:rPr>
              <w:t>—</w:t>
            </w:r>
          </w:p>
        </w:tc>
      </w:tr>
      <w:tr w14:paraId="0DFDC32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3FB1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9F75E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455860">
            <w:pPr>
              <w:jc w:val="center"/>
              <w:rPr>
                <w:rFonts w:hint="eastAsia" w:eastAsia="宋体"/>
                <w:lang w:eastAsia="zh-CN"/>
              </w:rPr>
            </w:pPr>
            <w:r>
              <w:rPr>
                <w:rFonts w:hint="eastAsia" w:ascii="宋体" w:hAnsi="宋体"/>
                <w:sz w:val="16"/>
                <w:lang w:eastAsia="zh-CN"/>
              </w:rPr>
              <w:t>实际完成情况</w:t>
            </w:r>
          </w:p>
        </w:tc>
      </w:tr>
      <w:tr w14:paraId="497409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99C82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504E69">
            <w:pPr>
              <w:jc w:val="both"/>
            </w:pPr>
            <w:r>
              <w:rPr>
                <w:rFonts w:ascii="宋体" w:hAnsi="宋体" w:eastAsia="宋体"/>
                <w:sz w:val="16"/>
              </w:rPr>
              <w:t>1.贯彻落实国家和自治区、地区医疗保险、生育保险、大病保险、大额医疗补助、公务员医疗补助、医疗救助等医疗保障制度，执行医疗保障政策法规，宣传各项医疗保障政策，扩大参保覆盖面。</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负责办理医疗、生育保险登记。受理参保对象的缴费申报，核定缴费额；建立管理参保人员缴费记录和医疗保障待遇权益记录；负责按规定办理参保对象医疗保险转移接续手续；负责核算医疗、生育、医疗救助等各项待遇；负责跨省、疆内异地就医备案及资金结算等经办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3.承担县域内定点医疗机构服务协议签订、管理、监督、考核工作；开展服务规范化、标准化建设；落实医疗保障经办机构内部控制制度。</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4.负责全县医疗保障经办管理、公共服务体系和信息化建设。监督指导医疗保障经办机构开展业务工作；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5.承办县委、县政府交办的其他任务。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3B671C">
            <w:pPr>
              <w:jc w:val="both"/>
            </w:pPr>
            <w:r>
              <w:rPr>
                <w:rFonts w:hint="eastAsia" w:ascii="宋体" w:hAnsi="宋体"/>
                <w:sz w:val="16"/>
                <w:lang w:eastAsia="zh-CN"/>
              </w:rPr>
              <w:t>截至</w:t>
            </w:r>
            <w:r>
              <w:rPr>
                <w:rFonts w:ascii="宋体" w:hAnsi="宋体" w:eastAsia="宋体"/>
                <w:sz w:val="16"/>
              </w:rPr>
              <w:t>自评日，单位已完成：1.贯彻落实国家和自治区、地区医疗保险、生育保险、大病保险、大额医疗补助、公务员医疗补助、医疗救助等医疗保障制度，执行医疗保障政策法规，宣传各项医疗保障政策，扩大参保覆盖面，24年全民参保率达到99%。</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负责办理医疗、生育保险登记。受理参保对象的缴费申报，核定缴费额；建立管理参保人员缴费记录和医疗保障待遇权益记录；负责按规定办理参保对象医疗保险转移接续手续；负责核算医疗、生育、医疗救助等各项待遇；负责跨省、疆内异地就医备案及资金结算等经办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3.承担县域内定点医疗机构服务协议签订、管理、监督、考核工作；开展服务规范化、标准化建设；落实医疗保障经办机构内部控制制度，24年全县准入医保药店数量为6家，协议医药机构稽查率达到100%。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4.负责全县医疗保障经办管理、公共服务体系和信息化建设。监督指导医疗保障经办机构开展业务工作，定点医药机构现场检查覆盖率达到100%，医保基金监督整改完成率为100%；</w:t>
            </w:r>
          </w:p>
        </w:tc>
      </w:tr>
      <w:tr w14:paraId="55CD30C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D02A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392C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2620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9079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B044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2383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A876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E640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EE640">
            <w:pPr>
              <w:jc w:val="center"/>
            </w:pPr>
            <w:r>
              <w:rPr>
                <w:rFonts w:ascii="宋体" w:hAnsi="宋体" w:eastAsia="宋体"/>
                <w:sz w:val="16"/>
              </w:rPr>
              <w:t>得分</w:t>
            </w:r>
          </w:p>
        </w:tc>
      </w:tr>
      <w:tr w14:paraId="3E25B82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007E2">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33E8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824C6">
            <w:pPr>
              <w:jc w:val="center"/>
            </w:pPr>
            <w:r>
              <w:rPr>
                <w:rFonts w:ascii="宋体" w:hAnsi="宋体" w:eastAsia="宋体"/>
                <w:sz w:val="16"/>
              </w:rPr>
              <w:t>准入医保药店数量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6AE26">
            <w:pPr>
              <w:jc w:val="center"/>
            </w:pPr>
            <w:r>
              <w:rPr>
                <w:rFonts w:ascii="宋体" w:hAnsi="宋体" w:eastAsia="宋体"/>
                <w:sz w:val="16"/>
              </w:rPr>
              <w:t>&gt;=6家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78EA2">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92D2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DD312">
            <w:pPr>
              <w:jc w:val="center"/>
            </w:pPr>
            <w:r>
              <w:rPr>
                <w:rFonts w:ascii="宋体" w:hAnsi="宋体" w:eastAsia="宋体"/>
                <w:sz w:val="16"/>
              </w:rPr>
              <w:t>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2B7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7BA9A">
            <w:pPr>
              <w:jc w:val="center"/>
            </w:pPr>
            <w:r>
              <w:rPr>
                <w:rFonts w:ascii="宋体" w:hAnsi="宋体" w:eastAsia="宋体"/>
                <w:sz w:val="16"/>
              </w:rPr>
              <w:t>18</w:t>
            </w:r>
          </w:p>
        </w:tc>
      </w:tr>
      <w:tr w14:paraId="225663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D19D2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24B7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438F2">
            <w:pPr>
              <w:jc w:val="center"/>
            </w:pPr>
            <w:r>
              <w:rPr>
                <w:rFonts w:ascii="宋体" w:hAnsi="宋体" w:eastAsia="宋体"/>
                <w:sz w:val="16"/>
              </w:rPr>
              <w:t>定点医药机构现场检查覆盖率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8F9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301FD">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68E5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8AA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69E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BFC71">
            <w:pPr>
              <w:jc w:val="center"/>
            </w:pPr>
            <w:r>
              <w:rPr>
                <w:rFonts w:ascii="宋体" w:hAnsi="宋体" w:eastAsia="宋体"/>
                <w:sz w:val="16"/>
              </w:rPr>
              <w:t>18</w:t>
            </w:r>
          </w:p>
        </w:tc>
      </w:tr>
      <w:tr w14:paraId="442598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04F3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37C6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DA8A8">
            <w:pPr>
              <w:jc w:val="center"/>
            </w:pPr>
            <w:r>
              <w:rPr>
                <w:rFonts w:ascii="宋体" w:hAnsi="宋体" w:eastAsia="宋体"/>
                <w:sz w:val="16"/>
              </w:rPr>
              <w:t>医保基金监督整改完成率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039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19C3B">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C173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8A0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87D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F58D8">
            <w:pPr>
              <w:jc w:val="center"/>
            </w:pPr>
            <w:r>
              <w:rPr>
                <w:rFonts w:ascii="宋体" w:hAnsi="宋体" w:eastAsia="宋体"/>
                <w:sz w:val="16"/>
              </w:rPr>
              <w:t>18</w:t>
            </w:r>
          </w:p>
        </w:tc>
      </w:tr>
      <w:tr w14:paraId="7F8216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F2F5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45BB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86E2E">
            <w:pPr>
              <w:jc w:val="center"/>
            </w:pPr>
            <w:r>
              <w:rPr>
                <w:rFonts w:ascii="宋体" w:hAnsi="宋体" w:eastAsia="宋体"/>
                <w:sz w:val="16"/>
              </w:rPr>
              <w:t>全民参保率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E918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26674">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4CD1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A92AE">
            <w:pPr>
              <w:jc w:val="center"/>
            </w:pPr>
            <w:r>
              <w:rPr>
                <w:rFonts w:ascii="宋体" w:hAnsi="宋体" w:eastAsia="宋体"/>
                <w:sz w:val="16"/>
              </w:rPr>
              <w: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92F1D">
            <w:pPr>
              <w:jc w:val="center"/>
            </w:pPr>
            <w:r>
              <w:rPr>
                <w:rFonts w:ascii="宋体" w:hAnsi="宋体" w:eastAsia="宋体"/>
                <w:sz w:val="16"/>
              </w:rPr>
              <w:t>104.21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16DDD">
            <w:pPr>
              <w:jc w:val="center"/>
            </w:pPr>
            <w:r>
              <w:rPr>
                <w:rFonts w:ascii="宋体" w:hAnsi="宋体" w:eastAsia="宋体"/>
                <w:sz w:val="16"/>
              </w:rPr>
              <w:t>18</w:t>
            </w:r>
          </w:p>
        </w:tc>
      </w:tr>
      <w:tr w14:paraId="328936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E101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39D9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46416">
            <w:pPr>
              <w:jc w:val="center"/>
            </w:pPr>
            <w:r>
              <w:rPr>
                <w:rFonts w:ascii="宋体" w:hAnsi="宋体" w:eastAsia="宋体"/>
                <w:sz w:val="16"/>
              </w:rPr>
              <w:t>协议医药机构稽查率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8FF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50C66">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747A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619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678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17E14">
            <w:pPr>
              <w:jc w:val="center"/>
            </w:pPr>
            <w:r>
              <w:rPr>
                <w:rFonts w:ascii="宋体" w:hAnsi="宋体" w:eastAsia="宋体"/>
                <w:sz w:val="16"/>
              </w:rPr>
              <w:t>18</w:t>
            </w:r>
          </w:p>
        </w:tc>
      </w:tr>
    </w:tbl>
    <w:p w14:paraId="0018C643">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47"/>
        <w:gridCol w:w="549"/>
        <w:gridCol w:w="632"/>
        <w:gridCol w:w="632"/>
        <w:gridCol w:w="632"/>
        <w:gridCol w:w="632"/>
        <w:gridCol w:w="632"/>
        <w:gridCol w:w="696"/>
        <w:gridCol w:w="632"/>
        <w:gridCol w:w="632"/>
        <w:gridCol w:w="632"/>
      </w:tblGrid>
      <w:tr w14:paraId="6F732CF5">
        <w:tblPrEx>
          <w:tblCellMar>
            <w:top w:w="0" w:type="dxa"/>
            <w:left w:w="108" w:type="dxa"/>
            <w:bottom w:w="0" w:type="dxa"/>
            <w:right w:w="108" w:type="dxa"/>
          </w:tblCellMar>
        </w:tblPrEx>
        <w:tc>
          <w:tcPr>
            <w:tcW w:w="8976" w:type="dxa"/>
            <w:gridSpan w:val="15"/>
            <w:vAlign w:val="center"/>
          </w:tcPr>
          <w:p w14:paraId="66848F28">
            <w:pPr>
              <w:jc w:val="center"/>
            </w:pPr>
            <w:r>
              <w:rPr>
                <w:rFonts w:ascii="宋体" w:hAnsi="宋体" w:eastAsia="宋体"/>
                <w:sz w:val="24"/>
              </w:rPr>
              <w:t>项目支出绩效自评表</w:t>
            </w:r>
          </w:p>
        </w:tc>
      </w:tr>
      <w:tr w14:paraId="12F6FDC1">
        <w:tblPrEx>
          <w:tblCellMar>
            <w:top w:w="0" w:type="dxa"/>
            <w:left w:w="108" w:type="dxa"/>
            <w:bottom w:w="0" w:type="dxa"/>
            <w:right w:w="108" w:type="dxa"/>
          </w:tblCellMar>
        </w:tblPrEx>
        <w:tc>
          <w:tcPr>
            <w:tcW w:w="8976" w:type="dxa"/>
            <w:gridSpan w:val="15"/>
            <w:vAlign w:val="center"/>
          </w:tcPr>
          <w:p w14:paraId="7E47F9EB">
            <w:pPr>
              <w:jc w:val="center"/>
            </w:pPr>
            <w:r>
              <w:rPr>
                <w:rFonts w:ascii="宋体" w:hAnsi="宋体" w:eastAsia="宋体"/>
                <w:sz w:val="24"/>
              </w:rPr>
              <w:t>(2024年度)</w:t>
            </w:r>
          </w:p>
        </w:tc>
      </w:tr>
      <w:tr w14:paraId="294BC6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7FDBE">
            <w:pPr>
              <w:jc w:val="center"/>
            </w:pPr>
            <w:r>
              <w:rPr>
                <w:rFonts w:ascii="宋体" w:hAnsi="宋体" w:eastAsia="宋体"/>
                <w:sz w:val="16"/>
              </w:rPr>
              <w:t>项目名称</w:t>
            </w:r>
          </w:p>
        </w:tc>
        <w:tc>
          <w:tcPr>
            <w:tcW w:w="834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A4A322E">
            <w:pPr>
              <w:jc w:val="center"/>
            </w:pPr>
            <w:r>
              <w:rPr>
                <w:rFonts w:ascii="宋体" w:hAnsi="宋体" w:eastAsia="宋体"/>
                <w:sz w:val="16"/>
              </w:rPr>
              <w:t>2024年全民参保补助项目</w:t>
            </w:r>
          </w:p>
        </w:tc>
      </w:tr>
      <w:tr w14:paraId="300BBF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E7F1B">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980B142">
            <w:pPr>
              <w:jc w:val="center"/>
            </w:pPr>
            <w:r>
              <w:rPr>
                <w:rFonts w:ascii="宋体" w:hAnsi="宋体" w:eastAsia="宋体"/>
                <w:sz w:val="16"/>
              </w:rPr>
              <w:t>麦盖提县医疗保障局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B744">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8A94BC">
            <w:pPr>
              <w:jc w:val="center"/>
            </w:pPr>
            <w:r>
              <w:rPr>
                <w:rFonts w:ascii="宋体" w:hAnsi="宋体" w:eastAsia="宋体"/>
                <w:sz w:val="16"/>
              </w:rPr>
              <w:t>麦盖提县医疗保障局</w:t>
            </w:r>
          </w:p>
        </w:tc>
      </w:tr>
      <w:tr w14:paraId="7ACFA9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2A8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6EDE9">
            <w:pPr>
              <w:jc w:val="center"/>
            </w:pP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29B1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BCCF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D4C0C">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5DB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599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FE643">
            <w:pPr>
              <w:jc w:val="center"/>
            </w:pPr>
            <w:r>
              <w:rPr>
                <w:rFonts w:ascii="宋体" w:hAnsi="宋体" w:eastAsia="宋体"/>
                <w:sz w:val="16"/>
              </w:rPr>
              <w:t>得分</w:t>
            </w:r>
          </w:p>
        </w:tc>
      </w:tr>
      <w:tr w14:paraId="6D662A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0BB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A030C">
            <w:pPr>
              <w:jc w:val="center"/>
            </w:pPr>
            <w:r>
              <w:rPr>
                <w:rFonts w:ascii="宋体" w:hAnsi="宋体" w:eastAsia="宋体"/>
                <w:sz w:val="16"/>
              </w:rPr>
              <w:t>年度资金总额</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6DD2FF">
            <w:pPr>
              <w:jc w:val="center"/>
            </w:pPr>
            <w:r>
              <w:rPr>
                <w:rFonts w:ascii="宋体" w:hAnsi="宋体" w:eastAsia="宋体"/>
                <w:sz w:val="16"/>
              </w:rPr>
              <w:t>5.89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2AAEC">
            <w:pPr>
              <w:jc w:val="center"/>
            </w:pPr>
            <w:r>
              <w:rPr>
                <w:rFonts w:ascii="宋体" w:hAnsi="宋体" w:eastAsia="宋体"/>
                <w:sz w:val="16"/>
              </w:rPr>
              <w:t>5.89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71DB3">
            <w:pPr>
              <w:jc w:val="center"/>
            </w:pPr>
            <w:r>
              <w:rPr>
                <w:rFonts w:ascii="宋体" w:hAnsi="宋体" w:eastAsia="宋体"/>
                <w:sz w:val="16"/>
              </w:rPr>
              <w:t>5.89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47F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36CB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ED6D">
            <w:pPr>
              <w:jc w:val="center"/>
            </w:pPr>
            <w:r>
              <w:rPr>
                <w:rFonts w:ascii="宋体" w:hAnsi="宋体" w:eastAsia="宋体"/>
                <w:sz w:val="16"/>
              </w:rPr>
              <w:t>10.00分</w:t>
            </w:r>
          </w:p>
        </w:tc>
      </w:tr>
      <w:tr w14:paraId="70829A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CD0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58BD8">
            <w:pPr>
              <w:jc w:val="center"/>
            </w:pPr>
            <w:r>
              <w:rPr>
                <w:rFonts w:ascii="宋体" w:hAnsi="宋体" w:eastAsia="宋体"/>
                <w:sz w:val="16"/>
              </w:rPr>
              <w:t>其中：当年财政拨款</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B2541E">
            <w:pPr>
              <w:jc w:val="center"/>
            </w:pPr>
            <w:r>
              <w:rPr>
                <w:rFonts w:ascii="宋体" w:hAnsi="宋体" w:eastAsia="宋体"/>
                <w:sz w:val="16"/>
              </w:rPr>
              <w:t>5.89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FD0AC">
            <w:pPr>
              <w:jc w:val="center"/>
            </w:pPr>
            <w:r>
              <w:rPr>
                <w:rFonts w:ascii="宋体" w:hAnsi="宋体" w:eastAsia="宋体"/>
                <w:sz w:val="16"/>
              </w:rPr>
              <w:t>5.89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719C4">
            <w:pPr>
              <w:jc w:val="center"/>
            </w:pPr>
            <w:r>
              <w:rPr>
                <w:rFonts w:ascii="宋体" w:hAnsi="宋体" w:eastAsia="宋体"/>
                <w:sz w:val="16"/>
              </w:rPr>
              <w:t>5.89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357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9D3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602F">
            <w:pPr>
              <w:jc w:val="center"/>
            </w:pPr>
            <w:r>
              <w:rPr>
                <w:rFonts w:ascii="宋体" w:hAnsi="宋体" w:eastAsia="宋体"/>
                <w:sz w:val="16"/>
              </w:rPr>
              <w:t>—</w:t>
            </w:r>
          </w:p>
        </w:tc>
      </w:tr>
      <w:tr w14:paraId="28F82D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FC3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D5AD1">
            <w:pPr>
              <w:jc w:val="center"/>
            </w:pPr>
            <w:r>
              <w:rPr>
                <w:rFonts w:ascii="宋体" w:hAnsi="宋体" w:eastAsia="宋体"/>
                <w:sz w:val="16"/>
              </w:rPr>
              <w:t xml:space="preserve">  其他资金</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385B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D7C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6D47A">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513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EC6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F198">
            <w:pPr>
              <w:jc w:val="center"/>
            </w:pPr>
            <w:r>
              <w:rPr>
                <w:rFonts w:ascii="宋体" w:hAnsi="宋体" w:eastAsia="宋体"/>
                <w:sz w:val="16"/>
              </w:rPr>
              <w:t>—</w:t>
            </w:r>
          </w:p>
        </w:tc>
      </w:tr>
      <w:tr w14:paraId="5EBE13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955DE">
            <w:pPr>
              <w:jc w:val="center"/>
            </w:pPr>
            <w:r>
              <w:rPr>
                <w:rFonts w:ascii="宋体" w:hAnsi="宋体" w:eastAsia="宋体"/>
                <w:sz w:val="16"/>
              </w:rPr>
              <w:t>三、目标完成情况</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4AAB79">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07C472">
            <w:pPr>
              <w:jc w:val="center"/>
            </w:pPr>
            <w:r>
              <w:rPr>
                <w:rFonts w:ascii="宋体" w:hAnsi="宋体" w:eastAsia="宋体"/>
                <w:sz w:val="16"/>
              </w:rPr>
              <w:t>实际完成情况</w:t>
            </w:r>
          </w:p>
        </w:tc>
      </w:tr>
      <w:tr w14:paraId="2F2D2F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CCB1E"/>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8897E68">
            <w:pPr>
              <w:jc w:val="both"/>
            </w:pPr>
            <w:r>
              <w:rPr>
                <w:rFonts w:ascii="宋体" w:hAnsi="宋体" w:eastAsia="宋体"/>
                <w:sz w:val="16"/>
              </w:rPr>
              <w:t>本年度投入5.89万元，主要用于开展全民参保登记计划实施工作，保障基本医疗保险参保人数22.9万人，生育保险参保人数1.63万人，项目的实施有效提高两定机构医疗保险服务质量，规范医疗服务行为，保障参保人员权益，提升基金使用效率，规范协议管理等工作，使国家社保惠民的知晓率有很大的提高，群众的参保自觉性进一步提高，对于实现全民参保有巨大的现实意义。</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9C4A70">
            <w:pPr>
              <w:jc w:val="both"/>
            </w:pPr>
            <w:r>
              <w:rPr>
                <w:rFonts w:hint="eastAsia" w:ascii="宋体" w:hAnsi="宋体"/>
                <w:sz w:val="16"/>
                <w:lang w:eastAsia="zh-CN"/>
              </w:rPr>
              <w:t>截至</w:t>
            </w:r>
            <w:r>
              <w:rPr>
                <w:rFonts w:ascii="宋体" w:hAnsi="宋体" w:eastAsia="宋体"/>
                <w:sz w:val="16"/>
              </w:rPr>
              <w:t>自评日，已支出金额为5.89万元，其中全年参与基本医疗保险参保人数22.93万人，生育保险参保人数1.63万人，项目的实施有效提高了两定机构医疗保险服务质量，规范医疗服务行为，保障了参保人员权益，减轻了参保人员就医经济负担，缓解了社会矛盾，提升了基金使用效率，规范协议管理等工作，使国家社保惠民的知晓率有很大</w:t>
            </w:r>
            <w:r>
              <w:rPr>
                <w:rFonts w:hint="eastAsia" w:ascii="宋体" w:hAnsi="宋体"/>
                <w:sz w:val="16"/>
                <w:lang w:eastAsia="zh-CN"/>
              </w:rPr>
              <w:t>地</w:t>
            </w:r>
            <w:r>
              <w:rPr>
                <w:rFonts w:ascii="宋体" w:hAnsi="宋体" w:eastAsia="宋体"/>
                <w:sz w:val="16"/>
              </w:rPr>
              <w:t>提高，群众的参保自觉性进一步提高，对于实现全民参保有巨大的现实意义。</w:t>
            </w:r>
          </w:p>
        </w:tc>
      </w:tr>
      <w:tr w14:paraId="071BC0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1905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32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F69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3CDF8">
            <w:pPr>
              <w:jc w:val="center"/>
            </w:pPr>
            <w:r>
              <w:rPr>
                <w:rFonts w:ascii="宋体" w:hAnsi="宋体" w:eastAsia="宋体"/>
                <w:sz w:val="16"/>
              </w:rPr>
              <w:t>三级指标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8FAC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00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5AB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B988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F879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E1B1">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C8F0E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E2A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B0B0A">
            <w:pPr>
              <w:jc w:val="center"/>
            </w:pPr>
            <w:r>
              <w:rPr>
                <w:rFonts w:ascii="宋体" w:hAnsi="宋体" w:eastAsia="宋体"/>
                <w:sz w:val="16"/>
              </w:rPr>
              <w:t>偏差原因分析及改进措施</w:t>
            </w:r>
          </w:p>
        </w:tc>
      </w:tr>
      <w:tr w14:paraId="5E75C8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8A2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BDBA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BCC7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B9F3">
            <w:pPr>
              <w:jc w:val="center"/>
            </w:pPr>
            <w:r>
              <w:rPr>
                <w:rFonts w:ascii="宋体" w:hAnsi="宋体" w:eastAsia="宋体"/>
                <w:sz w:val="16"/>
              </w:rPr>
              <w:t>基本医疗保险参保人数</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7169B">
            <w:pPr>
              <w:jc w:val="center"/>
            </w:pPr>
            <w:r>
              <w:rPr>
                <w:rFonts w:ascii="宋体" w:hAnsi="宋体" w:eastAsia="宋体"/>
                <w:sz w:val="16"/>
              </w:rPr>
              <w:t>&gt;=22.9万人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05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C506">
            <w:pPr>
              <w:jc w:val="center"/>
            </w:pPr>
            <w:r>
              <w:rPr>
                <w:rFonts w:ascii="宋体" w:hAnsi="宋体" w:eastAsia="宋体"/>
                <w:sz w:val="16"/>
              </w:rPr>
              <w:t>22.8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F3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D1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CAA5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6F4B4C">
            <w:pPr>
              <w:jc w:val="center"/>
            </w:pPr>
            <w:r>
              <w:rPr>
                <w:rFonts w:ascii="宋体" w:hAnsi="宋体" w:eastAsia="宋体"/>
                <w:sz w:val="16"/>
              </w:rPr>
              <w:t>=22.93万人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7A69">
            <w:pPr>
              <w:jc w:val="center"/>
            </w:pPr>
            <w:r>
              <w:rPr>
                <w:rFonts w:ascii="宋体" w:hAnsi="宋体" w:eastAsia="宋体"/>
                <w:sz w:val="16"/>
              </w:rPr>
              <w:t>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125D1">
            <w:pPr>
              <w:jc w:val="center"/>
            </w:pPr>
          </w:p>
        </w:tc>
      </w:tr>
      <w:tr w14:paraId="1B76A1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295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670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5A7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F934">
            <w:pPr>
              <w:jc w:val="center"/>
            </w:pPr>
            <w:r>
              <w:rPr>
                <w:rFonts w:ascii="宋体" w:hAnsi="宋体" w:eastAsia="宋体"/>
                <w:sz w:val="16"/>
              </w:rPr>
              <w:t>生育保险参保人数</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C3758">
            <w:pPr>
              <w:jc w:val="center"/>
            </w:pPr>
            <w:r>
              <w:rPr>
                <w:rFonts w:ascii="宋体" w:hAnsi="宋体" w:eastAsia="宋体"/>
                <w:sz w:val="16"/>
              </w:rPr>
              <w:t>&gt;=1.63万人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B3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B5CF4">
            <w:pPr>
              <w:jc w:val="center"/>
            </w:pPr>
            <w:r>
              <w:rPr>
                <w:rFonts w:ascii="宋体" w:hAnsi="宋体" w:eastAsia="宋体"/>
                <w:sz w:val="16"/>
              </w:rPr>
              <w:t>1.63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FE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BD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D31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4A7E3C">
            <w:pPr>
              <w:jc w:val="center"/>
            </w:pPr>
            <w:r>
              <w:rPr>
                <w:rFonts w:ascii="宋体" w:hAnsi="宋体" w:eastAsia="宋体"/>
                <w:sz w:val="16"/>
              </w:rPr>
              <w:t>=1.63万人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006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3BB3E">
            <w:pPr>
              <w:jc w:val="center"/>
            </w:pPr>
          </w:p>
        </w:tc>
      </w:tr>
      <w:tr w14:paraId="2CF2F3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183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B29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B5049">
            <w:pPr>
              <w:jc w:val="center"/>
            </w:pPr>
            <w:r>
              <w:rPr>
                <w:rFonts w:ascii="宋体" w:hAnsi="宋体" w:eastAsia="宋体"/>
                <w:sz w:val="16"/>
              </w:rPr>
              <w:t>质量指标</w:t>
            </w:r>
          </w:p>
        </w:tc>
        <w:tc>
          <w:tcPr>
            <w:tcW w:w="7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9F2E6">
            <w:pPr>
              <w:jc w:val="center"/>
            </w:pPr>
            <w:r>
              <w:rPr>
                <w:rFonts w:ascii="宋体" w:hAnsi="宋体" w:eastAsia="宋体"/>
                <w:sz w:val="16"/>
              </w:rPr>
              <w:t>基本医疗保险参保率</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425E1359">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B3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9E12">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99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91E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39F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B140B3">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2C8D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99341">
            <w:pPr>
              <w:jc w:val="center"/>
            </w:pPr>
          </w:p>
        </w:tc>
      </w:tr>
      <w:tr w14:paraId="10B1FD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28D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081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F442A">
            <w:pPr>
              <w:jc w:val="center"/>
            </w:pPr>
            <w:r>
              <w:rPr>
                <w:rFonts w:ascii="宋体" w:hAnsi="宋体" w:eastAsia="宋体"/>
                <w:sz w:val="16"/>
              </w:rPr>
              <w:t>时效指标</w:t>
            </w:r>
          </w:p>
        </w:tc>
        <w:tc>
          <w:tcPr>
            <w:tcW w:w="7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D33AB">
            <w:pPr>
              <w:jc w:val="center"/>
            </w:pPr>
            <w:r>
              <w:rPr>
                <w:rFonts w:ascii="宋体" w:hAnsi="宋体" w:eastAsia="宋体"/>
                <w:sz w:val="16"/>
              </w:rPr>
              <w:t>资金支付及时率</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7405F7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F75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11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02F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455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EA31">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8581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96D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4BB93">
            <w:pPr>
              <w:jc w:val="center"/>
            </w:pPr>
          </w:p>
        </w:tc>
      </w:tr>
      <w:tr w14:paraId="623819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95F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772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D2634"/>
        </w:tc>
        <w:tc>
          <w:tcPr>
            <w:tcW w:w="7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90586">
            <w:pPr>
              <w:jc w:val="center"/>
            </w:pPr>
            <w:r>
              <w:rPr>
                <w:rFonts w:ascii="宋体" w:hAnsi="宋体" w:eastAsia="宋体"/>
                <w:sz w:val="16"/>
              </w:rPr>
              <w:t>项目结束时间</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3AD8659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C05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D4D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5DE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236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D92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FA8343">
            <w:pPr>
              <w:jc w:val="center"/>
            </w:pPr>
            <w:r>
              <w:rPr>
                <w:rFonts w:ascii="宋体" w:hAnsi="宋体" w:eastAsia="宋体"/>
                <w:sz w:val="16"/>
              </w:rPr>
              <w:t>=2024年10月24日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2CD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B8A2F">
            <w:pPr>
              <w:jc w:val="center"/>
            </w:pPr>
          </w:p>
        </w:tc>
      </w:tr>
      <w:tr w14:paraId="1EB83A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EA6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4AB2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EBB3B">
            <w:pPr>
              <w:jc w:val="center"/>
            </w:pPr>
            <w:r>
              <w:rPr>
                <w:rFonts w:ascii="宋体" w:hAnsi="宋体" w:eastAsia="宋体"/>
                <w:sz w:val="16"/>
              </w:rPr>
              <w:t>经济成本指标</w:t>
            </w:r>
          </w:p>
        </w:tc>
        <w:tc>
          <w:tcPr>
            <w:tcW w:w="7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8DB88">
            <w:pPr>
              <w:jc w:val="center"/>
            </w:pPr>
            <w:r>
              <w:rPr>
                <w:rFonts w:ascii="宋体" w:hAnsi="宋体" w:eastAsia="宋体"/>
                <w:sz w:val="16"/>
              </w:rPr>
              <w:t>基本医疗保险参保补助成本</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52E6684C">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1E1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6326">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F5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6A1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9CB2">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F84AAC">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9A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B7ED7">
            <w:pPr>
              <w:jc w:val="center"/>
            </w:pPr>
          </w:p>
        </w:tc>
      </w:tr>
      <w:tr w14:paraId="4CE175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9C3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3E5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7C932"/>
        </w:tc>
        <w:tc>
          <w:tcPr>
            <w:tcW w:w="7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D0426">
            <w:pPr>
              <w:jc w:val="center"/>
            </w:pPr>
            <w:r>
              <w:rPr>
                <w:rFonts w:ascii="宋体" w:hAnsi="宋体" w:eastAsia="宋体"/>
                <w:sz w:val="16"/>
              </w:rPr>
              <w:t>生育保险参保补助成本</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10921128">
            <w:pPr>
              <w:jc w:val="center"/>
            </w:pPr>
            <w:r>
              <w:rPr>
                <w:rFonts w:ascii="宋体" w:hAnsi="宋体" w:eastAsia="宋体"/>
                <w:sz w:val="16"/>
              </w:rPr>
              <w:t>&lt;=0.89万元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D7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9F8F3">
            <w:pPr>
              <w:jc w:val="center"/>
            </w:pPr>
            <w:r>
              <w:rPr>
                <w:rFonts w:ascii="宋体" w:hAnsi="宋体" w:eastAsia="宋体"/>
                <w:sz w:val="16"/>
              </w:rPr>
              <w:t>0.47万元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805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381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F85A">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34198C">
            <w:pPr>
              <w:jc w:val="center"/>
            </w:pPr>
            <w:r>
              <w:rPr>
                <w:rFonts w:ascii="宋体" w:hAnsi="宋体" w:eastAsia="宋体"/>
                <w:sz w:val="16"/>
              </w:rPr>
              <w:t>=0.89万元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83F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E6012">
            <w:pPr>
              <w:jc w:val="center"/>
            </w:pPr>
          </w:p>
        </w:tc>
      </w:tr>
      <w:tr w14:paraId="198EF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29A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0159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68D3F">
            <w:pPr>
              <w:jc w:val="center"/>
            </w:pPr>
            <w:r>
              <w:rPr>
                <w:rFonts w:ascii="宋体" w:hAnsi="宋体" w:eastAsia="宋体"/>
                <w:sz w:val="16"/>
              </w:rPr>
              <w:t>社会效益指标</w:t>
            </w:r>
          </w:p>
        </w:tc>
        <w:tc>
          <w:tcPr>
            <w:tcW w:w="7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86D8E">
            <w:pPr>
              <w:jc w:val="center"/>
            </w:pPr>
            <w:r>
              <w:rPr>
                <w:rFonts w:ascii="宋体" w:hAnsi="宋体" w:eastAsia="宋体"/>
                <w:sz w:val="16"/>
              </w:rPr>
              <w:t>医保政策知晓率</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5E7956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DC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EA8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E3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CC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5AC1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BA6C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D5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EBA89">
            <w:pPr>
              <w:jc w:val="center"/>
            </w:pPr>
          </w:p>
        </w:tc>
      </w:tr>
      <w:tr w14:paraId="02726A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EFE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DEA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4FD09"/>
        </w:tc>
        <w:tc>
          <w:tcPr>
            <w:tcW w:w="7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4D6FB">
            <w:pPr>
              <w:jc w:val="center"/>
            </w:pPr>
            <w:r>
              <w:rPr>
                <w:rFonts w:ascii="宋体" w:hAnsi="宋体" w:eastAsia="宋体"/>
                <w:sz w:val="16"/>
              </w:rPr>
              <w:t>减轻参保人员就医经济负担，缓解社会矛盾</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3715DCDF">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4C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00E3E">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2E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2C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9D5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7FEDBF">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37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9A747">
            <w:pPr>
              <w:jc w:val="center"/>
            </w:pPr>
          </w:p>
        </w:tc>
      </w:tr>
      <w:tr w14:paraId="42EA1E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5F7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B0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C56FB">
            <w:pPr>
              <w:jc w:val="center"/>
            </w:pPr>
            <w:r>
              <w:rPr>
                <w:rFonts w:ascii="宋体" w:hAnsi="宋体" w:eastAsia="宋体"/>
                <w:sz w:val="16"/>
              </w:rPr>
              <w:t>满意度指标</w:t>
            </w:r>
          </w:p>
        </w:tc>
        <w:tc>
          <w:tcPr>
            <w:tcW w:w="7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BB683">
            <w:pPr>
              <w:jc w:val="center"/>
            </w:pPr>
            <w:r>
              <w:rPr>
                <w:rFonts w:ascii="宋体" w:hAnsi="宋体" w:eastAsia="宋体"/>
                <w:sz w:val="16"/>
              </w:rPr>
              <w:t>基本医疗保险参保群众满意度</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14:paraId="6AECCF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F37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34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F3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9AF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8F74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219D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2B1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F61C2">
            <w:pPr>
              <w:jc w:val="center"/>
            </w:pPr>
          </w:p>
        </w:tc>
      </w:tr>
      <w:tr w14:paraId="107201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B35C">
            <w:pPr>
              <w:jc w:val="center"/>
            </w:pPr>
            <w:r>
              <w:rPr>
                <w:rFonts w:ascii="宋体" w:hAnsi="宋体" w:eastAsia="宋体"/>
                <w:sz w:val="16"/>
              </w:rPr>
              <w:t>总分</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63290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9F88">
            <w:pPr>
              <w:jc w:val="center"/>
            </w:pPr>
            <w:r>
              <w:rPr>
                <w:rFonts w:ascii="宋体" w:hAnsi="宋体" w:eastAsia="宋体"/>
                <w:sz w:val="16"/>
              </w:rPr>
              <w:t>得分</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042391">
            <w:pPr>
              <w:jc w:val="center"/>
            </w:pPr>
            <w:r>
              <w:rPr>
                <w:rFonts w:ascii="宋体" w:hAnsi="宋体" w:eastAsia="宋体"/>
                <w:sz w:val="16"/>
              </w:rPr>
              <w:t>99.99分</w:t>
            </w:r>
          </w:p>
        </w:tc>
      </w:tr>
    </w:tbl>
    <w:p w14:paraId="435EE86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62294AF">
        <w:tc>
          <w:tcPr>
            <w:tcW w:w="8848" w:type="dxa"/>
            <w:gridSpan w:val="14"/>
            <w:vAlign w:val="center"/>
          </w:tcPr>
          <w:p w14:paraId="5A7EFCF8">
            <w:pPr>
              <w:jc w:val="center"/>
            </w:pPr>
            <w:r>
              <w:rPr>
                <w:rFonts w:ascii="宋体" w:hAnsi="宋体" w:eastAsia="宋体"/>
                <w:sz w:val="24"/>
              </w:rPr>
              <w:t>项目支出绩效自评表</w:t>
            </w:r>
          </w:p>
        </w:tc>
      </w:tr>
      <w:tr w14:paraId="73FCF2B4">
        <w:tblPrEx>
          <w:tblCellMar>
            <w:top w:w="0" w:type="dxa"/>
            <w:left w:w="108" w:type="dxa"/>
            <w:bottom w:w="0" w:type="dxa"/>
            <w:right w:w="108" w:type="dxa"/>
          </w:tblCellMar>
        </w:tblPrEx>
        <w:tc>
          <w:tcPr>
            <w:tcW w:w="8848" w:type="dxa"/>
            <w:gridSpan w:val="14"/>
            <w:vAlign w:val="center"/>
          </w:tcPr>
          <w:p w14:paraId="1A06293F">
            <w:pPr>
              <w:jc w:val="center"/>
            </w:pPr>
            <w:r>
              <w:rPr>
                <w:rFonts w:ascii="宋体" w:hAnsi="宋体" w:eastAsia="宋体"/>
                <w:sz w:val="24"/>
              </w:rPr>
              <w:t>(2024年度)</w:t>
            </w:r>
          </w:p>
        </w:tc>
      </w:tr>
      <w:tr w14:paraId="6A3F7E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E4D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8C2D11">
            <w:pPr>
              <w:jc w:val="center"/>
            </w:pPr>
            <w:r>
              <w:rPr>
                <w:rFonts w:ascii="宋体" w:hAnsi="宋体" w:eastAsia="宋体"/>
                <w:sz w:val="16"/>
              </w:rPr>
              <w:t>2024年麦盖提县离休医疗费补助项目</w:t>
            </w:r>
          </w:p>
        </w:tc>
      </w:tr>
      <w:tr w14:paraId="60F00A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94C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4E00CE">
            <w:pPr>
              <w:jc w:val="center"/>
            </w:pPr>
            <w:r>
              <w:rPr>
                <w:rFonts w:ascii="宋体" w:hAnsi="宋体" w:eastAsia="宋体"/>
                <w:sz w:val="16"/>
              </w:rPr>
              <w:t>麦盖提县医疗保障局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9BA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B72EE8">
            <w:pPr>
              <w:jc w:val="center"/>
            </w:pPr>
            <w:r>
              <w:rPr>
                <w:rFonts w:ascii="宋体" w:hAnsi="宋体" w:eastAsia="宋体"/>
                <w:sz w:val="16"/>
              </w:rPr>
              <w:t>麦盖提县医疗保障局</w:t>
            </w:r>
          </w:p>
        </w:tc>
      </w:tr>
      <w:tr w14:paraId="6978D9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8A6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A6D9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936D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AFB0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75D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3AD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64A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D981">
            <w:pPr>
              <w:jc w:val="center"/>
            </w:pPr>
            <w:r>
              <w:rPr>
                <w:rFonts w:ascii="宋体" w:hAnsi="宋体" w:eastAsia="宋体"/>
                <w:sz w:val="16"/>
              </w:rPr>
              <w:t>得分</w:t>
            </w:r>
          </w:p>
        </w:tc>
      </w:tr>
      <w:tr w14:paraId="4BA22D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57D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E5C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9589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A300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8716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A7A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390C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21EC7">
            <w:pPr>
              <w:jc w:val="center"/>
            </w:pPr>
            <w:r>
              <w:rPr>
                <w:rFonts w:ascii="宋体" w:hAnsi="宋体" w:eastAsia="宋体"/>
                <w:sz w:val="16"/>
              </w:rPr>
              <w:t>10.00分</w:t>
            </w:r>
          </w:p>
        </w:tc>
      </w:tr>
      <w:tr w14:paraId="046B58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9BE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D14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42AB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1DDA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7EA9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D45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5F5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A1DC0">
            <w:pPr>
              <w:jc w:val="center"/>
            </w:pPr>
            <w:r>
              <w:rPr>
                <w:rFonts w:ascii="宋体" w:hAnsi="宋体" w:eastAsia="宋体"/>
                <w:sz w:val="16"/>
              </w:rPr>
              <w:t>—</w:t>
            </w:r>
          </w:p>
        </w:tc>
      </w:tr>
      <w:tr w14:paraId="40CE30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978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2BA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E31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A58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E20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FAF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65C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86E7C">
            <w:pPr>
              <w:jc w:val="center"/>
            </w:pPr>
            <w:r>
              <w:rPr>
                <w:rFonts w:ascii="宋体" w:hAnsi="宋体" w:eastAsia="宋体"/>
                <w:sz w:val="16"/>
              </w:rPr>
              <w:t>—</w:t>
            </w:r>
          </w:p>
        </w:tc>
      </w:tr>
      <w:tr w14:paraId="649B64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4A12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13AA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550A3B">
            <w:pPr>
              <w:jc w:val="center"/>
            </w:pPr>
            <w:r>
              <w:rPr>
                <w:rFonts w:ascii="宋体" w:hAnsi="宋体" w:eastAsia="宋体"/>
                <w:sz w:val="16"/>
              </w:rPr>
              <w:t>实际完成情况</w:t>
            </w:r>
          </w:p>
        </w:tc>
      </w:tr>
      <w:tr w14:paraId="287EAD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C79A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9C90CB">
            <w:pPr>
              <w:jc w:val="both"/>
            </w:pPr>
            <w:r>
              <w:rPr>
                <w:rFonts w:ascii="宋体" w:hAnsi="宋体" w:eastAsia="宋体"/>
                <w:sz w:val="16"/>
              </w:rPr>
              <w:t>本项目2024年计划总投资2万元，主要用于2名老解放离休人员发放周转金，项目的实施增强老解放离休人员</w:t>
            </w:r>
            <w:r>
              <w:rPr>
                <w:rFonts w:hint="eastAsia" w:ascii="宋体" w:hAnsi="宋体"/>
                <w:sz w:val="16"/>
                <w:lang w:eastAsia="zh-CN"/>
              </w:rPr>
              <w:t>身心</w:t>
            </w:r>
            <w:r>
              <w:rPr>
                <w:rFonts w:ascii="宋体" w:hAnsi="宋体" w:eastAsia="宋体"/>
                <w:sz w:val="16"/>
              </w:rPr>
              <w:t>健康的有益作用，改善老解放离休人员生活质量。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C325BD">
            <w:pPr>
              <w:jc w:val="both"/>
            </w:pPr>
            <w:r>
              <w:rPr>
                <w:rFonts w:ascii="宋体" w:hAnsi="宋体" w:eastAsia="宋体"/>
                <w:sz w:val="16"/>
              </w:rPr>
              <w:t>本项目2024年实际支出金额为2万元，已发放2名老解放离休人员周转金，项目的实施增强了老解放离休人员</w:t>
            </w:r>
            <w:r>
              <w:rPr>
                <w:rFonts w:hint="eastAsia" w:ascii="宋体" w:hAnsi="宋体"/>
                <w:sz w:val="16"/>
                <w:lang w:eastAsia="zh-CN"/>
              </w:rPr>
              <w:t>身心</w:t>
            </w:r>
            <w:r>
              <w:rPr>
                <w:rFonts w:ascii="宋体" w:hAnsi="宋体" w:eastAsia="宋体"/>
                <w:sz w:val="16"/>
              </w:rPr>
              <w:t>健康的有益作用，改善了老解放离休人员生活质量。</w:t>
            </w:r>
          </w:p>
        </w:tc>
      </w:tr>
      <w:tr w14:paraId="3F9E13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0999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27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A17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893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28F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EB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C02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620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BF9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6EE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D5D8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B27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E26D9">
            <w:pPr>
              <w:jc w:val="center"/>
            </w:pPr>
            <w:r>
              <w:rPr>
                <w:rFonts w:ascii="宋体" w:hAnsi="宋体" w:eastAsia="宋体"/>
                <w:sz w:val="16"/>
              </w:rPr>
              <w:t>偏差原因分析及改进措施</w:t>
            </w:r>
          </w:p>
        </w:tc>
      </w:tr>
      <w:tr w14:paraId="253B7A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90A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B8A5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991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BC973">
            <w:pPr>
              <w:jc w:val="center"/>
            </w:pPr>
            <w:r>
              <w:rPr>
                <w:rFonts w:ascii="宋体" w:hAnsi="宋体" w:eastAsia="宋体"/>
                <w:sz w:val="16"/>
              </w:rPr>
              <w:t>老解放人员数量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A0757">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E4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EA02">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309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F13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37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E58D">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DF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295B5">
            <w:pPr>
              <w:jc w:val="center"/>
            </w:pPr>
          </w:p>
        </w:tc>
      </w:tr>
      <w:tr w14:paraId="24BA36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7E7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11A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5E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4AD74">
            <w:pPr>
              <w:jc w:val="center"/>
            </w:pPr>
            <w:r>
              <w:rPr>
                <w:rFonts w:ascii="宋体" w:hAnsi="宋体" w:eastAsia="宋体"/>
                <w:sz w:val="16"/>
              </w:rPr>
              <w:t>补助费用覆盖率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F5B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7B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CA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FA3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60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460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C4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20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7266B">
            <w:pPr>
              <w:jc w:val="center"/>
            </w:pPr>
          </w:p>
        </w:tc>
      </w:tr>
      <w:tr w14:paraId="474B5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B02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ACF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F30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BA19">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90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A27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828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E5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732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67E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AD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2D1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10ED2">
            <w:pPr>
              <w:jc w:val="center"/>
            </w:pPr>
          </w:p>
        </w:tc>
      </w:tr>
      <w:tr w14:paraId="5331F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BC5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1A5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442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CEEE">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4AC4">
            <w:pPr>
              <w:jc w:val="center"/>
            </w:pPr>
            <w:r>
              <w:rPr>
                <w:rFonts w:ascii="宋体" w:hAnsi="宋体" w:eastAsia="宋体"/>
                <w:sz w:val="16"/>
              </w:rPr>
              <w:t>=2024年3月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4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B0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1F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072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34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5F6B">
            <w:pPr>
              <w:jc w:val="center"/>
            </w:pPr>
            <w:r>
              <w:rPr>
                <w:rFonts w:ascii="宋体" w:hAnsi="宋体" w:eastAsia="宋体"/>
                <w:sz w:val="16"/>
              </w:rPr>
              <w:t>=2024年3月22日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D3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8CE21">
            <w:pPr>
              <w:jc w:val="center"/>
            </w:pPr>
          </w:p>
        </w:tc>
      </w:tr>
      <w:tr w14:paraId="460A8F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572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AF5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00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54EB">
            <w:pPr>
              <w:jc w:val="center"/>
            </w:pPr>
            <w:r>
              <w:rPr>
                <w:rFonts w:ascii="宋体" w:hAnsi="宋体" w:eastAsia="宋体"/>
                <w:sz w:val="16"/>
              </w:rPr>
              <w:t>周转金发放人均成本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927EA">
            <w:pPr>
              <w:jc w:val="center"/>
            </w:pPr>
            <w:r>
              <w:rPr>
                <w:rFonts w:ascii="宋体" w:hAnsi="宋体" w:eastAsia="宋体"/>
                <w:sz w:val="16"/>
              </w:rPr>
              <w:t>&lt;=1万元/人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A1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EB1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00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1A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EC20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42ED8">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1B1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1E895">
            <w:pPr>
              <w:jc w:val="center"/>
            </w:pPr>
          </w:p>
        </w:tc>
      </w:tr>
      <w:tr w14:paraId="0C866C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45A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A89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EC2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3C47E">
            <w:pPr>
              <w:jc w:val="center"/>
            </w:pPr>
            <w:r>
              <w:rPr>
                <w:rFonts w:ascii="宋体" w:hAnsi="宋体" w:eastAsia="宋体"/>
                <w:sz w:val="16"/>
              </w:rPr>
              <w:t>改善老解放离休人员生活质量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F01E">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803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00C7">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18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C05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2B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31F1">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6973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7BD6C">
            <w:pPr>
              <w:jc w:val="center"/>
            </w:pPr>
          </w:p>
        </w:tc>
      </w:tr>
      <w:tr w14:paraId="58E48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157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E6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B28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BBB2">
            <w:pPr>
              <w:jc w:val="center"/>
            </w:pPr>
            <w:r>
              <w:rPr>
                <w:rFonts w:ascii="宋体" w:hAnsi="宋体" w:eastAsia="宋体"/>
                <w:sz w:val="16"/>
              </w:rPr>
              <w:t>离休人员满意度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074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622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DD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BB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D4FA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A0E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CAD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70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5AF68">
            <w:pPr>
              <w:jc w:val="center"/>
            </w:pPr>
          </w:p>
        </w:tc>
      </w:tr>
      <w:tr w14:paraId="3C5113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93E4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EFDA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15E5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518445">
            <w:pPr>
              <w:jc w:val="center"/>
            </w:pPr>
            <w:r>
              <w:rPr>
                <w:rFonts w:ascii="宋体" w:hAnsi="宋体" w:eastAsia="宋体"/>
                <w:sz w:val="16"/>
              </w:rPr>
              <w:t>100分</w:t>
            </w:r>
          </w:p>
        </w:tc>
      </w:tr>
    </w:tbl>
    <w:p w14:paraId="14A15993">
      <w:r>
        <w:br w:type="page"/>
      </w:r>
    </w:p>
    <w:p w14:paraId="001FE9FF">
      <w:pPr>
        <w:spacing w:line="640" w:lineRule="exact"/>
        <w:ind w:firstLine="640"/>
        <w:jc w:val="both"/>
        <w:outlineLvl w:val="2"/>
      </w:pPr>
      <w:r>
        <w:rPr>
          <w:rFonts w:ascii="黑体" w:hAnsi="黑体" w:eastAsia="黑体"/>
          <w:sz w:val="32"/>
        </w:rPr>
        <w:t>十二、其他需说明的事项</w:t>
      </w:r>
    </w:p>
    <w:p w14:paraId="1EC0B92E">
      <w:pPr>
        <w:spacing w:line="580" w:lineRule="exact"/>
        <w:ind w:firstLine="640"/>
        <w:jc w:val="both"/>
      </w:pPr>
      <w:r>
        <w:rPr>
          <w:rFonts w:ascii="仿宋_GB2312" w:hAnsi="仿宋_GB2312" w:eastAsia="仿宋_GB2312"/>
          <w:b w:val="0"/>
          <w:sz w:val="32"/>
        </w:rPr>
        <w:t>本单位无其他需说明的事项。</w:t>
      </w:r>
    </w:p>
    <w:p w14:paraId="04BD56DB">
      <w:r>
        <w:br w:type="page"/>
      </w:r>
    </w:p>
    <w:p w14:paraId="44012368">
      <w:pPr>
        <w:spacing w:line="240" w:lineRule="auto"/>
        <w:jc w:val="center"/>
        <w:outlineLvl w:val="1"/>
      </w:pPr>
      <w:r>
        <w:rPr>
          <w:rFonts w:ascii="黑体" w:hAnsi="黑体" w:eastAsia="黑体"/>
          <w:sz w:val="32"/>
        </w:rPr>
        <w:t>第三部分 专业名词解释</w:t>
      </w:r>
    </w:p>
    <w:p w14:paraId="4B6165D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1DBF0D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919DD4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81F6E2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563F35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D89441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D5F0A6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5E1910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2DDDF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4CBE7D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48414D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4D054D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5EAE6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1B353C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0C46D44">
      <w:r>
        <w:br w:type="page"/>
      </w:r>
    </w:p>
    <w:p w14:paraId="12456F0B">
      <w:pPr>
        <w:spacing w:line="240" w:lineRule="auto"/>
        <w:jc w:val="center"/>
        <w:outlineLvl w:val="1"/>
      </w:pPr>
      <w:r>
        <w:rPr>
          <w:rFonts w:ascii="黑体" w:hAnsi="黑体" w:eastAsia="黑体"/>
          <w:sz w:val="32"/>
        </w:rPr>
        <w:t>第四部分 部门决算报表（见附表）</w:t>
      </w:r>
    </w:p>
    <w:p w14:paraId="1771FB46">
      <w:pPr>
        <w:spacing w:line="240" w:lineRule="auto"/>
        <w:ind w:firstLine="640"/>
        <w:jc w:val="both"/>
      </w:pPr>
      <w:r>
        <w:rPr>
          <w:rFonts w:ascii="仿宋_GB2312" w:hAnsi="仿宋_GB2312" w:eastAsia="仿宋_GB2312"/>
          <w:b w:val="0"/>
          <w:sz w:val="32"/>
        </w:rPr>
        <w:t>一、《收入支出决算总表》</w:t>
      </w:r>
    </w:p>
    <w:p w14:paraId="517AE1C5">
      <w:pPr>
        <w:spacing w:line="240" w:lineRule="auto"/>
        <w:ind w:firstLine="640"/>
        <w:jc w:val="both"/>
      </w:pPr>
      <w:r>
        <w:rPr>
          <w:rFonts w:ascii="仿宋_GB2312" w:hAnsi="仿宋_GB2312" w:eastAsia="仿宋_GB2312"/>
          <w:b w:val="0"/>
          <w:sz w:val="32"/>
        </w:rPr>
        <w:t>二、《收入决算表》</w:t>
      </w:r>
    </w:p>
    <w:p w14:paraId="20F639CE">
      <w:pPr>
        <w:spacing w:line="240" w:lineRule="auto"/>
        <w:ind w:firstLine="640"/>
        <w:jc w:val="both"/>
      </w:pPr>
      <w:r>
        <w:rPr>
          <w:rFonts w:ascii="仿宋_GB2312" w:hAnsi="仿宋_GB2312" w:eastAsia="仿宋_GB2312"/>
          <w:b w:val="0"/>
          <w:sz w:val="32"/>
        </w:rPr>
        <w:t>三、《支出决算表》</w:t>
      </w:r>
    </w:p>
    <w:p w14:paraId="2F067BBD">
      <w:pPr>
        <w:spacing w:line="240" w:lineRule="auto"/>
        <w:ind w:firstLine="640"/>
        <w:jc w:val="both"/>
      </w:pPr>
      <w:r>
        <w:rPr>
          <w:rFonts w:ascii="仿宋_GB2312" w:hAnsi="仿宋_GB2312" w:eastAsia="仿宋_GB2312"/>
          <w:b w:val="0"/>
          <w:sz w:val="32"/>
        </w:rPr>
        <w:t>四、《财政拨款收入支出决算总表》</w:t>
      </w:r>
    </w:p>
    <w:p w14:paraId="122967E8">
      <w:pPr>
        <w:spacing w:line="240" w:lineRule="auto"/>
        <w:ind w:firstLine="640"/>
        <w:jc w:val="both"/>
      </w:pPr>
      <w:r>
        <w:rPr>
          <w:rFonts w:ascii="仿宋_GB2312" w:hAnsi="仿宋_GB2312" w:eastAsia="仿宋_GB2312"/>
          <w:b w:val="0"/>
          <w:sz w:val="32"/>
        </w:rPr>
        <w:t>五、《一般公共预算财政拨款支出决算表》</w:t>
      </w:r>
    </w:p>
    <w:p w14:paraId="2F814D6F">
      <w:pPr>
        <w:spacing w:line="240" w:lineRule="auto"/>
        <w:ind w:firstLine="640"/>
        <w:jc w:val="both"/>
      </w:pPr>
      <w:r>
        <w:rPr>
          <w:rFonts w:ascii="仿宋_GB2312" w:hAnsi="仿宋_GB2312" w:eastAsia="仿宋_GB2312"/>
          <w:b w:val="0"/>
          <w:sz w:val="32"/>
        </w:rPr>
        <w:t>六、《一般公共预算财政拨款基本支出决算表》</w:t>
      </w:r>
    </w:p>
    <w:p w14:paraId="1BD8E507">
      <w:pPr>
        <w:spacing w:line="240" w:lineRule="auto"/>
        <w:ind w:firstLine="640"/>
        <w:jc w:val="both"/>
      </w:pPr>
      <w:r>
        <w:rPr>
          <w:rFonts w:ascii="仿宋_GB2312" w:hAnsi="仿宋_GB2312" w:eastAsia="仿宋_GB2312"/>
          <w:b w:val="0"/>
          <w:sz w:val="32"/>
        </w:rPr>
        <w:t>七、《政府性基金预算财政拨款收入支出决算表》</w:t>
      </w:r>
    </w:p>
    <w:p w14:paraId="53C4C290">
      <w:pPr>
        <w:spacing w:line="240" w:lineRule="auto"/>
        <w:ind w:firstLine="640"/>
        <w:jc w:val="both"/>
      </w:pPr>
      <w:r>
        <w:rPr>
          <w:rFonts w:ascii="仿宋_GB2312" w:hAnsi="仿宋_GB2312" w:eastAsia="仿宋_GB2312"/>
          <w:b w:val="0"/>
          <w:sz w:val="32"/>
        </w:rPr>
        <w:t>八、《国有资本经营预算财政拨款收入支出决算表》</w:t>
      </w:r>
    </w:p>
    <w:p w14:paraId="04452323">
      <w:pPr>
        <w:spacing w:line="240" w:lineRule="auto"/>
        <w:ind w:firstLine="640"/>
        <w:jc w:val="both"/>
      </w:pPr>
      <w:r>
        <w:rPr>
          <w:rFonts w:ascii="仿宋_GB2312" w:hAnsi="仿宋_GB2312" w:eastAsia="仿宋_GB2312"/>
          <w:b w:val="0"/>
          <w:sz w:val="32"/>
        </w:rPr>
        <w:t>九、《财政拨款“三公”经费支出决算表》</w:t>
      </w:r>
    </w:p>
    <w:p w14:paraId="7C758C2B">
      <w:pPr>
        <w:spacing w:line="240" w:lineRule="auto"/>
        <w:ind w:firstLine="640"/>
        <w:jc w:val="both"/>
      </w:pPr>
    </w:p>
    <w:p w14:paraId="25E6AF38">
      <w:pPr>
        <w:spacing w:line="240" w:lineRule="auto"/>
        <w:ind w:firstLine="640"/>
        <w:jc w:val="both"/>
      </w:pPr>
    </w:p>
    <w:p w14:paraId="64942DDB">
      <w:pPr>
        <w:spacing w:line="240" w:lineRule="auto"/>
        <w:ind w:firstLine="640"/>
        <w:jc w:val="both"/>
      </w:pPr>
    </w:p>
    <w:p w14:paraId="223B46BB">
      <w:pPr>
        <w:spacing w:line="240" w:lineRule="auto"/>
        <w:ind w:firstLine="640"/>
        <w:jc w:val="both"/>
      </w:pPr>
    </w:p>
    <w:p w14:paraId="2ADB5B0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4285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D8537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4D8537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237624"/>
    <w:rsid w:val="40834692"/>
    <w:rsid w:val="423A32B2"/>
    <w:rsid w:val="423C0CB4"/>
    <w:rsid w:val="427B5743"/>
    <w:rsid w:val="42E64542"/>
    <w:rsid w:val="44342723"/>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306680"/>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5997</Words>
  <Characters>6771</Characters>
  <Lines>0</Lines>
  <Paragraphs>0</Paragraphs>
  <TotalTime>1</TotalTime>
  <ScaleCrop>false</ScaleCrop>
  <LinksUpToDate>false</LinksUpToDate>
  <CharactersWithSpaces>6867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eyJoZGlkIjoiNTM1NjJiMTUwNmFhZWNlZmQwNDVjMDAxNDMwM2IwMDkiLCJ1c2VySWQiOiIyNTk4NTcxMjUifQ==</vt:lpwstr>
  </property>
</Properties>
</file>