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麦盖提县央塔克乡中心卫生院2024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04DBC9C">
      <w:r>
        <w:br w:type="page"/>
      </w:r>
    </w:p>
    <w:p w14:paraId="57607AD3">
      <w:pPr>
        <w:spacing w:line="640" w:lineRule="exact"/>
        <w:jc w:val="center"/>
        <w:outlineLvl w:val="1"/>
      </w:pPr>
      <w:r>
        <w:rPr>
          <w:rFonts w:ascii="黑体" w:hAnsi="黑体" w:eastAsia="黑体"/>
          <w:sz w:val="32"/>
        </w:rPr>
        <w:t>第一部分 单位概况</w:t>
      </w:r>
    </w:p>
    <w:p w14:paraId="6C5F6B33">
      <w:pPr>
        <w:spacing w:line="640" w:lineRule="exact"/>
        <w:ind w:firstLine="640"/>
        <w:jc w:val="both"/>
        <w:outlineLvl w:val="2"/>
      </w:pPr>
      <w:r>
        <w:rPr>
          <w:rFonts w:ascii="黑体" w:hAnsi="黑体" w:eastAsia="黑体"/>
          <w:sz w:val="32"/>
        </w:rPr>
        <w:t>一、主要职能</w:t>
      </w:r>
    </w:p>
    <w:p w14:paraId="6166493C">
      <w:pPr>
        <w:spacing w:line="580" w:lineRule="exact"/>
        <w:ind w:firstLine="640"/>
        <w:jc w:val="both"/>
      </w:pPr>
      <w:r>
        <w:rPr>
          <w:rFonts w:ascii="仿宋_GB2312" w:hAnsi="仿宋_GB2312" w:eastAsia="仿宋_GB2312"/>
          <w:sz w:val="32"/>
        </w:rPr>
        <w:t>（1）乡镇卫生院是乡村公共卫生工作的枢纽，它在乡村承担着政府的卫生行政职能，是农村疾病控制的中心，是农村初级卫生保健的核心，是农村社区卫生服务的指导中心。</w:t>
      </w:r>
    </w:p>
    <w:p w14:paraId="4BE464EE">
      <w:pPr>
        <w:spacing w:line="580" w:lineRule="exact"/>
        <w:ind w:firstLine="640"/>
        <w:jc w:val="both"/>
      </w:pPr>
      <w:r>
        <w:rPr>
          <w:rFonts w:ascii="仿宋_GB2312" w:hAnsi="仿宋_GB2312" w:eastAsia="仿宋_GB2312"/>
          <w:sz w:val="32"/>
        </w:rPr>
        <w:t>（2）乡镇卫生院在从事公共卫生管理与服务的同时，要切实担负起“组织药品市场监管”的职能。具体地讲，就是要督促、指导辖区内医疗机构做好药品、医疗器械的采购、使用和管理工作，做好药械质量管理和药械法律法规宣传普及工作，及时向有关单位通报药械质量管理信息和药械质量方面的各类违法违规行为。</w:t>
      </w:r>
    </w:p>
    <w:p w14:paraId="6094B819">
      <w:pPr>
        <w:spacing w:line="580" w:lineRule="exact"/>
        <w:ind w:firstLine="640"/>
        <w:jc w:val="both"/>
      </w:pPr>
      <w:r>
        <w:rPr>
          <w:rFonts w:ascii="仿宋_GB2312" w:hAnsi="仿宋_GB2312" w:eastAsia="仿宋_GB2312"/>
          <w:sz w:val="32"/>
        </w:rPr>
        <w:t>（3）乡镇卫生院以公共卫生服务为主，综合提供预防、保健和基本医疗等服务。</w:t>
      </w:r>
    </w:p>
    <w:p w14:paraId="6A42B19C">
      <w:pPr>
        <w:spacing w:line="580" w:lineRule="exact"/>
        <w:ind w:firstLine="640"/>
        <w:jc w:val="both"/>
      </w:pPr>
      <w:r>
        <w:rPr>
          <w:rFonts w:ascii="仿宋_GB2312" w:hAnsi="仿宋_GB2312" w:eastAsia="仿宋_GB2312"/>
          <w:sz w:val="32"/>
        </w:rPr>
        <w:t>（4）加强农村疾病预防控制，做好传染病、地方病防治和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4E151F48">
      <w:pPr>
        <w:spacing w:line="580" w:lineRule="exact"/>
        <w:ind w:firstLine="640"/>
        <w:jc w:val="both"/>
      </w:pPr>
      <w:r>
        <w:rPr>
          <w:rFonts w:ascii="仿宋_GB2312" w:hAnsi="仿宋_GB2312" w:eastAsia="仿宋_GB2312"/>
          <w:sz w:val="32"/>
        </w:rPr>
        <w:t>（5）认真执行儿童计划免疫。积极开展慢性非传染性疾病的防治工作。</w:t>
      </w:r>
    </w:p>
    <w:p w14:paraId="081C4E1D">
      <w:pPr>
        <w:spacing w:line="580" w:lineRule="exact"/>
        <w:ind w:firstLine="640"/>
        <w:jc w:val="both"/>
      </w:pPr>
      <w:r>
        <w:rPr>
          <w:rFonts w:ascii="仿宋_GB2312" w:hAnsi="仿宋_GB2312" w:eastAsia="仿宋_GB2312"/>
          <w:sz w:val="32"/>
        </w:rPr>
        <w:t>（6）做好农村孕产妇和儿童保健工作，提高住院分娩率，改善儿童营养状况。</w:t>
      </w:r>
    </w:p>
    <w:p w14:paraId="2649849F">
      <w:pPr>
        <w:spacing w:line="580" w:lineRule="exact"/>
        <w:ind w:firstLine="640"/>
        <w:jc w:val="both"/>
      </w:pPr>
      <w:r>
        <w:rPr>
          <w:rFonts w:ascii="仿宋_GB2312" w:hAnsi="仿宋_GB2312" w:eastAsia="仿宋_GB2312"/>
          <w:sz w:val="32"/>
        </w:rPr>
        <w:t>（7）积极做好新型农村合作医疗的服务、</w:t>
      </w:r>
      <w:r>
        <w:rPr>
          <w:rFonts w:hint="eastAsia" w:ascii="仿宋_GB2312" w:hAnsi="仿宋_GB2312" w:eastAsia="仿宋_GB2312"/>
          <w:sz w:val="32"/>
          <w:lang w:eastAsia="zh-CN"/>
        </w:rPr>
        <w:t>JHSY</w:t>
      </w:r>
      <w:r>
        <w:rPr>
          <w:rFonts w:ascii="仿宋_GB2312" w:hAnsi="仿宋_GB2312" w:eastAsia="仿宋_GB2312"/>
          <w:sz w:val="32"/>
        </w:rPr>
        <w:t>技术指导、康复等工作。</w:t>
      </w:r>
    </w:p>
    <w:p w14:paraId="426951A9">
      <w:pPr>
        <w:spacing w:line="640" w:lineRule="exact"/>
        <w:ind w:firstLine="640"/>
        <w:jc w:val="both"/>
        <w:outlineLvl w:val="2"/>
      </w:pPr>
      <w:r>
        <w:rPr>
          <w:rFonts w:ascii="黑体" w:hAnsi="黑体" w:eastAsia="黑体"/>
          <w:sz w:val="32"/>
        </w:rPr>
        <w:t>二、机构设置及人员情况</w:t>
      </w:r>
    </w:p>
    <w:p w14:paraId="4DC421AE">
      <w:pPr>
        <w:spacing w:line="580" w:lineRule="exact"/>
        <w:ind w:firstLine="640"/>
        <w:jc w:val="both"/>
      </w:pPr>
      <w:r>
        <w:rPr>
          <w:rFonts w:ascii="仿宋_GB2312" w:hAnsi="仿宋_GB2312" w:eastAsia="仿宋_GB2312"/>
          <w:sz w:val="32"/>
        </w:rPr>
        <w:t>麦盖提县央塔克乡中心卫生院2024年度，实有人数53人，其中：在职人员42人，增加1人；离休人员0人，增加0人；退休人员11人,增加0人。</w:t>
      </w:r>
    </w:p>
    <w:p w14:paraId="035DDB9D">
      <w:pPr>
        <w:spacing w:line="580" w:lineRule="exact"/>
        <w:ind w:firstLine="640"/>
        <w:jc w:val="both"/>
      </w:pPr>
      <w:r>
        <w:rPr>
          <w:rFonts w:ascii="仿宋_GB2312" w:hAnsi="仿宋_GB2312" w:eastAsia="仿宋_GB2312"/>
          <w:sz w:val="32"/>
        </w:rPr>
        <w:t>麦盖提县央塔克乡中心卫生院无下属预算单位，下设5个科室，分别是：门诊部、住院部、体检中心、收费室、防疫科。</w:t>
      </w:r>
    </w:p>
    <w:p w14:paraId="715EC237">
      <w:r>
        <w:br w:type="page"/>
      </w:r>
    </w:p>
    <w:p w14:paraId="2270E702">
      <w:pPr>
        <w:spacing w:line="240" w:lineRule="auto"/>
        <w:jc w:val="center"/>
        <w:outlineLvl w:val="1"/>
      </w:pPr>
      <w:r>
        <w:rPr>
          <w:rFonts w:ascii="黑体" w:hAnsi="黑体" w:eastAsia="黑体"/>
          <w:sz w:val="32"/>
        </w:rPr>
        <w:t>第二部分 部门决算情况说明</w:t>
      </w:r>
    </w:p>
    <w:p w14:paraId="69210979">
      <w:pPr>
        <w:spacing w:line="640" w:lineRule="exact"/>
        <w:ind w:firstLine="640"/>
        <w:jc w:val="both"/>
        <w:outlineLvl w:val="2"/>
      </w:pPr>
      <w:r>
        <w:rPr>
          <w:rFonts w:ascii="黑体" w:hAnsi="黑体" w:eastAsia="黑体"/>
          <w:sz w:val="32"/>
        </w:rPr>
        <w:t>一、收入支出决算总体情况说明</w:t>
      </w:r>
    </w:p>
    <w:p w14:paraId="4804C4B4">
      <w:pPr>
        <w:spacing w:line="580" w:lineRule="exact"/>
        <w:ind w:firstLine="640"/>
        <w:jc w:val="both"/>
      </w:pPr>
      <w:r>
        <w:rPr>
          <w:rFonts w:ascii="仿宋_GB2312" w:hAnsi="仿宋_GB2312" w:eastAsia="仿宋_GB2312"/>
          <w:b/>
          <w:sz w:val="32"/>
        </w:rPr>
        <w:t>2024年度收入总计1,751.98万元，</w:t>
      </w:r>
      <w:r>
        <w:rPr>
          <w:rFonts w:ascii="仿宋_GB2312" w:hAnsi="仿宋_GB2312" w:eastAsia="仿宋_GB2312"/>
          <w:b w:val="0"/>
          <w:sz w:val="32"/>
        </w:rPr>
        <w:t>其中：本年收入合计1,743.31万元，使用非财政拨款结余（含专用结余）0.00万元，年初结转和结余8.67万元。</w:t>
      </w:r>
    </w:p>
    <w:p w14:paraId="2063FC3C">
      <w:pPr>
        <w:spacing w:line="580" w:lineRule="exact"/>
        <w:ind w:firstLine="640"/>
        <w:jc w:val="both"/>
      </w:pPr>
      <w:r>
        <w:rPr>
          <w:rFonts w:ascii="仿宋_GB2312" w:hAnsi="仿宋_GB2312" w:eastAsia="仿宋_GB2312"/>
          <w:b/>
          <w:sz w:val="32"/>
        </w:rPr>
        <w:t>2024年度支出总计1,751.98万元，</w:t>
      </w:r>
      <w:r>
        <w:rPr>
          <w:rFonts w:ascii="仿宋_GB2312" w:hAnsi="仿宋_GB2312" w:eastAsia="仿宋_GB2312"/>
          <w:b w:val="0"/>
          <w:sz w:val="32"/>
        </w:rPr>
        <w:t>其中：本年支出合计1,716.48万元，结余分配0.00万元，年末结转和结余35.50万元。</w:t>
      </w:r>
    </w:p>
    <w:p w14:paraId="789B3876">
      <w:pPr>
        <w:spacing w:line="580" w:lineRule="exact"/>
        <w:ind w:firstLine="640"/>
        <w:jc w:val="both"/>
      </w:pPr>
      <w:r>
        <w:rPr>
          <w:rFonts w:ascii="仿宋_GB2312" w:hAnsi="仿宋_GB2312" w:eastAsia="仿宋_GB2312"/>
          <w:b w:val="0"/>
          <w:sz w:val="32"/>
        </w:rPr>
        <w:t>收入支出总体与上年相比，减少267.69万元，下降13.25%，主要原因是：本年就诊人数、住院人数减少，体检人数减少，事业收入减少。</w:t>
      </w:r>
    </w:p>
    <w:p w14:paraId="132B5323">
      <w:pPr>
        <w:spacing w:line="640" w:lineRule="exact"/>
        <w:ind w:firstLine="640"/>
        <w:jc w:val="both"/>
        <w:outlineLvl w:val="2"/>
      </w:pPr>
      <w:r>
        <w:rPr>
          <w:rFonts w:ascii="黑体" w:hAnsi="黑体" w:eastAsia="黑体"/>
          <w:sz w:val="32"/>
        </w:rPr>
        <w:t>二、收入决算情况说明</w:t>
      </w:r>
    </w:p>
    <w:p w14:paraId="340F2914">
      <w:pPr>
        <w:spacing w:line="580" w:lineRule="exact"/>
        <w:ind w:firstLine="640"/>
        <w:jc w:val="both"/>
      </w:pPr>
      <w:r>
        <w:rPr>
          <w:rFonts w:ascii="仿宋_GB2312" w:hAnsi="仿宋_GB2312" w:eastAsia="仿宋_GB2312"/>
          <w:b/>
          <w:sz w:val="32"/>
        </w:rPr>
        <w:t>本年收入1,743.31万元，</w:t>
      </w:r>
      <w:r>
        <w:rPr>
          <w:rFonts w:ascii="仿宋_GB2312" w:hAnsi="仿宋_GB2312" w:eastAsia="仿宋_GB2312"/>
          <w:b w:val="0"/>
          <w:sz w:val="32"/>
        </w:rPr>
        <w:t>其中：财政拨款收入1,142.57万元，占65.54%；上级补助收入0.00万元，占0.00%；事业收入515.74万元，占29.58%；经营收入0.00万元，占0.00%；附属单位上缴收入0.00万元，占0.00%；其他收入84.99万元，占4.88%。</w:t>
      </w:r>
    </w:p>
    <w:p w14:paraId="7F5925AC">
      <w:pPr>
        <w:spacing w:line="640" w:lineRule="exact"/>
        <w:ind w:firstLine="640"/>
        <w:jc w:val="both"/>
        <w:outlineLvl w:val="2"/>
      </w:pPr>
      <w:r>
        <w:rPr>
          <w:rFonts w:ascii="黑体" w:hAnsi="黑体" w:eastAsia="黑体"/>
          <w:sz w:val="32"/>
        </w:rPr>
        <w:t>三、支出决算情况说明</w:t>
      </w:r>
    </w:p>
    <w:p w14:paraId="0C6B53BC">
      <w:pPr>
        <w:spacing w:line="580" w:lineRule="exact"/>
        <w:ind w:firstLine="640"/>
        <w:jc w:val="both"/>
      </w:pPr>
      <w:r>
        <w:rPr>
          <w:rFonts w:ascii="仿宋_GB2312" w:hAnsi="仿宋_GB2312" w:eastAsia="仿宋_GB2312"/>
          <w:b/>
          <w:sz w:val="32"/>
        </w:rPr>
        <w:t>本年支出1,716.48万元，</w:t>
      </w:r>
      <w:r>
        <w:rPr>
          <w:rFonts w:ascii="仿宋_GB2312" w:hAnsi="仿宋_GB2312" w:eastAsia="仿宋_GB2312"/>
          <w:b w:val="0"/>
          <w:sz w:val="32"/>
        </w:rPr>
        <w:t>其中：基本支出706.22万元，占41.14%；项目支出1,010.25万元，占58.86%；上缴上级支出0.00万元，占0.00%；经营支出0.00万元，占0.00%；对附属单位补助支出0.00万元，占0.00%。</w:t>
      </w:r>
    </w:p>
    <w:p w14:paraId="40BDC277">
      <w:pPr>
        <w:spacing w:line="640" w:lineRule="exact"/>
        <w:ind w:firstLine="640"/>
        <w:jc w:val="both"/>
        <w:outlineLvl w:val="2"/>
      </w:pPr>
      <w:r>
        <w:rPr>
          <w:rFonts w:ascii="黑体" w:hAnsi="黑体" w:eastAsia="黑体"/>
          <w:sz w:val="32"/>
        </w:rPr>
        <w:t>四、财政拨款收入支出决算总体情况说明</w:t>
      </w:r>
    </w:p>
    <w:p w14:paraId="537CB664">
      <w:pPr>
        <w:spacing w:line="580" w:lineRule="exact"/>
        <w:ind w:firstLine="640"/>
        <w:jc w:val="both"/>
      </w:pPr>
      <w:r>
        <w:rPr>
          <w:rFonts w:ascii="仿宋_GB2312" w:hAnsi="仿宋_GB2312" w:eastAsia="仿宋_GB2312"/>
          <w:b/>
          <w:sz w:val="32"/>
        </w:rPr>
        <w:t>2024年度财政拨款收入总计1,142.57万元，</w:t>
      </w:r>
      <w:r>
        <w:rPr>
          <w:rFonts w:ascii="仿宋_GB2312" w:hAnsi="仿宋_GB2312" w:eastAsia="仿宋_GB2312"/>
          <w:b w:val="0"/>
          <w:sz w:val="32"/>
        </w:rPr>
        <w:t>其中：年初财政拨款结转和结余0.00万元，本年财政拨款收入1,142.57万元。</w:t>
      </w:r>
      <w:r>
        <w:rPr>
          <w:rFonts w:ascii="仿宋_GB2312" w:hAnsi="仿宋_GB2312" w:eastAsia="仿宋_GB2312"/>
          <w:b/>
          <w:sz w:val="32"/>
        </w:rPr>
        <w:t>财政拨款支出总计1,142.57万元，</w:t>
      </w:r>
      <w:r>
        <w:rPr>
          <w:rFonts w:ascii="仿宋_GB2312" w:hAnsi="仿宋_GB2312" w:eastAsia="仿宋_GB2312"/>
          <w:b w:val="0"/>
          <w:sz w:val="32"/>
        </w:rPr>
        <w:t>其中：年末财政拨款结转和结余0.00万元，本年财政拨款支出1,142.57万元。</w:t>
      </w:r>
    </w:p>
    <w:p w14:paraId="414970E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216.89万元，增长23.43%，主要原因是：一是2024年中央基本药物制度补助项目、2024年中央基本公共卫生服务补助项目、2024年自治区基本公共卫生服务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688.70万元，决算数1,142.57万元，预决算差异率65.90%，主要原因是：本年在职人员工资调薪，工资、社保、公积金等相关人员经费增加，年中追加人员经费，导致预决算存在差异。年中追加项目2024年中央基本药物制度补助项目、2024年中央基本公共卫生服务补助项目、2024年自治区基本公共卫生</w:t>
      </w:r>
      <w:r>
        <w:rPr>
          <w:rFonts w:hint="eastAsia" w:ascii="仿宋_GB2312" w:hAnsi="仿宋_GB2312" w:eastAsia="仿宋_GB2312"/>
          <w:b w:val="0"/>
          <w:sz w:val="32"/>
          <w:lang w:eastAsia="zh-CN"/>
        </w:rPr>
        <w:t>服务</w:t>
      </w:r>
      <w:r>
        <w:rPr>
          <w:rFonts w:ascii="仿宋_GB2312" w:hAnsi="仿宋_GB2312" w:eastAsia="仿宋_GB2312"/>
          <w:b w:val="0"/>
          <w:sz w:val="32"/>
        </w:rPr>
        <w:t>，导致预决算存在差异。</w:t>
      </w:r>
    </w:p>
    <w:p w14:paraId="543C8AFC">
      <w:pPr>
        <w:spacing w:line="640" w:lineRule="exact"/>
        <w:ind w:firstLine="640"/>
        <w:jc w:val="both"/>
        <w:outlineLvl w:val="2"/>
      </w:pPr>
      <w:r>
        <w:rPr>
          <w:rFonts w:ascii="黑体" w:hAnsi="黑体" w:eastAsia="黑体"/>
          <w:sz w:val="32"/>
        </w:rPr>
        <w:t>五、一般公共预算财政拨款支出决算情况说明</w:t>
      </w:r>
    </w:p>
    <w:p w14:paraId="06F51758">
      <w:pPr>
        <w:spacing w:line="640" w:lineRule="exact"/>
        <w:ind w:firstLine="640"/>
        <w:jc w:val="both"/>
        <w:outlineLvl w:val="3"/>
      </w:pPr>
      <w:r>
        <w:rPr>
          <w:rFonts w:ascii="楷体_GB2312" w:hAnsi="楷体_GB2312" w:eastAsia="楷体_GB2312"/>
          <w:b/>
          <w:sz w:val="32"/>
        </w:rPr>
        <w:t>（一）一般公共预算财政拨款支出决算总体情况</w:t>
      </w:r>
    </w:p>
    <w:p w14:paraId="36B7272D">
      <w:pPr>
        <w:spacing w:line="580" w:lineRule="exact"/>
        <w:ind w:firstLine="640"/>
        <w:jc w:val="both"/>
      </w:pPr>
      <w:r>
        <w:rPr>
          <w:rFonts w:ascii="仿宋_GB2312" w:hAnsi="仿宋_GB2312" w:eastAsia="仿宋_GB2312"/>
          <w:b/>
          <w:sz w:val="32"/>
        </w:rPr>
        <w:t>2024年度一般公共预算财政拨款支出1,138.48万元，</w:t>
      </w:r>
      <w:r>
        <w:rPr>
          <w:rFonts w:ascii="仿宋_GB2312" w:hAnsi="仿宋_GB2312" w:eastAsia="仿宋_GB2312"/>
          <w:b w:val="0"/>
          <w:sz w:val="32"/>
        </w:rPr>
        <w:t>占本年支出合计的66.33%。</w:t>
      </w:r>
      <w:r>
        <w:rPr>
          <w:rFonts w:ascii="仿宋_GB2312" w:hAnsi="仿宋_GB2312" w:eastAsia="仿宋_GB2312"/>
          <w:b/>
          <w:sz w:val="32"/>
        </w:rPr>
        <w:t>与上年相比，</w:t>
      </w:r>
      <w:r>
        <w:rPr>
          <w:rFonts w:ascii="仿宋_GB2312" w:hAnsi="仿宋_GB2312" w:eastAsia="仿宋_GB2312"/>
          <w:b w:val="0"/>
          <w:sz w:val="32"/>
        </w:rPr>
        <w:t>增加212.80万元，增长22.99%，主要原因是：一是2024年中央基本公共卫生服务补助项目、2024年自治区基本公共卫生服务补助项目支出增加；二是本年在职人员工资调薪，工资、社保、公积金等相关人员经费增加。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688.70万元，决算数1,138.48万元，预决算差异率65.31%，主要原因是：本年在职人员工资调薪，工资、社保、公积金等相关人员经费增加，年中追加人员经费，导致预决算存在差异。年中追加2024年中央基本公共卫生服务补助项目、2024年自治区基本公共卫生服务补助</w:t>
      </w:r>
      <w:r>
        <w:rPr>
          <w:rFonts w:hint="eastAsia" w:ascii="仿宋_GB2312" w:hAnsi="仿宋_GB2312" w:eastAsia="仿宋_GB2312"/>
          <w:b w:val="0"/>
          <w:sz w:val="32"/>
          <w:lang w:eastAsia="zh-CN"/>
        </w:rPr>
        <w:t>项目</w:t>
      </w:r>
      <w:r>
        <w:rPr>
          <w:rFonts w:ascii="仿宋_GB2312" w:hAnsi="仿宋_GB2312" w:eastAsia="仿宋_GB2312"/>
          <w:b w:val="0"/>
          <w:sz w:val="32"/>
        </w:rPr>
        <w:t>，导致预决算存在差异。</w:t>
      </w:r>
    </w:p>
    <w:p w14:paraId="4900E634">
      <w:pPr>
        <w:spacing w:line="640" w:lineRule="exact"/>
        <w:ind w:firstLine="640"/>
        <w:jc w:val="both"/>
        <w:outlineLvl w:val="3"/>
      </w:pPr>
      <w:r>
        <w:rPr>
          <w:rFonts w:ascii="楷体_GB2312" w:hAnsi="楷体_GB2312" w:eastAsia="楷体_GB2312"/>
          <w:b/>
          <w:sz w:val="32"/>
        </w:rPr>
        <w:t>（二）一般公共预算财政拨款支出决算结构情况</w:t>
      </w:r>
    </w:p>
    <w:p w14:paraId="0A862338">
      <w:pPr>
        <w:spacing w:line="580" w:lineRule="exact"/>
        <w:ind w:firstLine="640"/>
        <w:jc w:val="both"/>
      </w:pPr>
      <w:r>
        <w:rPr>
          <w:rFonts w:ascii="仿宋_GB2312" w:hAnsi="仿宋_GB2312" w:eastAsia="仿宋_GB2312"/>
          <w:b w:val="0"/>
          <w:sz w:val="32"/>
        </w:rPr>
        <w:t>1.社会保障和就业支出(类)73.75万元,占6.48%。</w:t>
      </w:r>
    </w:p>
    <w:p w14:paraId="38A33F25">
      <w:pPr>
        <w:spacing w:line="580" w:lineRule="exact"/>
        <w:ind w:firstLine="640"/>
        <w:jc w:val="both"/>
      </w:pPr>
      <w:r>
        <w:rPr>
          <w:rFonts w:ascii="仿宋_GB2312" w:hAnsi="仿宋_GB2312" w:eastAsia="仿宋_GB2312"/>
          <w:b w:val="0"/>
          <w:sz w:val="32"/>
        </w:rPr>
        <w:t>2.卫生健康支出(类)1,064.73万元,占93.52%。</w:t>
      </w:r>
    </w:p>
    <w:p w14:paraId="39CDA967">
      <w:pPr>
        <w:spacing w:line="640" w:lineRule="exact"/>
        <w:ind w:firstLine="640"/>
        <w:jc w:val="both"/>
        <w:outlineLvl w:val="3"/>
      </w:pPr>
      <w:r>
        <w:rPr>
          <w:rFonts w:ascii="楷体_GB2312" w:hAnsi="楷体_GB2312" w:eastAsia="楷体_GB2312"/>
          <w:b/>
          <w:sz w:val="32"/>
        </w:rPr>
        <w:t>（三）一般公共预算财政拨款支出决算具体情况</w:t>
      </w:r>
    </w:p>
    <w:p w14:paraId="625CC724">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73.75万元，比上年决算增加4.77万元，增长6.92%,主要原因是：本年在职人员工资基数调增，养老缴费基数上涨，相应支出增加。</w:t>
      </w:r>
    </w:p>
    <w:p w14:paraId="44A54B25">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2.卫生健康支出(类)卫生健康管理事务(款)其他卫生健康管理事务支出(项):支出决算数为2.59万元，比上年决算减少4.82万元，下降65.05%,主要原因是：本</w:t>
      </w:r>
      <w:r>
        <w:rPr>
          <w:rFonts w:hint="eastAsia" w:ascii="仿宋_GB2312" w:hAnsi="仿宋_GB2312" w:eastAsia="仿宋_GB2312"/>
          <w:b w:val="0"/>
          <w:sz w:val="32"/>
          <w:lang w:val="en-US" w:eastAsia="zh-CN"/>
        </w:rPr>
        <w:t>年</w:t>
      </w:r>
      <w:r>
        <w:rPr>
          <w:rFonts w:ascii="仿宋_GB2312" w:hAnsi="仿宋_GB2312" w:eastAsia="仿宋_GB2312"/>
          <w:b w:val="0"/>
          <w:sz w:val="32"/>
        </w:rPr>
        <w:t>卫生健康人才培养补助项目减少。</w:t>
      </w:r>
    </w:p>
    <w:p w14:paraId="681C1DCF">
      <w:pPr>
        <w:spacing w:line="580" w:lineRule="exact"/>
        <w:ind w:firstLine="640"/>
        <w:jc w:val="both"/>
      </w:pPr>
      <w:r>
        <w:rPr>
          <w:rFonts w:ascii="仿宋_GB2312" w:hAnsi="仿宋_GB2312" w:eastAsia="仿宋_GB2312"/>
          <w:b w:val="0"/>
          <w:sz w:val="32"/>
        </w:rPr>
        <w:t>3.卫生健康支出(类)公立医院(款)其他公立医院支出(项):支出决算数为2.30万元，比上年决算增加2.30万元，增长100.00%,主要原因是：本年增加中央医疗服务与保障能力提升项目经费，导致经费较上年增加。</w:t>
      </w:r>
    </w:p>
    <w:p w14:paraId="7F80EF19">
      <w:pPr>
        <w:spacing w:line="580" w:lineRule="exact"/>
        <w:ind w:firstLine="640"/>
        <w:jc w:val="both"/>
      </w:pPr>
      <w:r>
        <w:rPr>
          <w:rFonts w:ascii="仿宋_GB2312" w:hAnsi="仿宋_GB2312" w:eastAsia="仿宋_GB2312"/>
          <w:b w:val="0"/>
          <w:sz w:val="32"/>
        </w:rPr>
        <w:t>4.卫生健康支出(类)基层医疗卫生机构(款)乡镇卫生院(项):支出决算数为632.47万元，比上年决算增加35.43万元，增长5.93%,主要原因是：本年在职人员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工资调薪，工资等相关人员经费增加。</w:t>
      </w:r>
    </w:p>
    <w:p w14:paraId="16DD4F96">
      <w:pPr>
        <w:spacing w:line="580" w:lineRule="exact"/>
        <w:ind w:firstLine="640"/>
        <w:jc w:val="both"/>
      </w:pPr>
      <w:r>
        <w:rPr>
          <w:rFonts w:ascii="仿宋_GB2312" w:hAnsi="仿宋_GB2312" w:eastAsia="仿宋_GB2312"/>
          <w:b w:val="0"/>
          <w:sz w:val="32"/>
        </w:rPr>
        <w:t>5.卫生健康支出(类)基层医疗卫生机构(款)其他基层医疗卫生机构支出(项):支出决算数为37.35万元，比上年决算增加13.25万元，增长54.98%,主要原因是：本年增加2024年中央基本药物制度补助项目资金。</w:t>
      </w:r>
    </w:p>
    <w:p w14:paraId="603247B0">
      <w:pPr>
        <w:spacing w:line="580" w:lineRule="exact"/>
        <w:ind w:firstLine="640"/>
        <w:jc w:val="both"/>
      </w:pPr>
      <w:r>
        <w:rPr>
          <w:rFonts w:ascii="仿宋_GB2312" w:hAnsi="仿宋_GB2312" w:eastAsia="仿宋_GB2312"/>
          <w:b w:val="0"/>
          <w:sz w:val="32"/>
        </w:rPr>
        <w:t>6.卫生健康支出(类)公共卫生(款)基本公共卫生服务(项):支出决算数为388.27万元，比上年决算增加160.12万元，增长70.18%,主要原因是：本年增加2024年中央基本公共卫生服务补助项目、2024年自治区基本公共卫生服务补助项目资金，导致经费较上年增加。</w:t>
      </w:r>
    </w:p>
    <w:p w14:paraId="3E306B50">
      <w:pPr>
        <w:spacing w:line="580" w:lineRule="exact"/>
        <w:ind w:firstLine="640"/>
        <w:jc w:val="both"/>
      </w:pPr>
      <w:r>
        <w:rPr>
          <w:rFonts w:ascii="仿宋_GB2312" w:hAnsi="仿宋_GB2312" w:eastAsia="仿宋_GB2312"/>
          <w:b w:val="0"/>
          <w:sz w:val="32"/>
        </w:rPr>
        <w:t>7.卫生健康支出(类)公共卫</w:t>
      </w:r>
      <w:bookmarkStart w:id="0" w:name="_GoBack"/>
      <w:bookmarkEnd w:id="0"/>
      <w:r>
        <w:rPr>
          <w:rFonts w:ascii="仿宋_GB2312" w:hAnsi="仿宋_GB2312" w:eastAsia="仿宋_GB2312"/>
          <w:b w:val="0"/>
          <w:sz w:val="32"/>
        </w:rPr>
        <w:t>生(款)重大公共卫生服务(项):支出决算数为1.75万元，比上年决算增加1.75万元，增长100.00%,主要原因是：本年增加2024年重大传染病防控经费项目，导致经费较上年增加。</w:t>
      </w:r>
    </w:p>
    <w:p w14:paraId="765BD17C">
      <w:pPr>
        <w:spacing w:line="640" w:lineRule="exact"/>
        <w:ind w:firstLine="640"/>
        <w:jc w:val="both"/>
        <w:outlineLvl w:val="2"/>
      </w:pPr>
      <w:r>
        <w:rPr>
          <w:rFonts w:ascii="黑体" w:hAnsi="黑体" w:eastAsia="黑体"/>
          <w:sz w:val="32"/>
        </w:rPr>
        <w:t>六、一般公共预算财政拨款基本支出决算情况说明</w:t>
      </w:r>
    </w:p>
    <w:p w14:paraId="42175BA2">
      <w:pPr>
        <w:spacing w:line="580" w:lineRule="exact"/>
        <w:ind w:firstLine="640"/>
        <w:jc w:val="both"/>
      </w:pPr>
      <w:r>
        <w:rPr>
          <w:rFonts w:ascii="仿宋_GB2312" w:hAnsi="仿宋_GB2312" w:eastAsia="仿宋_GB2312"/>
          <w:b w:val="0"/>
          <w:sz w:val="32"/>
        </w:rPr>
        <w:t>2024年度一般公共预算财政拨款基本支出706.22万元，其中：</w:t>
      </w:r>
      <w:r>
        <w:rPr>
          <w:rFonts w:ascii="仿宋_GB2312" w:hAnsi="仿宋_GB2312" w:eastAsia="仿宋_GB2312"/>
          <w:b/>
          <w:sz w:val="32"/>
        </w:rPr>
        <w:t>人员经费706.22万元，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471F6489">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429D31D1">
      <w:pPr>
        <w:spacing w:line="640" w:lineRule="exact"/>
        <w:ind w:firstLine="640"/>
        <w:jc w:val="both"/>
        <w:outlineLvl w:val="2"/>
      </w:pPr>
      <w:r>
        <w:rPr>
          <w:rFonts w:ascii="黑体" w:hAnsi="黑体" w:eastAsia="黑体"/>
          <w:sz w:val="32"/>
        </w:rPr>
        <w:t>七、政府性基金预算财政拨款收入支出决算情况说明</w:t>
      </w:r>
    </w:p>
    <w:p w14:paraId="321849A9">
      <w:pPr>
        <w:spacing w:line="580" w:lineRule="exact"/>
        <w:ind w:firstLine="640"/>
        <w:jc w:val="both"/>
      </w:pPr>
      <w:r>
        <w:rPr>
          <w:rFonts w:ascii="仿宋_GB2312" w:hAnsi="仿宋_GB2312" w:eastAsia="仿宋_GB2312"/>
          <w:b/>
          <w:sz w:val="32"/>
        </w:rPr>
        <w:t>2024年度政府性基金预算财政拨款收入总计4.09万元，</w:t>
      </w:r>
      <w:r>
        <w:rPr>
          <w:rFonts w:ascii="仿宋_GB2312" w:hAnsi="仿宋_GB2312" w:eastAsia="仿宋_GB2312"/>
          <w:b w:val="0"/>
          <w:sz w:val="32"/>
        </w:rPr>
        <w:t>其中：年初结转和结余0.00万元，本年收入4.09万元。</w:t>
      </w:r>
      <w:r>
        <w:rPr>
          <w:rFonts w:ascii="仿宋_GB2312" w:hAnsi="仿宋_GB2312" w:eastAsia="仿宋_GB2312"/>
          <w:b/>
          <w:sz w:val="32"/>
        </w:rPr>
        <w:t>政府性基金预算财政拨款支出总计4.09万元，</w:t>
      </w:r>
      <w:r>
        <w:rPr>
          <w:rFonts w:ascii="仿宋_GB2312" w:hAnsi="仿宋_GB2312" w:eastAsia="仿宋_GB2312"/>
          <w:b w:val="0"/>
          <w:sz w:val="32"/>
        </w:rPr>
        <w:t>其中：年末结转和结余0.00万元，本年支出4.09万元。</w:t>
      </w:r>
    </w:p>
    <w:p w14:paraId="37AD41D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增加4.09万元，增长100.00%，主要原因是：本年增加老年健康与医养结合服务项目经费、医疗救助-儿童护齿项目、医疗救助-自治区老年听力障碍测听筛查项目，导致经费较上年增加。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年初预算数0.00万元，决算数4.09万元，预决算差异率100.00%，主要原因是：年中追加老年健康与医养结合服务项目、医疗救助-儿童护齿项目、医疗救助-自治区老年听力障碍测听筛查项目，导致预决算存在差异。</w:t>
      </w:r>
    </w:p>
    <w:p w14:paraId="70466D6D">
      <w:pPr>
        <w:spacing w:line="580" w:lineRule="exact"/>
        <w:ind w:firstLine="640"/>
        <w:jc w:val="both"/>
      </w:pPr>
      <w:r>
        <w:rPr>
          <w:rFonts w:ascii="仿宋_GB2312" w:hAnsi="仿宋_GB2312" w:eastAsia="仿宋_GB2312"/>
          <w:b w:val="0"/>
          <w:sz w:val="32"/>
        </w:rPr>
        <w:t>政府性基金预算财政拨款支出4.09万元。</w:t>
      </w:r>
    </w:p>
    <w:p w14:paraId="4588549A">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2.07万元，比上年决算增加2.07万元，增长100.00%,主要原因是：本年增加老年健康与医养结合服务项目经费，导致经费较上年增加。</w:t>
      </w:r>
    </w:p>
    <w:p w14:paraId="72796118">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2.02万元，比上年决算增加2.02万元，增长100.00%,主要原因是：本年增加医疗救助-儿童护齿项目、医疗救助-自治区老年听力障碍测听筛查项目，导致经费较上年增加。</w:t>
      </w:r>
    </w:p>
    <w:p w14:paraId="6AEB45CD">
      <w:pPr>
        <w:spacing w:line="640" w:lineRule="exact"/>
        <w:ind w:firstLine="640"/>
        <w:jc w:val="both"/>
        <w:outlineLvl w:val="2"/>
      </w:pPr>
      <w:r>
        <w:rPr>
          <w:rFonts w:ascii="黑体" w:hAnsi="黑体" w:eastAsia="黑体"/>
          <w:sz w:val="32"/>
        </w:rPr>
        <w:t>八、国有资本经营预算财政拨款收入支出决算情况说明</w:t>
      </w:r>
    </w:p>
    <w:p w14:paraId="61F6AF41">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2F19A1">
      <w:pPr>
        <w:spacing w:line="640" w:lineRule="exact"/>
        <w:ind w:firstLine="640"/>
        <w:jc w:val="both"/>
        <w:outlineLvl w:val="2"/>
      </w:pPr>
      <w:r>
        <w:rPr>
          <w:rFonts w:ascii="黑体" w:hAnsi="黑体" w:eastAsia="黑体"/>
          <w:sz w:val="32"/>
        </w:rPr>
        <w:t>九、财政拨款“三公”经费支出决算情况说明</w:t>
      </w:r>
    </w:p>
    <w:p w14:paraId="3BAC3BA3">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9B6BB22">
      <w:pPr>
        <w:spacing w:line="580" w:lineRule="exact"/>
        <w:ind w:firstLine="640"/>
        <w:jc w:val="both"/>
      </w:pPr>
      <w:r>
        <w:rPr>
          <w:rFonts w:ascii="仿宋_GB2312" w:hAnsi="仿宋_GB2312" w:eastAsia="仿宋_GB2312"/>
          <w:b/>
          <w:sz w:val="32"/>
        </w:rPr>
        <w:t>具体情况如下：</w:t>
      </w:r>
    </w:p>
    <w:p w14:paraId="02C21C2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FC65426">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车辆为</w:t>
      </w:r>
      <w:r>
        <w:rPr>
          <w:rFonts w:hint="eastAsia" w:ascii="仿宋_GB2312" w:hAnsi="仿宋_GB2312" w:eastAsia="仿宋_GB2312"/>
          <w:b w:val="0"/>
          <w:sz w:val="32"/>
          <w:lang w:val="en-US" w:eastAsia="zh-CN"/>
        </w:rPr>
        <w:t>本</w:t>
      </w:r>
      <w:r>
        <w:rPr>
          <w:rFonts w:ascii="仿宋_GB2312" w:hAnsi="仿宋_GB2312" w:eastAsia="仿宋_GB2312"/>
          <w:b w:val="0"/>
          <w:sz w:val="32"/>
        </w:rPr>
        <w:t>单位救护车，未使用财政拨款公务用车运行维护费支付，由事业收入经费保障。</w:t>
      </w:r>
    </w:p>
    <w:p w14:paraId="5696FB3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99C8E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560ACBF">
      <w:pPr>
        <w:spacing w:line="640" w:lineRule="exact"/>
        <w:ind w:firstLine="640"/>
        <w:jc w:val="both"/>
        <w:outlineLvl w:val="2"/>
      </w:pPr>
      <w:r>
        <w:rPr>
          <w:rFonts w:ascii="黑体" w:hAnsi="黑体" w:eastAsia="黑体"/>
          <w:sz w:val="32"/>
        </w:rPr>
        <w:t>十、其他重要事项的情况说明</w:t>
      </w:r>
    </w:p>
    <w:p w14:paraId="65B25852">
      <w:pPr>
        <w:spacing w:line="640" w:lineRule="exact"/>
        <w:ind w:firstLine="640"/>
        <w:jc w:val="both"/>
        <w:outlineLvl w:val="3"/>
      </w:pPr>
      <w:r>
        <w:rPr>
          <w:rFonts w:ascii="楷体_GB2312" w:hAnsi="楷体_GB2312" w:eastAsia="楷体_GB2312"/>
          <w:b/>
          <w:sz w:val="32"/>
        </w:rPr>
        <w:t>（一）机关运行经费及公用经费支出情况</w:t>
      </w:r>
    </w:p>
    <w:p w14:paraId="45E36D49">
      <w:pPr>
        <w:spacing w:line="580" w:lineRule="exact"/>
        <w:ind w:firstLine="640"/>
        <w:jc w:val="both"/>
      </w:pPr>
      <w:r>
        <w:rPr>
          <w:rFonts w:ascii="仿宋_GB2312" w:hAnsi="仿宋_GB2312" w:eastAsia="仿宋_GB2312"/>
          <w:b w:val="0"/>
          <w:sz w:val="32"/>
        </w:rPr>
        <w:t>2024年度麦盖提县央塔克乡中心卫生院（事业单位）公用经费支出0.00万元，比上年增加0.00万元，增长0.00%，主要原因是：2023年与2024年均未安排公用经费支出。</w:t>
      </w:r>
    </w:p>
    <w:p w14:paraId="4B1EE7EE">
      <w:pPr>
        <w:spacing w:line="640" w:lineRule="exact"/>
        <w:ind w:firstLine="640"/>
        <w:jc w:val="both"/>
        <w:outlineLvl w:val="3"/>
      </w:pPr>
      <w:r>
        <w:rPr>
          <w:rFonts w:ascii="楷体_GB2312" w:hAnsi="楷体_GB2312" w:eastAsia="楷体_GB2312"/>
          <w:b/>
          <w:sz w:val="32"/>
        </w:rPr>
        <w:t>（二）政府采购情况</w:t>
      </w:r>
    </w:p>
    <w:p w14:paraId="0FFAD263">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2E1D79FF">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7BD5D804">
      <w:pPr>
        <w:spacing w:line="640" w:lineRule="exact"/>
        <w:ind w:firstLine="640"/>
        <w:jc w:val="both"/>
        <w:outlineLvl w:val="3"/>
      </w:pPr>
      <w:r>
        <w:rPr>
          <w:rFonts w:ascii="楷体_GB2312" w:hAnsi="楷体_GB2312" w:eastAsia="楷体_GB2312"/>
          <w:b/>
          <w:sz w:val="32"/>
        </w:rPr>
        <w:t>（三）国有资产占用情况说明</w:t>
      </w:r>
    </w:p>
    <w:p w14:paraId="017A6CAF">
      <w:pPr>
        <w:spacing w:line="580" w:lineRule="exact"/>
        <w:ind w:firstLine="640"/>
        <w:jc w:val="both"/>
      </w:pPr>
      <w:r>
        <w:rPr>
          <w:rFonts w:ascii="仿宋_GB2312" w:hAnsi="仿宋_GB2312" w:eastAsia="仿宋_GB2312"/>
          <w:b w:val="0"/>
          <w:sz w:val="32"/>
        </w:rPr>
        <w:t>截至2024年12月31日，房屋6,616.81平方米，价值905.53万元。车辆1辆，价值13.30万元，其中：副部（省）级及以上领导用车0辆、主要负责人用车0辆、机要通信用车0辆、应急保障用车0辆、执法执勤用车0辆、特种专业技术用车1辆、离退休干部服务用车0辆、其他用车0辆，其他用车主要是：本单位无其他用车。单价100万元（含）以上设备（不含车辆）1台（套）。</w:t>
      </w:r>
    </w:p>
    <w:p w14:paraId="083B874E">
      <w:pPr>
        <w:spacing w:line="640" w:lineRule="exact"/>
        <w:ind w:firstLine="640"/>
        <w:jc w:val="both"/>
        <w:outlineLvl w:val="2"/>
      </w:pPr>
      <w:r>
        <w:rPr>
          <w:rFonts w:ascii="黑体" w:hAnsi="黑体" w:eastAsia="黑体"/>
          <w:sz w:val="32"/>
        </w:rPr>
        <w:t>十一、预算绩效的情况说明</w:t>
      </w:r>
    </w:p>
    <w:p w14:paraId="0E9BFA7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w:t>
      </w:r>
      <w:r>
        <w:rPr>
          <w:rFonts w:ascii="仿宋_GB2312" w:hAnsi="仿宋_GB2312" w:eastAsia="仿宋_GB2312"/>
          <w:b w:val="0"/>
          <w:sz w:val="32"/>
        </w:rPr>
        <w:t>单位无预算绩效项目自评表。发现的问题及原因：</w:t>
      </w:r>
      <w:r>
        <w:rPr>
          <w:rFonts w:hint="eastAsia" w:ascii="仿宋_GB2312" w:hAnsi="仿宋_GB2312" w:eastAsia="仿宋_GB2312"/>
          <w:b w:val="0"/>
          <w:sz w:val="32"/>
          <w:lang w:eastAsia="zh-CN"/>
        </w:rPr>
        <w:t>本</w:t>
      </w:r>
      <w:r>
        <w:rPr>
          <w:rFonts w:ascii="仿宋_GB2312" w:hAnsi="仿宋_GB2312" w:eastAsia="仿宋_GB2312"/>
          <w:b w:val="0"/>
          <w:sz w:val="32"/>
        </w:rPr>
        <w:t>单位无预算绩效项目自评表。下一步改进措施：</w:t>
      </w:r>
      <w:r>
        <w:rPr>
          <w:rFonts w:hint="eastAsia" w:ascii="仿宋_GB2312" w:hAnsi="仿宋_GB2312" w:eastAsia="仿宋_GB2312"/>
          <w:b w:val="0"/>
          <w:sz w:val="32"/>
          <w:lang w:eastAsia="zh-CN"/>
        </w:rPr>
        <w:t>本</w:t>
      </w:r>
      <w:r>
        <w:rPr>
          <w:rFonts w:ascii="仿宋_GB2312" w:hAnsi="仿宋_GB2312" w:eastAsia="仿宋_GB2312"/>
          <w:b w:val="0"/>
          <w:sz w:val="32"/>
        </w:rPr>
        <w:t>单位无预算绩效项目自评表。</w:t>
      </w:r>
    </w:p>
    <w:p w14:paraId="38ED64CB">
      <w:r>
        <w:br w:type="page"/>
      </w:r>
    </w:p>
    <w:p w14:paraId="15C52E02">
      <w:pPr>
        <w:spacing w:line="640" w:lineRule="exact"/>
        <w:ind w:firstLine="640"/>
        <w:jc w:val="both"/>
        <w:outlineLvl w:val="2"/>
      </w:pPr>
      <w:r>
        <w:rPr>
          <w:rFonts w:ascii="黑体" w:hAnsi="黑体" w:eastAsia="黑体"/>
          <w:sz w:val="32"/>
        </w:rPr>
        <w:t>十二、其他需说明的事项</w:t>
      </w:r>
    </w:p>
    <w:p w14:paraId="4A34A7F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09838E0">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19C19518">
      <w:r>
        <w:br w:type="page"/>
      </w:r>
    </w:p>
    <w:p w14:paraId="3DA94E4C">
      <w:pPr>
        <w:spacing w:line="240" w:lineRule="auto"/>
        <w:jc w:val="center"/>
        <w:outlineLvl w:val="1"/>
      </w:pPr>
      <w:r>
        <w:rPr>
          <w:rFonts w:ascii="黑体" w:hAnsi="黑体" w:eastAsia="黑体"/>
          <w:sz w:val="32"/>
        </w:rPr>
        <w:t>第三部分 专业名词解释</w:t>
      </w:r>
    </w:p>
    <w:p w14:paraId="02AE0B1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29E41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BA953C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8654B4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D96A76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8F4F7D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75DD42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A74B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754F2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A837B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18A90B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374368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8231DE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FA58D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92384AD">
      <w:r>
        <w:br w:type="page"/>
      </w:r>
    </w:p>
    <w:p w14:paraId="598412B3">
      <w:pPr>
        <w:spacing w:line="240" w:lineRule="auto"/>
        <w:jc w:val="center"/>
        <w:outlineLvl w:val="1"/>
      </w:pPr>
      <w:r>
        <w:rPr>
          <w:rFonts w:ascii="黑体" w:hAnsi="黑体" w:eastAsia="黑体"/>
          <w:sz w:val="32"/>
        </w:rPr>
        <w:t>第四部分 部门决算报表（见附表）</w:t>
      </w:r>
    </w:p>
    <w:p w14:paraId="48795437">
      <w:pPr>
        <w:spacing w:line="240" w:lineRule="auto"/>
        <w:ind w:firstLine="640"/>
        <w:jc w:val="both"/>
      </w:pPr>
      <w:r>
        <w:rPr>
          <w:rFonts w:ascii="仿宋_GB2312" w:hAnsi="仿宋_GB2312" w:eastAsia="仿宋_GB2312"/>
          <w:b w:val="0"/>
          <w:sz w:val="32"/>
        </w:rPr>
        <w:t>一、《收入支出决算总表》</w:t>
      </w:r>
    </w:p>
    <w:p w14:paraId="494C07FD">
      <w:pPr>
        <w:spacing w:line="240" w:lineRule="auto"/>
        <w:ind w:firstLine="640"/>
        <w:jc w:val="both"/>
      </w:pPr>
      <w:r>
        <w:rPr>
          <w:rFonts w:ascii="仿宋_GB2312" w:hAnsi="仿宋_GB2312" w:eastAsia="仿宋_GB2312"/>
          <w:b w:val="0"/>
          <w:sz w:val="32"/>
        </w:rPr>
        <w:t>二、《收入决算表》</w:t>
      </w:r>
    </w:p>
    <w:p w14:paraId="08594C4A">
      <w:pPr>
        <w:spacing w:line="240" w:lineRule="auto"/>
        <w:ind w:firstLine="640"/>
        <w:jc w:val="both"/>
      </w:pPr>
      <w:r>
        <w:rPr>
          <w:rFonts w:ascii="仿宋_GB2312" w:hAnsi="仿宋_GB2312" w:eastAsia="仿宋_GB2312"/>
          <w:b w:val="0"/>
          <w:sz w:val="32"/>
        </w:rPr>
        <w:t>三、《支出决算表》</w:t>
      </w:r>
    </w:p>
    <w:p w14:paraId="0F9F8F8E">
      <w:pPr>
        <w:spacing w:line="240" w:lineRule="auto"/>
        <w:ind w:firstLine="640"/>
        <w:jc w:val="both"/>
      </w:pPr>
      <w:r>
        <w:rPr>
          <w:rFonts w:ascii="仿宋_GB2312" w:hAnsi="仿宋_GB2312" w:eastAsia="仿宋_GB2312"/>
          <w:b w:val="0"/>
          <w:sz w:val="32"/>
        </w:rPr>
        <w:t>四、《财政拨款收入支出决算总表》</w:t>
      </w:r>
    </w:p>
    <w:p w14:paraId="1D2E1306">
      <w:pPr>
        <w:spacing w:line="240" w:lineRule="auto"/>
        <w:ind w:firstLine="640"/>
        <w:jc w:val="both"/>
      </w:pPr>
      <w:r>
        <w:rPr>
          <w:rFonts w:ascii="仿宋_GB2312" w:hAnsi="仿宋_GB2312" w:eastAsia="仿宋_GB2312"/>
          <w:b w:val="0"/>
          <w:sz w:val="32"/>
        </w:rPr>
        <w:t>五、《一般公共预算财政拨款支出决算表》</w:t>
      </w:r>
    </w:p>
    <w:p w14:paraId="6184732A">
      <w:pPr>
        <w:spacing w:line="240" w:lineRule="auto"/>
        <w:ind w:firstLine="640"/>
        <w:jc w:val="both"/>
      </w:pPr>
      <w:r>
        <w:rPr>
          <w:rFonts w:ascii="仿宋_GB2312" w:hAnsi="仿宋_GB2312" w:eastAsia="仿宋_GB2312"/>
          <w:b w:val="0"/>
          <w:sz w:val="32"/>
        </w:rPr>
        <w:t>六、《一般公共预算财政拨款基本支出决算表》</w:t>
      </w:r>
    </w:p>
    <w:p w14:paraId="5C8DB7FD">
      <w:pPr>
        <w:spacing w:line="240" w:lineRule="auto"/>
        <w:ind w:firstLine="640"/>
        <w:jc w:val="both"/>
      </w:pPr>
      <w:r>
        <w:rPr>
          <w:rFonts w:ascii="仿宋_GB2312" w:hAnsi="仿宋_GB2312" w:eastAsia="仿宋_GB2312"/>
          <w:b w:val="0"/>
          <w:sz w:val="32"/>
        </w:rPr>
        <w:t>七、《政府性基金预算财政拨款收入支出决算表》</w:t>
      </w:r>
    </w:p>
    <w:p w14:paraId="7790A2CF">
      <w:pPr>
        <w:spacing w:line="240" w:lineRule="auto"/>
        <w:ind w:firstLine="640"/>
        <w:jc w:val="both"/>
      </w:pPr>
      <w:r>
        <w:rPr>
          <w:rFonts w:ascii="仿宋_GB2312" w:hAnsi="仿宋_GB2312" w:eastAsia="仿宋_GB2312"/>
          <w:b w:val="0"/>
          <w:sz w:val="32"/>
        </w:rPr>
        <w:t>八、《国有资本经营预算财政拨款收入支出决算表》</w:t>
      </w:r>
    </w:p>
    <w:p w14:paraId="54E67181">
      <w:pPr>
        <w:spacing w:line="240" w:lineRule="auto"/>
        <w:ind w:firstLine="640"/>
        <w:jc w:val="both"/>
      </w:pPr>
      <w:r>
        <w:rPr>
          <w:rFonts w:ascii="仿宋_GB2312" w:hAnsi="仿宋_GB2312" w:eastAsia="仿宋_GB2312"/>
          <w:b w:val="0"/>
          <w:sz w:val="32"/>
        </w:rPr>
        <w:t>九、《财政拨款“三公”经费支出决算表》</w:t>
      </w:r>
    </w:p>
    <w:p w14:paraId="170EFD29">
      <w:pPr>
        <w:spacing w:line="240" w:lineRule="auto"/>
        <w:ind w:firstLine="640"/>
        <w:jc w:val="both"/>
      </w:pPr>
    </w:p>
    <w:p w14:paraId="541F18F5">
      <w:pPr>
        <w:spacing w:line="240" w:lineRule="auto"/>
        <w:ind w:firstLine="640"/>
        <w:jc w:val="both"/>
      </w:pPr>
    </w:p>
    <w:p w14:paraId="3330E674">
      <w:pPr>
        <w:spacing w:line="240" w:lineRule="auto"/>
        <w:ind w:firstLine="640"/>
        <w:jc w:val="both"/>
      </w:pPr>
    </w:p>
    <w:p w14:paraId="1907124C">
      <w:pPr>
        <w:spacing w:line="240" w:lineRule="auto"/>
        <w:ind w:firstLine="640"/>
        <w:jc w:val="both"/>
      </w:pPr>
    </w:p>
    <w:p w14:paraId="6D0E991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1B3337A-CC90-4CE8-A7FB-05DF3ABD028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94F5E2CD-18FE-4860-827F-7E68BB3923C6}"/>
  </w:font>
  <w:font w:name="仿宋_GB2312">
    <w:panose1 w:val="02010609030101010101"/>
    <w:charset w:val="86"/>
    <w:family w:val="modern"/>
    <w:pitch w:val="default"/>
    <w:sig w:usb0="00000001" w:usb1="080E0000" w:usb2="00000000" w:usb3="00000000" w:csb0="00040000" w:csb1="00000000"/>
    <w:embedRegular r:id="rId3" w:fontKey="{F7CB64BB-B7A2-45A8-9AA4-B6C29A104133}"/>
  </w:font>
  <w:font w:name="楷体_GB2312">
    <w:panose1 w:val="02010609030101010101"/>
    <w:charset w:val="86"/>
    <w:family w:val="auto"/>
    <w:pitch w:val="default"/>
    <w:sig w:usb0="00000001" w:usb1="080E0000" w:usb2="00000000" w:usb3="00000000" w:csb0="00040000" w:csb1="00000000"/>
    <w:embedRegular r:id="rId4" w:fontKey="{50D4B050-7913-4FFE-8468-5B53550678D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CC46A9"/>
    <w:rsid w:val="50DB5F45"/>
    <w:rsid w:val="52F92565"/>
    <w:rsid w:val="543D17CB"/>
    <w:rsid w:val="55DA564E"/>
    <w:rsid w:val="56E07045"/>
    <w:rsid w:val="583059FA"/>
    <w:rsid w:val="587E6212"/>
    <w:rsid w:val="589674A6"/>
    <w:rsid w:val="5AFC6609"/>
    <w:rsid w:val="5F7F76D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6021</Words>
  <Characters>6803</Characters>
  <Lines>0</Lines>
  <Paragraphs>0</Paragraphs>
  <TotalTime>5</TotalTime>
  <ScaleCrop>false</ScaleCrop>
  <LinksUpToDate>false</LinksUpToDate>
  <CharactersWithSpaces>6813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2025-08-29T10:58:47Z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eyJoZGlkIjoiYjc2OWIwYWEwODAyMWYzZDQ3MWM3NTI0ZDMwN2MzZTAiLCJ1c2VySWQiOiIyNTk4NTcxMjUifQ==</vt:lpwstr>
  </property>
</Properties>
</file>