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bookmarkStart w:id="0" w:name="_GoBack"/>
      <w:bookmarkEnd w:id="0"/>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18D30B3C">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lang w:val="en-US" w:eastAsia="zh-CN"/>
        </w:rPr>
      </w:pPr>
      <w:r>
        <w:rPr>
          <w:rFonts w:hint="eastAsia" w:ascii="方正小标宋_GBK" w:hAnsi="宋体" w:eastAsia="方正小标宋_GBK"/>
          <w:sz w:val="44"/>
          <w:szCs w:val="44"/>
          <w:highlight w:val="none"/>
          <w:lang w:val="en-US" w:eastAsia="zh-CN"/>
        </w:rPr>
        <w:t>麦盖提县妇幼保健计划生育服务中心</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1884F39A">
      <w:r>
        <w:br w:type="page"/>
      </w:r>
    </w:p>
    <w:p w14:paraId="752A6931">
      <w:pPr>
        <w:spacing w:line="640" w:lineRule="exact"/>
        <w:jc w:val="center"/>
        <w:outlineLvl w:val="1"/>
      </w:pPr>
      <w:r>
        <w:rPr>
          <w:rFonts w:ascii="黑体" w:hAnsi="黑体" w:eastAsia="黑体"/>
          <w:sz w:val="32"/>
        </w:rPr>
        <w:t>第一部分 单位概况</w:t>
      </w:r>
    </w:p>
    <w:p w14:paraId="4CC7142C">
      <w:pPr>
        <w:spacing w:line="640" w:lineRule="exact"/>
        <w:ind w:firstLine="640"/>
        <w:jc w:val="both"/>
        <w:outlineLvl w:val="2"/>
      </w:pPr>
      <w:r>
        <w:rPr>
          <w:rFonts w:ascii="黑体" w:hAnsi="黑体" w:eastAsia="黑体"/>
          <w:sz w:val="32"/>
        </w:rPr>
        <w:t>一、主要职能</w:t>
      </w:r>
    </w:p>
    <w:p w14:paraId="26D5E5D0">
      <w:pPr>
        <w:spacing w:line="580" w:lineRule="exact"/>
        <w:ind w:firstLine="640"/>
        <w:jc w:val="both"/>
      </w:pPr>
      <w:r>
        <w:rPr>
          <w:rFonts w:hint="eastAsia" w:ascii="仿宋_GB2312" w:hAnsi="仿宋_GB2312" w:eastAsia="仿宋_GB2312"/>
          <w:sz w:val="32"/>
          <w:lang w:eastAsia="zh-CN"/>
        </w:rPr>
        <w:t>1.</w:t>
      </w:r>
      <w:r>
        <w:rPr>
          <w:rFonts w:ascii="仿宋_GB2312" w:hAnsi="仿宋_GB2312" w:eastAsia="仿宋_GB2312"/>
          <w:sz w:val="32"/>
        </w:rPr>
        <w:t>掌握本辖区妇女儿童健康状况及影响因素，制定本辖区妇幼卫生工作的相关政策、技术规范及各项规章制度。</w:t>
      </w:r>
    </w:p>
    <w:p w14:paraId="6AA16DF1">
      <w:pPr>
        <w:spacing w:line="580" w:lineRule="exact"/>
        <w:ind w:firstLine="640"/>
        <w:jc w:val="both"/>
      </w:pPr>
      <w:r>
        <w:rPr>
          <w:rFonts w:hint="eastAsia" w:ascii="仿宋_GB2312" w:hAnsi="仿宋_GB2312" w:eastAsia="仿宋_GB2312"/>
          <w:sz w:val="32"/>
          <w:lang w:eastAsia="zh-CN"/>
        </w:rPr>
        <w:t>2.</w:t>
      </w:r>
      <w:r>
        <w:rPr>
          <w:rFonts w:ascii="仿宋_GB2312" w:hAnsi="仿宋_GB2312" w:eastAsia="仿宋_GB2312"/>
          <w:sz w:val="32"/>
        </w:rPr>
        <w:t>开展《</w:t>
      </w:r>
      <w:r>
        <w:rPr>
          <w:rFonts w:hint="eastAsia" w:ascii="仿宋_GB2312" w:hAnsi="仿宋_GB2312" w:eastAsia="仿宋_GB2312"/>
          <w:sz w:val="32"/>
          <w:lang w:eastAsia="zh-CN"/>
        </w:rPr>
        <w:t>中华人民共和国母婴保健法</w:t>
      </w:r>
      <w:r>
        <w:rPr>
          <w:rFonts w:ascii="仿宋_GB2312" w:hAnsi="仿宋_GB2312" w:eastAsia="仿宋_GB2312"/>
          <w:sz w:val="32"/>
        </w:rPr>
        <w:t>》及其实施办法和母婴保健有关的法律法规、规范、管理办法等的宣传、贯彻和落实。</w:t>
      </w:r>
    </w:p>
    <w:p w14:paraId="6B145BCC">
      <w:pPr>
        <w:spacing w:line="580" w:lineRule="exact"/>
        <w:ind w:firstLine="640"/>
        <w:jc w:val="both"/>
      </w:pPr>
      <w:r>
        <w:rPr>
          <w:rFonts w:hint="eastAsia" w:ascii="仿宋_GB2312" w:hAnsi="仿宋_GB2312" w:eastAsia="仿宋_GB2312"/>
          <w:sz w:val="32"/>
          <w:lang w:eastAsia="zh-CN"/>
        </w:rPr>
        <w:t>3.</w:t>
      </w:r>
      <w:r>
        <w:rPr>
          <w:rFonts w:ascii="仿宋_GB2312" w:hAnsi="仿宋_GB2312" w:eastAsia="仿宋_GB2312"/>
          <w:sz w:val="32"/>
        </w:rPr>
        <w:t>对辖区内母婴保健相关医学证件的领取、发放和使用、管理等进行督导检查。</w:t>
      </w:r>
    </w:p>
    <w:p w14:paraId="2D3C5085">
      <w:pPr>
        <w:spacing w:line="580" w:lineRule="exact"/>
        <w:ind w:firstLine="640"/>
        <w:jc w:val="both"/>
      </w:pPr>
      <w:r>
        <w:rPr>
          <w:rFonts w:hint="eastAsia" w:ascii="仿宋_GB2312" w:hAnsi="仿宋_GB2312" w:eastAsia="仿宋_GB2312"/>
          <w:sz w:val="32"/>
          <w:lang w:eastAsia="zh-CN"/>
        </w:rPr>
        <w:t>4.</w:t>
      </w:r>
      <w:r>
        <w:rPr>
          <w:rFonts w:ascii="仿宋_GB2312" w:hAnsi="仿宋_GB2312" w:eastAsia="仿宋_GB2312"/>
          <w:sz w:val="32"/>
        </w:rPr>
        <w:t>负责本辖区孕产妇死亡、婴儿及5岁以下儿童死亡出生缺陷监测，做好妇幼卫生服务及技术管理等信息的收集、管理、统计、分析、分析、质量控制和汇总上报。</w:t>
      </w:r>
    </w:p>
    <w:p w14:paraId="61A4E785">
      <w:pPr>
        <w:spacing w:line="580" w:lineRule="exact"/>
        <w:ind w:firstLine="640"/>
        <w:jc w:val="both"/>
      </w:pPr>
      <w:r>
        <w:rPr>
          <w:rFonts w:hint="eastAsia" w:ascii="仿宋_GB2312" w:hAnsi="仿宋_GB2312" w:eastAsia="仿宋_GB2312"/>
          <w:sz w:val="32"/>
          <w:lang w:eastAsia="zh-CN"/>
        </w:rPr>
        <w:t>5.</w:t>
      </w:r>
      <w:r>
        <w:rPr>
          <w:rFonts w:ascii="仿宋_GB2312" w:hAnsi="仿宋_GB2312" w:eastAsia="仿宋_GB2312"/>
          <w:sz w:val="32"/>
        </w:rPr>
        <w:t>开展妇女保健服务，包括青春期保健、婚前和孕前保健、孕产期保健、更年期保健、老年期保健、重点加强心理卫生咨询，营养指导，生殖道感染，性传播疾病等妇女常见病防治。</w:t>
      </w:r>
    </w:p>
    <w:p w14:paraId="621DD625">
      <w:pPr>
        <w:spacing w:line="640" w:lineRule="exact"/>
        <w:ind w:firstLine="640"/>
        <w:jc w:val="both"/>
        <w:outlineLvl w:val="2"/>
      </w:pPr>
      <w:r>
        <w:rPr>
          <w:rFonts w:ascii="黑体" w:hAnsi="黑体" w:eastAsia="黑体"/>
          <w:sz w:val="32"/>
        </w:rPr>
        <w:t>二、机构设置及人员情况</w:t>
      </w:r>
    </w:p>
    <w:p w14:paraId="42995667">
      <w:pPr>
        <w:spacing w:line="580" w:lineRule="exact"/>
        <w:ind w:firstLine="640"/>
        <w:jc w:val="both"/>
      </w:pPr>
      <w:r>
        <w:rPr>
          <w:rFonts w:ascii="仿宋_GB2312" w:hAnsi="仿宋_GB2312" w:eastAsia="仿宋_GB2312"/>
          <w:sz w:val="32"/>
        </w:rPr>
        <w:t>麦盖提县妇幼保健</w:t>
      </w:r>
      <w:r>
        <w:rPr>
          <w:rFonts w:hint="eastAsia" w:ascii="仿宋_GB2312" w:hAnsi="仿宋_GB2312" w:eastAsia="仿宋_GB2312"/>
          <w:sz w:val="32"/>
          <w:lang w:eastAsia="zh-CN"/>
        </w:rPr>
        <w:t>计划生育</w:t>
      </w:r>
      <w:r>
        <w:rPr>
          <w:rFonts w:ascii="仿宋_GB2312" w:hAnsi="仿宋_GB2312" w:eastAsia="仿宋_GB2312"/>
          <w:sz w:val="32"/>
        </w:rPr>
        <w:t>服务中心2024年度，实有人数63人，其中：在职人员38人，减少5人；离休人员0人，增加0人；退休人员25人,增加2人。</w:t>
      </w:r>
    </w:p>
    <w:p w14:paraId="5E4F6925">
      <w:pPr>
        <w:spacing w:line="580" w:lineRule="exact"/>
        <w:ind w:firstLine="640"/>
        <w:jc w:val="both"/>
      </w:pPr>
      <w:r>
        <w:rPr>
          <w:rFonts w:ascii="仿宋_GB2312" w:hAnsi="仿宋_GB2312" w:eastAsia="仿宋_GB2312"/>
          <w:sz w:val="32"/>
        </w:rPr>
        <w:t>麦盖提县妇幼保健</w:t>
      </w:r>
      <w:r>
        <w:rPr>
          <w:rFonts w:hint="eastAsia" w:ascii="仿宋_GB2312" w:hAnsi="仿宋_GB2312" w:eastAsia="仿宋_GB2312"/>
          <w:sz w:val="32"/>
          <w:lang w:eastAsia="zh-CN"/>
        </w:rPr>
        <w:t>计划生育</w:t>
      </w:r>
      <w:r>
        <w:rPr>
          <w:rFonts w:ascii="仿宋_GB2312" w:hAnsi="仿宋_GB2312" w:eastAsia="仿宋_GB2312"/>
          <w:sz w:val="32"/>
        </w:rPr>
        <w:t>服务中心无下属预算单位，下设12个科室，分别是：行政办公室、财务科、妇女保健科、儿童保健科、婚前体检办公室、儿科、孕期保健科、妇科门诊、儿童洗浴中心、检验科、超声科、国免优育办公室。</w:t>
      </w:r>
    </w:p>
    <w:p w14:paraId="66B16CDC">
      <w:r>
        <w:br w:type="page"/>
      </w:r>
    </w:p>
    <w:p w14:paraId="18405791">
      <w:pPr>
        <w:spacing w:line="240" w:lineRule="auto"/>
        <w:jc w:val="center"/>
        <w:outlineLvl w:val="1"/>
      </w:pPr>
      <w:r>
        <w:rPr>
          <w:rFonts w:ascii="黑体" w:hAnsi="黑体" w:eastAsia="黑体"/>
          <w:sz w:val="32"/>
        </w:rPr>
        <w:t>第二部分 部门决算情况说明</w:t>
      </w:r>
    </w:p>
    <w:p w14:paraId="6CC7AC38">
      <w:pPr>
        <w:spacing w:line="640" w:lineRule="exact"/>
        <w:ind w:firstLine="640"/>
        <w:jc w:val="both"/>
        <w:outlineLvl w:val="2"/>
      </w:pPr>
      <w:r>
        <w:rPr>
          <w:rFonts w:ascii="黑体" w:hAnsi="黑体" w:eastAsia="黑体"/>
          <w:sz w:val="32"/>
        </w:rPr>
        <w:t>一、收入支出决算总体情况说明</w:t>
      </w:r>
    </w:p>
    <w:p w14:paraId="3C59BB95">
      <w:pPr>
        <w:spacing w:line="580" w:lineRule="exact"/>
        <w:ind w:firstLine="640"/>
        <w:jc w:val="both"/>
      </w:pPr>
      <w:r>
        <w:rPr>
          <w:rFonts w:ascii="仿宋_GB2312" w:hAnsi="仿宋_GB2312" w:eastAsia="仿宋_GB2312"/>
          <w:b/>
          <w:sz w:val="32"/>
        </w:rPr>
        <w:t>2024年度收入总计1,600.11万元，</w:t>
      </w:r>
      <w:r>
        <w:rPr>
          <w:rFonts w:ascii="仿宋_GB2312" w:hAnsi="仿宋_GB2312" w:eastAsia="仿宋_GB2312"/>
          <w:b w:val="0"/>
          <w:sz w:val="32"/>
        </w:rPr>
        <w:t>其中：本年收入合计1,600.11万元，使用非财政拨款结余（含专用结余）0.00万元，年初结转和结余0.00万元。</w:t>
      </w:r>
    </w:p>
    <w:p w14:paraId="74F4D94B">
      <w:pPr>
        <w:spacing w:line="580" w:lineRule="exact"/>
        <w:ind w:firstLine="640"/>
        <w:jc w:val="both"/>
      </w:pPr>
      <w:r>
        <w:rPr>
          <w:rFonts w:ascii="仿宋_GB2312" w:hAnsi="仿宋_GB2312" w:eastAsia="仿宋_GB2312"/>
          <w:b/>
          <w:sz w:val="32"/>
        </w:rPr>
        <w:t>2024年度支出总计1,600.11万元，</w:t>
      </w:r>
      <w:r>
        <w:rPr>
          <w:rFonts w:ascii="仿宋_GB2312" w:hAnsi="仿宋_GB2312" w:eastAsia="仿宋_GB2312"/>
          <w:b w:val="0"/>
          <w:sz w:val="32"/>
        </w:rPr>
        <w:t>其中：本年支出合计1,600.11万元，结余分配0.00万元，年末结转和结余0.00万元。</w:t>
      </w:r>
    </w:p>
    <w:p w14:paraId="2D74AC82">
      <w:pPr>
        <w:spacing w:line="580" w:lineRule="exact"/>
        <w:ind w:firstLine="640"/>
        <w:jc w:val="both"/>
      </w:pPr>
      <w:r>
        <w:rPr>
          <w:rFonts w:ascii="仿宋_GB2312" w:hAnsi="仿宋_GB2312" w:eastAsia="仿宋_GB2312"/>
          <w:b w:val="0"/>
          <w:sz w:val="32"/>
        </w:rPr>
        <w:t>收入支出总体与上年相比，减少588.90万元，下降26.90%，主要原因是：本年减少山东援疆资金安排的能力提升医疗惠民项目支出，导致经费较上年减少。</w:t>
      </w:r>
    </w:p>
    <w:p w14:paraId="7954C13A">
      <w:pPr>
        <w:spacing w:line="640" w:lineRule="exact"/>
        <w:ind w:firstLine="640"/>
        <w:jc w:val="both"/>
        <w:outlineLvl w:val="2"/>
      </w:pPr>
      <w:r>
        <w:rPr>
          <w:rFonts w:ascii="黑体" w:hAnsi="黑体" w:eastAsia="黑体"/>
          <w:sz w:val="32"/>
        </w:rPr>
        <w:t>二、收入决算情况说明</w:t>
      </w:r>
    </w:p>
    <w:p w14:paraId="75F16B8B">
      <w:pPr>
        <w:spacing w:line="580" w:lineRule="exact"/>
        <w:ind w:firstLine="640"/>
        <w:jc w:val="both"/>
      </w:pPr>
      <w:r>
        <w:rPr>
          <w:rFonts w:ascii="仿宋_GB2312" w:hAnsi="仿宋_GB2312" w:eastAsia="仿宋_GB2312"/>
          <w:b/>
          <w:sz w:val="32"/>
        </w:rPr>
        <w:t>本年收入1,600.11万元，</w:t>
      </w:r>
      <w:r>
        <w:rPr>
          <w:rFonts w:ascii="仿宋_GB2312" w:hAnsi="仿宋_GB2312" w:eastAsia="仿宋_GB2312"/>
          <w:b w:val="0"/>
          <w:sz w:val="32"/>
        </w:rPr>
        <w:t>其中：财政拨款收入921.07万元，占57.56%；上级补助收入0.00万元，占0.00%；事业收入427.65万元，占26.73%；经营收入0.00万元，占0.00%；附属单位上缴收入0.00万元，占0.00%；其他收入251.38万元，占15.71%。</w:t>
      </w:r>
    </w:p>
    <w:p w14:paraId="6794F742">
      <w:pPr>
        <w:spacing w:line="640" w:lineRule="exact"/>
        <w:ind w:firstLine="640"/>
        <w:jc w:val="both"/>
        <w:outlineLvl w:val="2"/>
      </w:pPr>
      <w:r>
        <w:rPr>
          <w:rFonts w:ascii="黑体" w:hAnsi="黑体" w:eastAsia="黑体"/>
          <w:sz w:val="32"/>
        </w:rPr>
        <w:t>三、支出决算情况说明</w:t>
      </w:r>
    </w:p>
    <w:p w14:paraId="0296AEBD">
      <w:pPr>
        <w:spacing w:line="580" w:lineRule="exact"/>
        <w:ind w:firstLine="640"/>
        <w:jc w:val="both"/>
      </w:pPr>
      <w:r>
        <w:rPr>
          <w:rFonts w:ascii="仿宋_GB2312" w:hAnsi="仿宋_GB2312" w:eastAsia="仿宋_GB2312"/>
          <w:b/>
          <w:sz w:val="32"/>
        </w:rPr>
        <w:t>本年支出1,600.11万元，</w:t>
      </w:r>
      <w:r>
        <w:rPr>
          <w:rFonts w:ascii="仿宋_GB2312" w:hAnsi="仿宋_GB2312" w:eastAsia="仿宋_GB2312"/>
          <w:b w:val="0"/>
          <w:sz w:val="32"/>
        </w:rPr>
        <w:t>其中：基本支出1,112.10万元，占69.50%；项目支出488.01万元，占30.50%；上缴上级支出0.00万元，占0.00%；经营支出0.00万元，占0.00%；对附属单位补助支出0.00万元，占0.00%。</w:t>
      </w:r>
    </w:p>
    <w:p w14:paraId="49B40A75">
      <w:pPr>
        <w:spacing w:line="640" w:lineRule="exact"/>
        <w:ind w:firstLine="640"/>
        <w:jc w:val="both"/>
        <w:outlineLvl w:val="2"/>
      </w:pPr>
      <w:r>
        <w:rPr>
          <w:rFonts w:ascii="黑体" w:hAnsi="黑体" w:eastAsia="黑体"/>
          <w:sz w:val="32"/>
        </w:rPr>
        <w:t>四、财政拨款收入支出决算总体情况说明</w:t>
      </w:r>
    </w:p>
    <w:p w14:paraId="735E9B24">
      <w:pPr>
        <w:spacing w:line="580" w:lineRule="exact"/>
        <w:ind w:firstLine="640"/>
        <w:jc w:val="both"/>
      </w:pPr>
      <w:r>
        <w:rPr>
          <w:rFonts w:ascii="仿宋_GB2312" w:hAnsi="仿宋_GB2312" w:eastAsia="仿宋_GB2312"/>
          <w:b/>
          <w:sz w:val="32"/>
        </w:rPr>
        <w:t>2024年度财政拨款收入总计921.07万元，</w:t>
      </w:r>
      <w:r>
        <w:rPr>
          <w:rFonts w:ascii="仿宋_GB2312" w:hAnsi="仿宋_GB2312" w:eastAsia="仿宋_GB2312"/>
          <w:b w:val="0"/>
          <w:sz w:val="32"/>
        </w:rPr>
        <w:t>其中：年初财政拨款结转和结余0.00万元，本年财政拨款收入921.07万元。</w:t>
      </w:r>
      <w:r>
        <w:rPr>
          <w:rFonts w:ascii="仿宋_GB2312" w:hAnsi="仿宋_GB2312" w:eastAsia="仿宋_GB2312"/>
          <w:b/>
          <w:sz w:val="32"/>
        </w:rPr>
        <w:t>财政拨款支出总计921.07万元，</w:t>
      </w:r>
      <w:r>
        <w:rPr>
          <w:rFonts w:ascii="仿宋_GB2312" w:hAnsi="仿宋_GB2312" w:eastAsia="仿宋_GB2312"/>
          <w:b w:val="0"/>
          <w:sz w:val="32"/>
        </w:rPr>
        <w:t>其中：年末财政拨款结转和结余0.00万元，本年财政拨款支出921.07万元。</w:t>
      </w:r>
    </w:p>
    <w:p w14:paraId="43B9CC5B">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减少6.57万元，下降0.71%，主要原因是：本年减少中央专项彩票公益金支持城乡医疗救助项目。</w:t>
      </w:r>
      <w:r>
        <w:rPr>
          <w:rFonts w:ascii="仿宋_GB2312" w:hAnsi="仿宋_GB2312" w:eastAsia="仿宋_GB2312"/>
          <w:b/>
          <w:sz w:val="32"/>
        </w:rPr>
        <w:t>与年初预算相比，</w:t>
      </w:r>
      <w:r>
        <w:rPr>
          <w:rFonts w:ascii="仿宋_GB2312" w:hAnsi="仿宋_GB2312" w:eastAsia="仿宋_GB2312"/>
          <w:b w:val="0"/>
          <w:sz w:val="32"/>
        </w:rPr>
        <w:t>年初预算数791.62万元，决算数921.07万元，预决算差异率16.35%，主要原因是：年中追加基本公共卫生项目，重大公共卫生项目及</w:t>
      </w:r>
      <w:r>
        <w:rPr>
          <w:rFonts w:hint="eastAsia" w:ascii="仿宋_GB2312" w:hAnsi="仿宋_GB2312" w:eastAsia="仿宋_GB2312"/>
          <w:b w:val="0"/>
          <w:sz w:val="32"/>
          <w:lang w:eastAsia="zh-CN"/>
        </w:rPr>
        <w:t>JHSY</w:t>
      </w:r>
      <w:r>
        <w:rPr>
          <w:rFonts w:ascii="仿宋_GB2312" w:hAnsi="仿宋_GB2312" w:eastAsia="仿宋_GB2312"/>
          <w:b w:val="0"/>
          <w:sz w:val="32"/>
        </w:rPr>
        <w:t>服务项目，导致预决算存在差异。</w:t>
      </w:r>
    </w:p>
    <w:p w14:paraId="4DFDCCC0">
      <w:pPr>
        <w:spacing w:line="640" w:lineRule="exact"/>
        <w:ind w:firstLine="640"/>
        <w:jc w:val="both"/>
        <w:outlineLvl w:val="2"/>
      </w:pPr>
      <w:r>
        <w:rPr>
          <w:rFonts w:ascii="黑体" w:hAnsi="黑体" w:eastAsia="黑体"/>
          <w:sz w:val="32"/>
        </w:rPr>
        <w:t>五、一般公共预算财政拨款支出决算情况说明</w:t>
      </w:r>
    </w:p>
    <w:p w14:paraId="5067BADE">
      <w:pPr>
        <w:spacing w:line="640" w:lineRule="exact"/>
        <w:ind w:firstLine="640"/>
        <w:jc w:val="both"/>
        <w:outlineLvl w:val="3"/>
      </w:pPr>
      <w:r>
        <w:rPr>
          <w:rFonts w:ascii="楷体_GB2312" w:hAnsi="楷体_GB2312" w:eastAsia="楷体_GB2312"/>
          <w:b/>
          <w:sz w:val="32"/>
        </w:rPr>
        <w:t>（一）一般公共预算财政拨款支出决算总体情况</w:t>
      </w:r>
    </w:p>
    <w:p w14:paraId="4DD3ADF0">
      <w:pPr>
        <w:spacing w:line="580" w:lineRule="exact"/>
        <w:ind w:firstLine="640"/>
        <w:jc w:val="both"/>
      </w:pPr>
      <w:r>
        <w:rPr>
          <w:rFonts w:ascii="仿宋_GB2312" w:hAnsi="仿宋_GB2312" w:eastAsia="仿宋_GB2312"/>
          <w:b/>
          <w:sz w:val="32"/>
        </w:rPr>
        <w:t>2024年度一般公共预算财政拨款支出897.01万元，</w:t>
      </w:r>
      <w:r>
        <w:rPr>
          <w:rFonts w:ascii="仿宋_GB2312" w:hAnsi="仿宋_GB2312" w:eastAsia="仿宋_GB2312"/>
          <w:b w:val="0"/>
          <w:sz w:val="32"/>
        </w:rPr>
        <w:t>占本年支出合计的56.06%。</w:t>
      </w:r>
      <w:r>
        <w:rPr>
          <w:rFonts w:ascii="仿宋_GB2312" w:hAnsi="仿宋_GB2312" w:eastAsia="仿宋_GB2312"/>
          <w:b/>
          <w:sz w:val="32"/>
        </w:rPr>
        <w:t>与上年相比，</w:t>
      </w:r>
      <w:r>
        <w:rPr>
          <w:rFonts w:ascii="仿宋_GB2312" w:hAnsi="仿宋_GB2312" w:eastAsia="仿宋_GB2312"/>
          <w:b w:val="0"/>
          <w:sz w:val="32"/>
        </w:rPr>
        <w:t>增加10.89万元，增长1.23%，主要原因是：本年增加JHSY免费服务项目。</w:t>
      </w:r>
      <w:r>
        <w:rPr>
          <w:rFonts w:ascii="仿宋_GB2312" w:hAnsi="仿宋_GB2312" w:eastAsia="仿宋_GB2312"/>
          <w:b/>
          <w:sz w:val="32"/>
        </w:rPr>
        <w:t>与年初预算相比,</w:t>
      </w:r>
      <w:r>
        <w:rPr>
          <w:rFonts w:ascii="仿宋_GB2312" w:hAnsi="仿宋_GB2312" w:eastAsia="仿宋_GB2312"/>
          <w:b w:val="0"/>
          <w:sz w:val="32"/>
        </w:rPr>
        <w:t>年初预算数768.64万元，决算数897.01万元，预决算差异率16.70%，主要原因是：年中追加基本公共卫生项目，重大公共卫生项目及</w:t>
      </w:r>
      <w:r>
        <w:rPr>
          <w:rFonts w:hint="eastAsia" w:ascii="仿宋_GB2312" w:hAnsi="仿宋_GB2312" w:eastAsia="仿宋_GB2312"/>
          <w:b w:val="0"/>
          <w:sz w:val="32"/>
          <w:lang w:eastAsia="zh-CN"/>
        </w:rPr>
        <w:t>JHSY</w:t>
      </w:r>
      <w:r>
        <w:rPr>
          <w:rFonts w:ascii="仿宋_GB2312" w:hAnsi="仿宋_GB2312" w:eastAsia="仿宋_GB2312"/>
          <w:b w:val="0"/>
          <w:sz w:val="32"/>
        </w:rPr>
        <w:t>服务项目，导致预决算存在差异。</w:t>
      </w:r>
    </w:p>
    <w:p w14:paraId="0DF386BC">
      <w:pPr>
        <w:spacing w:line="640" w:lineRule="exact"/>
        <w:ind w:firstLine="640"/>
        <w:jc w:val="both"/>
        <w:outlineLvl w:val="3"/>
      </w:pPr>
      <w:r>
        <w:rPr>
          <w:rFonts w:ascii="楷体_GB2312" w:hAnsi="楷体_GB2312" w:eastAsia="楷体_GB2312"/>
          <w:b/>
          <w:sz w:val="32"/>
        </w:rPr>
        <w:t>（二）一般公共预算财政拨款支出决算结构情况</w:t>
      </w:r>
    </w:p>
    <w:p w14:paraId="3C8396B3">
      <w:pPr>
        <w:spacing w:line="580" w:lineRule="exact"/>
        <w:ind w:firstLine="640"/>
        <w:jc w:val="both"/>
      </w:pPr>
      <w:r>
        <w:rPr>
          <w:rFonts w:ascii="仿宋_GB2312" w:hAnsi="仿宋_GB2312" w:eastAsia="仿宋_GB2312"/>
          <w:b w:val="0"/>
          <w:sz w:val="32"/>
        </w:rPr>
        <w:t>1.社会保障和就业支出(类)80.61万元,占8.99%。</w:t>
      </w:r>
    </w:p>
    <w:p w14:paraId="33C8D7E6">
      <w:pPr>
        <w:spacing w:line="580" w:lineRule="exact"/>
        <w:ind w:firstLine="640"/>
        <w:jc w:val="both"/>
      </w:pPr>
      <w:r>
        <w:rPr>
          <w:rFonts w:ascii="仿宋_GB2312" w:hAnsi="仿宋_GB2312" w:eastAsia="仿宋_GB2312"/>
          <w:b w:val="0"/>
          <w:sz w:val="32"/>
        </w:rPr>
        <w:t>2.卫生健康支出(类)815.64万元,占90.93%。</w:t>
      </w:r>
    </w:p>
    <w:p w14:paraId="46BF49BC">
      <w:pPr>
        <w:spacing w:line="580" w:lineRule="exact"/>
        <w:ind w:firstLine="640"/>
        <w:jc w:val="both"/>
      </w:pPr>
      <w:r>
        <w:rPr>
          <w:rFonts w:ascii="仿宋_GB2312" w:hAnsi="仿宋_GB2312" w:eastAsia="仿宋_GB2312"/>
          <w:b w:val="0"/>
          <w:sz w:val="32"/>
        </w:rPr>
        <w:t>3.其他支出(类)0.75万元,占0.08%。</w:t>
      </w:r>
    </w:p>
    <w:p w14:paraId="1F5A6BA4">
      <w:pPr>
        <w:spacing w:line="640" w:lineRule="exact"/>
        <w:ind w:firstLine="640"/>
        <w:jc w:val="both"/>
        <w:outlineLvl w:val="3"/>
      </w:pPr>
      <w:r>
        <w:rPr>
          <w:rFonts w:ascii="楷体_GB2312" w:hAnsi="楷体_GB2312" w:eastAsia="楷体_GB2312"/>
          <w:b/>
          <w:sz w:val="32"/>
        </w:rPr>
        <w:t>（三）一般公共预算财政拨款支出决算具体情况</w:t>
      </w:r>
    </w:p>
    <w:p w14:paraId="1537C12E">
      <w:pPr>
        <w:spacing w:line="580" w:lineRule="exact"/>
        <w:ind w:firstLine="640"/>
        <w:jc w:val="both"/>
      </w:pPr>
      <w:r>
        <w:rPr>
          <w:rFonts w:ascii="仿宋_GB2312" w:hAnsi="仿宋_GB2312" w:eastAsia="仿宋_GB2312"/>
          <w:b w:val="0"/>
          <w:sz w:val="32"/>
        </w:rPr>
        <w:t>1.一般公共服务支出(类)组织事务(款)其他组织事务支出(项):支出决算数为0.00万元，比上年决算减少0.52万元，下降100.00%,主要原因是：本年功能科目调整，援疆干部津贴补贴上年在其他组织事务支出科目列支，本年在其他支出科目列支，导致经费较上年减少。</w:t>
      </w:r>
    </w:p>
    <w:p w14:paraId="05F8C477">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63.90万元，比上年决算减少7.52万元，下降10.53%,主要原因是：本年在职人员减少，单位基本养老保险缴费较上年减少。</w:t>
      </w:r>
    </w:p>
    <w:p w14:paraId="0EBF037F">
      <w:pPr>
        <w:spacing w:line="580" w:lineRule="exact"/>
        <w:ind w:firstLine="640"/>
        <w:jc w:val="both"/>
      </w:pPr>
      <w:r>
        <w:rPr>
          <w:rFonts w:ascii="仿宋_GB2312" w:hAnsi="仿宋_GB2312" w:eastAsia="仿宋_GB2312"/>
          <w:b w:val="0"/>
          <w:sz w:val="32"/>
        </w:rPr>
        <w:t>3.社会保障和就业支出(类)行政事业单位养老支出(款)机关事业单位职业年金缴费支出(项):支出决算数为16.71万元，比上年决算增加9.48万元，增长131.12%,主要原因是：本年度新增退休人员，职业年金缴费支出增加。</w:t>
      </w:r>
    </w:p>
    <w:p w14:paraId="65306563">
      <w:pPr>
        <w:spacing w:line="580" w:lineRule="exact"/>
        <w:ind w:firstLine="640"/>
        <w:jc w:val="both"/>
      </w:pPr>
      <w:r>
        <w:rPr>
          <w:rFonts w:ascii="仿宋_GB2312" w:hAnsi="仿宋_GB2312" w:eastAsia="仿宋_GB2312"/>
          <w:b w:val="0"/>
          <w:sz w:val="32"/>
        </w:rPr>
        <w:t>4.卫生健康支出(类)卫生健康管理事务(款)其他卫生健康管理事务支出(项):支出决算数为56.91万元，比上年决算减少86.18万元，下降60.23%,主要原因是：本年减少医疗卫生机构能力提升建设项目，导致经费较上年减少。</w:t>
      </w:r>
    </w:p>
    <w:p w14:paraId="3AB7EAF0">
      <w:pPr>
        <w:spacing w:line="580" w:lineRule="exact"/>
        <w:ind w:firstLine="640"/>
        <w:jc w:val="both"/>
      </w:pPr>
      <w:r>
        <w:rPr>
          <w:rFonts w:ascii="仿宋_GB2312" w:hAnsi="仿宋_GB2312" w:eastAsia="仿宋_GB2312"/>
          <w:b w:val="0"/>
          <w:sz w:val="32"/>
        </w:rPr>
        <w:t>5.卫生健康支出(类)公共卫生(款)妇幼保健机构(项):支出决算数为603.83万元，比上年决算减少6.78万元，下降1.11%,主要原因是：本年在职人员减少，人员工资等相关人员经费减少。</w:t>
      </w:r>
    </w:p>
    <w:p w14:paraId="4280C8F1">
      <w:pPr>
        <w:spacing w:line="580" w:lineRule="exact"/>
        <w:ind w:firstLine="640"/>
        <w:jc w:val="both"/>
      </w:pPr>
      <w:r>
        <w:rPr>
          <w:rFonts w:ascii="仿宋_GB2312" w:hAnsi="仿宋_GB2312" w:eastAsia="仿宋_GB2312"/>
          <w:b w:val="0"/>
          <w:sz w:val="32"/>
        </w:rPr>
        <w:t>6.卫生健康支出(类)公共卫生(款)基本公共卫生服务(项):支出决算数为88.80万元，比上年决算增加54.60万元，增长159.65%,主要原因是：本年增加两癌，新筛听筛，增补叶酸，营养包，国免孕育项目。</w:t>
      </w:r>
    </w:p>
    <w:p w14:paraId="2615E51C">
      <w:pPr>
        <w:spacing w:line="580" w:lineRule="exact"/>
        <w:ind w:firstLine="640"/>
        <w:jc w:val="both"/>
      </w:pPr>
      <w:r>
        <w:rPr>
          <w:rFonts w:ascii="仿宋_GB2312" w:hAnsi="仿宋_GB2312" w:eastAsia="仿宋_GB2312"/>
          <w:b w:val="0"/>
          <w:sz w:val="32"/>
        </w:rPr>
        <w:t>7.卫生健康支出(类)公共卫生(款)重大公共卫生服务(项):支出决算数为11.10万元，比上年决算增加2.59万元，增长30.43%,主要原因是：本年增加三病母婴阻断项目。</w:t>
      </w:r>
    </w:p>
    <w:p w14:paraId="51C28684">
      <w:pPr>
        <w:spacing w:line="580" w:lineRule="exact"/>
        <w:ind w:firstLine="640"/>
        <w:jc w:val="both"/>
      </w:pPr>
      <w:r>
        <w:rPr>
          <w:rFonts w:ascii="仿宋_GB2312" w:hAnsi="仿宋_GB2312" w:eastAsia="仿宋_GB2312"/>
          <w:b w:val="0"/>
          <w:sz w:val="32"/>
        </w:rPr>
        <w:t>8.卫生健康支出(类)</w:t>
      </w:r>
      <w:r>
        <w:rPr>
          <w:rFonts w:hint="eastAsia" w:ascii="仿宋_GB2312" w:hAnsi="仿宋_GB2312" w:eastAsia="仿宋_GB2312"/>
          <w:b w:val="0"/>
          <w:sz w:val="32"/>
          <w:lang w:eastAsia="zh-CN"/>
        </w:rPr>
        <w:t>计划生育</w:t>
      </w:r>
      <w:r>
        <w:rPr>
          <w:rFonts w:ascii="仿宋_GB2312" w:hAnsi="仿宋_GB2312" w:eastAsia="仿宋_GB2312"/>
          <w:b w:val="0"/>
          <w:sz w:val="32"/>
        </w:rPr>
        <w:t>事务(款)</w:t>
      </w:r>
      <w:r>
        <w:rPr>
          <w:rFonts w:hint="eastAsia" w:ascii="仿宋_GB2312" w:hAnsi="仿宋_GB2312" w:eastAsia="仿宋_GB2312"/>
          <w:b w:val="0"/>
          <w:sz w:val="32"/>
          <w:lang w:eastAsia="zh-CN"/>
        </w:rPr>
        <w:t>计划生育</w:t>
      </w:r>
      <w:r>
        <w:rPr>
          <w:rFonts w:ascii="仿宋_GB2312" w:hAnsi="仿宋_GB2312" w:eastAsia="仿宋_GB2312"/>
          <w:b w:val="0"/>
          <w:sz w:val="32"/>
        </w:rPr>
        <w:t>服务(项):支出决算数为55.00万元，比上年决算增加44.46万元，增长421.82%,主要原因是：本年增加JHSY免费服务项目。</w:t>
      </w:r>
    </w:p>
    <w:p w14:paraId="3BA0F970">
      <w:pPr>
        <w:spacing w:line="580" w:lineRule="exact"/>
        <w:ind w:firstLine="640"/>
        <w:jc w:val="both"/>
      </w:pPr>
      <w:r>
        <w:rPr>
          <w:rFonts w:ascii="仿宋_GB2312" w:hAnsi="仿宋_GB2312" w:eastAsia="仿宋_GB2312"/>
          <w:b w:val="0"/>
          <w:sz w:val="32"/>
        </w:rPr>
        <w:t>9.其他支出(类)其他支出(款)其他支出(项):支出决算数为0.75万元，比上年决算增加0.75万元，增长100.00%,主要原因是：本年功能科目调整，援疆干部津贴补贴上年在其他组织事务支出科目列支，本年在其他支出科目列支，导致经费较上年增加。</w:t>
      </w:r>
    </w:p>
    <w:p w14:paraId="2054A9DD">
      <w:pPr>
        <w:spacing w:line="640" w:lineRule="exact"/>
        <w:ind w:firstLine="640"/>
        <w:jc w:val="both"/>
        <w:outlineLvl w:val="2"/>
      </w:pPr>
      <w:r>
        <w:rPr>
          <w:rFonts w:ascii="黑体" w:hAnsi="黑体" w:eastAsia="黑体"/>
          <w:sz w:val="32"/>
        </w:rPr>
        <w:t>六、一般公共预算财政拨款基本支出决算情况说明</w:t>
      </w:r>
    </w:p>
    <w:p w14:paraId="2FDC9906">
      <w:pPr>
        <w:spacing w:line="580" w:lineRule="exact"/>
        <w:ind w:firstLine="640"/>
        <w:jc w:val="both"/>
      </w:pPr>
      <w:r>
        <w:rPr>
          <w:rFonts w:ascii="仿宋_GB2312" w:hAnsi="仿宋_GB2312" w:eastAsia="仿宋_GB2312"/>
          <w:b w:val="0"/>
          <w:sz w:val="32"/>
        </w:rPr>
        <w:t>2024年度一般公共预算财政拨款基本支出684.45万元，其中：</w:t>
      </w:r>
      <w:r>
        <w:rPr>
          <w:rFonts w:ascii="仿宋_GB2312" w:hAnsi="仿宋_GB2312" w:eastAsia="仿宋_GB2312"/>
          <w:b/>
          <w:sz w:val="32"/>
        </w:rPr>
        <w:t>人员经费684.45万元，</w:t>
      </w:r>
      <w:r>
        <w:rPr>
          <w:rFonts w:ascii="仿宋_GB2312" w:hAnsi="仿宋_GB2312" w:eastAsia="仿宋_GB2312"/>
          <w:b w:val="0"/>
          <w:sz w:val="32"/>
        </w:rPr>
        <w:t>包括：基本工资、津贴补贴、奖金、绩效工资、机关事业单位基本养老保险缴费、职业年金缴费、职工基本医疗保险缴费、其他社会保障缴费、住房公积金、其他工资福利支出、退休费、抚恤金。</w:t>
      </w:r>
    </w:p>
    <w:p w14:paraId="706DDA59">
      <w:pPr>
        <w:spacing w:line="580" w:lineRule="exact"/>
        <w:ind w:firstLine="640"/>
        <w:jc w:val="both"/>
      </w:pPr>
      <w:r>
        <w:rPr>
          <w:rFonts w:ascii="仿宋_GB2312" w:hAnsi="仿宋_GB2312" w:eastAsia="仿宋_GB2312"/>
          <w:b/>
          <w:sz w:val="32"/>
        </w:rPr>
        <w:t>公用经费0.00万元，</w:t>
      </w:r>
      <w:r>
        <w:rPr>
          <w:rFonts w:ascii="仿宋_GB2312" w:hAnsi="仿宋_GB2312" w:eastAsia="仿宋_GB2312"/>
          <w:b w:val="0"/>
          <w:sz w:val="32"/>
        </w:rPr>
        <w:t>包括：无公用经费。</w:t>
      </w:r>
    </w:p>
    <w:p w14:paraId="68C69E0A">
      <w:pPr>
        <w:spacing w:line="640" w:lineRule="exact"/>
        <w:ind w:firstLine="640"/>
        <w:jc w:val="both"/>
        <w:outlineLvl w:val="2"/>
      </w:pPr>
      <w:r>
        <w:rPr>
          <w:rFonts w:ascii="黑体" w:hAnsi="黑体" w:eastAsia="黑体"/>
          <w:sz w:val="32"/>
        </w:rPr>
        <w:t>七、政府性基金预算财政拨款收入支出决算情况说明</w:t>
      </w:r>
    </w:p>
    <w:p w14:paraId="5CCF3EB3">
      <w:pPr>
        <w:spacing w:line="580" w:lineRule="exact"/>
        <w:ind w:firstLine="640"/>
        <w:jc w:val="both"/>
      </w:pPr>
      <w:r>
        <w:rPr>
          <w:rFonts w:ascii="仿宋_GB2312" w:hAnsi="仿宋_GB2312" w:eastAsia="仿宋_GB2312"/>
          <w:b/>
          <w:sz w:val="32"/>
        </w:rPr>
        <w:t>2024年度政府性基金预算财政拨款收入总计24.06万元，</w:t>
      </w:r>
      <w:r>
        <w:rPr>
          <w:rFonts w:ascii="仿宋_GB2312" w:hAnsi="仿宋_GB2312" w:eastAsia="仿宋_GB2312"/>
          <w:b w:val="0"/>
          <w:sz w:val="32"/>
        </w:rPr>
        <w:t>其中：年初结转和结余0.00万元，本年收入24.06万元。</w:t>
      </w:r>
      <w:r>
        <w:rPr>
          <w:rFonts w:ascii="仿宋_GB2312" w:hAnsi="仿宋_GB2312" w:eastAsia="仿宋_GB2312"/>
          <w:b/>
          <w:sz w:val="32"/>
        </w:rPr>
        <w:t>政府性基金预算财政拨款支出总计24.06万元，</w:t>
      </w:r>
      <w:r>
        <w:rPr>
          <w:rFonts w:ascii="仿宋_GB2312" w:hAnsi="仿宋_GB2312" w:eastAsia="仿宋_GB2312"/>
          <w:b w:val="0"/>
          <w:sz w:val="32"/>
        </w:rPr>
        <w:t>其中：年末结转和结余0.00万元，本年支出24.06万元。</w:t>
      </w:r>
    </w:p>
    <w:p w14:paraId="73B9F711">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减少17.46万元，下降42.05%，主要原因是：本年减少中央专项彩票公益金支持城乡医疗救助项目。</w:t>
      </w:r>
      <w:r>
        <w:rPr>
          <w:rFonts w:ascii="仿宋_GB2312" w:hAnsi="仿宋_GB2312" w:eastAsia="仿宋_GB2312"/>
          <w:b/>
          <w:sz w:val="32"/>
        </w:rPr>
        <w:t>与年初预算相比，</w:t>
      </w:r>
      <w:r>
        <w:rPr>
          <w:rFonts w:ascii="仿宋_GB2312" w:hAnsi="仿宋_GB2312" w:eastAsia="仿宋_GB2312"/>
          <w:b w:val="0"/>
          <w:sz w:val="32"/>
        </w:rPr>
        <w:t>年初预算数22.98万元，决算数24.06万元，预决算差异率4.70%，主要原因是：年中追加南疆农村适龄妇女宫颈癌和乳腺癌筛查项目资金，导致预决算存在差异。</w:t>
      </w:r>
    </w:p>
    <w:p w14:paraId="7FB3C1D0">
      <w:pPr>
        <w:spacing w:line="580" w:lineRule="exact"/>
        <w:ind w:firstLine="640"/>
        <w:jc w:val="both"/>
      </w:pPr>
      <w:r>
        <w:rPr>
          <w:rFonts w:ascii="仿宋_GB2312" w:hAnsi="仿宋_GB2312" w:eastAsia="仿宋_GB2312"/>
          <w:b w:val="0"/>
          <w:sz w:val="32"/>
        </w:rPr>
        <w:t>政府性基金预算财政拨款支出24.06万元。</w:t>
      </w:r>
    </w:p>
    <w:p w14:paraId="0DE4A0AD">
      <w:pPr>
        <w:spacing w:line="580" w:lineRule="exact"/>
        <w:ind w:firstLine="640"/>
        <w:jc w:val="both"/>
      </w:pPr>
      <w:r>
        <w:rPr>
          <w:rFonts w:ascii="仿宋_GB2312" w:hAnsi="仿宋_GB2312" w:eastAsia="仿宋_GB2312"/>
          <w:b w:val="0"/>
          <w:sz w:val="32"/>
        </w:rPr>
        <w:t>1.其他支出(类)彩票公益金安排的支出(款)用于城乡医疗救助的彩票公益金支出(项):支出决算数为24.06万元，比上年决算减少17.46万元，下降42.05%,主要原因是：本年减少中央专项彩票公益金支持城乡医疗救助项目。</w:t>
      </w:r>
    </w:p>
    <w:p w14:paraId="4A90AD1C">
      <w:pPr>
        <w:spacing w:line="640" w:lineRule="exact"/>
        <w:ind w:firstLine="640"/>
        <w:jc w:val="both"/>
        <w:outlineLvl w:val="2"/>
      </w:pPr>
      <w:r>
        <w:rPr>
          <w:rFonts w:ascii="黑体" w:hAnsi="黑体" w:eastAsia="黑体"/>
          <w:sz w:val="32"/>
        </w:rPr>
        <w:t>八、国有资本经营预算财政拨款收入支出决算情况说明</w:t>
      </w:r>
    </w:p>
    <w:p w14:paraId="690ED37A">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669B4B09">
      <w:pPr>
        <w:spacing w:line="640" w:lineRule="exact"/>
        <w:ind w:firstLine="640"/>
        <w:jc w:val="both"/>
        <w:outlineLvl w:val="2"/>
      </w:pPr>
      <w:r>
        <w:rPr>
          <w:rFonts w:ascii="黑体" w:hAnsi="黑体" w:eastAsia="黑体"/>
          <w:sz w:val="32"/>
        </w:rPr>
        <w:t>九、财政拨款“三公”经费支出决算情况说明</w:t>
      </w:r>
    </w:p>
    <w:p w14:paraId="2327E2F2">
      <w:pPr>
        <w:spacing w:line="580" w:lineRule="exact"/>
        <w:ind w:firstLine="640"/>
        <w:jc w:val="both"/>
      </w:pPr>
      <w:r>
        <w:rPr>
          <w:rFonts w:ascii="仿宋_GB2312" w:hAnsi="仿宋_GB2312" w:eastAsia="仿宋_GB2312"/>
          <w:b/>
          <w:sz w:val="32"/>
        </w:rPr>
        <w:t>2024年度财政拨款“三公”经费支出1.39万元，</w:t>
      </w:r>
      <w:r>
        <w:rPr>
          <w:rFonts w:ascii="仿宋_GB2312" w:hAnsi="仿宋_GB2312" w:eastAsia="仿宋_GB2312"/>
          <w:b w:val="0"/>
          <w:sz w:val="32"/>
        </w:rPr>
        <w:t>比上年增加0.46万元，增长49.46%，主要原因是：本年因业务需求，用车次数增加，燃油费增加，导致公务用车运行维护费较上年增加。本年度接待人次较上年增加，导致公务接待费较上年增加。其中：因公出国（境）费支出0.00万元，占0.00%，比上年增加0.00万元，增长0.00%，主要原因是：2023年与2024年均未安排因公出国（境）费支出。公务用车购置及运行维护费支出1.25万元，占89.93%，比上年增加0.45万元，增长56.25%，主要原因是：本年因业务需求，用车次数增加，燃油费增加，导致公务用车运行维护费较上年增加。公务接待费支出0.14万元，占10.07%，比上年增加0.01万元，增长7.69%，主要原因是：本年度接待人次较上年增加，导致公务接待费较上年增加。</w:t>
      </w:r>
    </w:p>
    <w:p w14:paraId="4855A8CF">
      <w:pPr>
        <w:spacing w:line="580" w:lineRule="exact"/>
        <w:ind w:firstLine="640"/>
        <w:jc w:val="both"/>
      </w:pPr>
      <w:r>
        <w:rPr>
          <w:rFonts w:ascii="仿宋_GB2312" w:hAnsi="仿宋_GB2312" w:eastAsia="仿宋_GB2312"/>
          <w:b/>
          <w:sz w:val="32"/>
        </w:rPr>
        <w:t>具体情况如下：</w:t>
      </w:r>
    </w:p>
    <w:p w14:paraId="61A62171">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6D7AC06D">
      <w:pPr>
        <w:spacing w:line="580" w:lineRule="exact"/>
        <w:ind w:firstLine="640"/>
        <w:jc w:val="both"/>
      </w:pPr>
      <w:r>
        <w:rPr>
          <w:rFonts w:ascii="仿宋_GB2312" w:hAnsi="仿宋_GB2312" w:eastAsia="仿宋_GB2312"/>
          <w:b w:val="0"/>
          <w:sz w:val="32"/>
        </w:rPr>
        <w:t>公务用车购置及运行维护费1.25万元，其中：公务用车购置费0.00万元，公务用车运行维护费1.25万元。公务用车运行维护费开支内容包括车辆加油费、维修费、保险费。公务用车购置数0辆，公务用车保有量3辆。国有资产占用情况中固定资产车辆3辆，与公务用车保有量差异原因是：本单位固定资产车辆与公务用车保有量一致无差异。</w:t>
      </w:r>
    </w:p>
    <w:p w14:paraId="60DF65C5">
      <w:pPr>
        <w:spacing w:line="580" w:lineRule="exact"/>
        <w:ind w:firstLine="640"/>
        <w:jc w:val="both"/>
      </w:pPr>
      <w:r>
        <w:rPr>
          <w:rFonts w:ascii="仿宋_GB2312" w:hAnsi="仿宋_GB2312" w:eastAsia="仿宋_GB2312"/>
          <w:b w:val="0"/>
          <w:sz w:val="32"/>
        </w:rPr>
        <w:t>公务接待费0.14万元，开支内容包括接待上级领导检查、督导组检查产生的就餐费。单位全年安排的国内公务接待1批次，14人次。</w:t>
      </w:r>
    </w:p>
    <w:p w14:paraId="729D7796">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1.39万元，决算数1.39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1.25万元，决算数1.25万元，预决算差异率0.00%，主要原因是：严格按照预算执行，预决算无差异。公务接待费全年预算数0.14万元，决算数0.14万元，预决算差异率0.00%，主要原因是：严格按照预算执行，预决算无差异。</w:t>
      </w:r>
    </w:p>
    <w:p w14:paraId="29F7E06A">
      <w:pPr>
        <w:spacing w:line="640" w:lineRule="exact"/>
        <w:ind w:firstLine="640"/>
        <w:jc w:val="both"/>
        <w:outlineLvl w:val="2"/>
      </w:pPr>
      <w:r>
        <w:rPr>
          <w:rFonts w:ascii="黑体" w:hAnsi="黑体" w:eastAsia="黑体"/>
          <w:sz w:val="32"/>
        </w:rPr>
        <w:t>十、其他重要事项的情况说明</w:t>
      </w:r>
    </w:p>
    <w:p w14:paraId="5BE66D55">
      <w:pPr>
        <w:spacing w:line="640" w:lineRule="exact"/>
        <w:ind w:firstLine="640"/>
        <w:jc w:val="both"/>
        <w:outlineLvl w:val="3"/>
      </w:pPr>
      <w:r>
        <w:rPr>
          <w:rFonts w:ascii="楷体_GB2312" w:hAnsi="楷体_GB2312" w:eastAsia="楷体_GB2312"/>
          <w:b/>
          <w:sz w:val="32"/>
        </w:rPr>
        <w:t>（一）机关运行经费及公用经费支出情况</w:t>
      </w:r>
    </w:p>
    <w:p w14:paraId="3D9AEAF0">
      <w:pPr>
        <w:spacing w:line="580" w:lineRule="exact"/>
        <w:ind w:firstLine="640"/>
        <w:jc w:val="both"/>
      </w:pPr>
      <w:r>
        <w:rPr>
          <w:rFonts w:ascii="仿宋_GB2312" w:hAnsi="仿宋_GB2312" w:eastAsia="仿宋_GB2312"/>
          <w:b w:val="0"/>
          <w:sz w:val="32"/>
        </w:rPr>
        <w:t>2024年度麦盖提县妇幼保健</w:t>
      </w:r>
      <w:r>
        <w:rPr>
          <w:rFonts w:hint="eastAsia" w:ascii="仿宋_GB2312" w:hAnsi="仿宋_GB2312" w:eastAsia="仿宋_GB2312"/>
          <w:b w:val="0"/>
          <w:sz w:val="32"/>
          <w:lang w:eastAsia="zh-CN"/>
        </w:rPr>
        <w:t>计划生育</w:t>
      </w:r>
      <w:r>
        <w:rPr>
          <w:rFonts w:ascii="仿宋_GB2312" w:hAnsi="仿宋_GB2312" w:eastAsia="仿宋_GB2312"/>
          <w:b w:val="0"/>
          <w:sz w:val="32"/>
        </w:rPr>
        <w:t>服务中心（事业单位）公用经费支出0.00万元，比上年增加0.00万元，增长0.00%，主要原因是：2023年与2024年均未安排公用经费支出。</w:t>
      </w:r>
    </w:p>
    <w:p w14:paraId="19E59FCF">
      <w:pPr>
        <w:spacing w:line="640" w:lineRule="exact"/>
        <w:ind w:firstLine="640"/>
        <w:jc w:val="both"/>
        <w:outlineLvl w:val="3"/>
      </w:pPr>
      <w:r>
        <w:rPr>
          <w:rFonts w:ascii="楷体_GB2312" w:hAnsi="楷体_GB2312" w:eastAsia="楷体_GB2312"/>
          <w:b/>
          <w:sz w:val="32"/>
        </w:rPr>
        <w:t>（二）政府采购情况</w:t>
      </w:r>
    </w:p>
    <w:p w14:paraId="198641CF">
      <w:pPr>
        <w:spacing w:line="580" w:lineRule="exact"/>
        <w:ind w:firstLine="640"/>
        <w:jc w:val="both"/>
      </w:pPr>
      <w:r>
        <w:rPr>
          <w:rFonts w:ascii="仿宋_GB2312" w:hAnsi="仿宋_GB2312" w:eastAsia="仿宋_GB2312"/>
          <w:b w:val="0"/>
          <w:sz w:val="32"/>
        </w:rPr>
        <w:t>2024年度政府采购支出总额62.97万元，其中：政府采购货物支出57.27万元、政府采购工程支出0.00万元、政府采购服务支出5.71万元。</w:t>
      </w:r>
    </w:p>
    <w:p w14:paraId="7A4564DB">
      <w:pPr>
        <w:spacing w:line="580" w:lineRule="exact"/>
        <w:ind w:firstLine="640"/>
        <w:jc w:val="both"/>
      </w:pPr>
      <w:r>
        <w:rPr>
          <w:rFonts w:ascii="仿宋_GB2312" w:hAnsi="仿宋_GB2312" w:eastAsia="仿宋_GB2312"/>
          <w:b w:val="0"/>
          <w:sz w:val="32"/>
        </w:rPr>
        <w:t>授予中小企业合同金额9.76万元，占政府采购支出总额的15.50%，其中：授予小微企业合同金额9.76万元，占政府采购支出总额的15.50%。</w:t>
      </w:r>
    </w:p>
    <w:p w14:paraId="028165DF">
      <w:pPr>
        <w:spacing w:line="640" w:lineRule="exact"/>
        <w:ind w:firstLine="640"/>
        <w:jc w:val="both"/>
        <w:outlineLvl w:val="3"/>
      </w:pPr>
      <w:r>
        <w:rPr>
          <w:rFonts w:ascii="楷体_GB2312" w:hAnsi="楷体_GB2312" w:eastAsia="楷体_GB2312"/>
          <w:b/>
          <w:sz w:val="32"/>
        </w:rPr>
        <w:t>（三）国有资产占用情况说明</w:t>
      </w:r>
    </w:p>
    <w:p w14:paraId="0D158F7E">
      <w:pPr>
        <w:spacing w:line="580" w:lineRule="exact"/>
        <w:ind w:firstLine="640"/>
        <w:jc w:val="both"/>
      </w:pPr>
      <w:r>
        <w:rPr>
          <w:rFonts w:ascii="仿宋_GB2312" w:hAnsi="仿宋_GB2312" w:eastAsia="仿宋_GB2312"/>
          <w:b w:val="0"/>
          <w:sz w:val="32"/>
        </w:rPr>
        <w:t>截至2024年12月31日，房屋10,060.49平方米，价值2,192.35万元。车辆3辆，价值48.38万元，其中：副部（省）级及以上领导用车0辆、主要负责人用车0辆、机要通信用车0辆、应急保障用车0辆、执法执勤用车0辆、特种专业技术用车1辆、离退休干部服务用车0辆、其他用车2辆，其他用车主要是：一般公务用车。单价100万元（含）以上设备（不含车辆）4台（套）。</w:t>
      </w:r>
    </w:p>
    <w:p w14:paraId="698DFCD5">
      <w:pPr>
        <w:spacing w:line="640" w:lineRule="exact"/>
        <w:ind w:firstLine="640"/>
        <w:jc w:val="both"/>
        <w:outlineLvl w:val="2"/>
      </w:pPr>
      <w:r>
        <w:rPr>
          <w:rFonts w:ascii="黑体" w:hAnsi="黑体" w:eastAsia="黑体"/>
          <w:sz w:val="32"/>
        </w:rPr>
        <w:t>十一、预算绩效的情况说明</w:t>
      </w:r>
    </w:p>
    <w:p w14:paraId="185C3DCA">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1,669.00万元，实际执行总额1,600.11万元；预算绩效评价项目3个，全年预算数279.06万元，全年执行数275.44万元。预算绩效管理取得的成效：一是确保资金的高效使用，切实发挥</w:t>
      </w:r>
      <w:r>
        <w:rPr>
          <w:rFonts w:hint="eastAsia" w:ascii="仿宋_GB2312" w:hAnsi="仿宋_GB2312" w:eastAsia="仿宋_GB2312"/>
          <w:b w:val="0"/>
          <w:sz w:val="32"/>
          <w:lang w:eastAsia="zh-CN"/>
        </w:rPr>
        <w:t>财政资金使用</w:t>
      </w:r>
      <w:r>
        <w:rPr>
          <w:rFonts w:ascii="仿宋_GB2312" w:hAnsi="仿宋_GB2312" w:eastAsia="仿宋_GB2312"/>
          <w:b w:val="0"/>
          <w:sz w:val="32"/>
        </w:rPr>
        <w:t>效果。二是严格按照工作职责和相关文件依据，确保专款专用。三是严格控制资金的流出方向，确保资金的合规性。发现的问题及原因：一是部分业务人员绩效管理意识有待增强，未能全面深入认识理解绩效管理工作的意义。绩效管理经验不足，预算绩效管理工作有待进一步落实。二是绩效指标的明确性、可衡量性、相关性还需进一步提升。预算精细化管理还需完善，预算编制管理水平仍有进一步提升的空间。下一步改进措施：一是加强新行政单位会计制度和新预算法学习培训、规范账务处理，加强新《中华人民共和国预算法</w:t>
      </w:r>
      <w:r>
        <w:rPr>
          <w:rFonts w:hint="eastAsia" w:ascii="仿宋_GB2312" w:hAnsi="仿宋_GB2312" w:eastAsia="仿宋_GB2312"/>
          <w:b w:val="0"/>
          <w:sz w:val="32"/>
          <w:lang w:eastAsia="zh-CN"/>
        </w:rPr>
        <w:t>》《</w:t>
      </w:r>
      <w:r>
        <w:rPr>
          <w:rFonts w:ascii="仿宋_GB2312" w:hAnsi="仿宋_GB2312" w:eastAsia="仿宋_GB2312"/>
          <w:b w:val="0"/>
          <w:sz w:val="32"/>
        </w:rPr>
        <w:t>行政单位会计制度</w:t>
      </w:r>
      <w:r>
        <w:rPr>
          <w:rFonts w:hint="eastAsia" w:ascii="仿宋_GB2312" w:hAnsi="仿宋_GB2312" w:eastAsia="仿宋_GB2312"/>
          <w:b w:val="0"/>
          <w:sz w:val="32"/>
          <w:lang w:eastAsia="zh-CN"/>
        </w:rPr>
        <w:t>》《中华人民共和国会计法》《</w:t>
      </w:r>
      <w:r>
        <w:rPr>
          <w:rFonts w:ascii="仿宋_GB2312" w:hAnsi="仿宋_GB2312" w:eastAsia="仿宋_GB2312"/>
          <w:b w:val="0"/>
          <w:sz w:val="32"/>
        </w:rPr>
        <w:t>行政单位财务规则》等学习培训,规范部门预算收支核算。二是加强学习。进一步明确如何参照考核体系，科学合理设定绩效目标，充分发挥预算绩效管理工作效用。具体附整体支出绩效自评表，项目支出绩效自评表和评价报告。</w:t>
      </w:r>
    </w:p>
    <w:p w14:paraId="33065881">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3EC8BCB9">
        <w:tblPrEx>
          <w:tblCellMar>
            <w:top w:w="0" w:type="dxa"/>
            <w:left w:w="108" w:type="dxa"/>
            <w:bottom w:w="0" w:type="dxa"/>
            <w:right w:w="108" w:type="dxa"/>
          </w:tblCellMar>
        </w:tblPrEx>
        <w:tc>
          <w:tcPr>
            <w:tcW w:w="8847" w:type="dxa"/>
            <w:gridSpan w:val="9"/>
            <w:vAlign w:val="center"/>
          </w:tcPr>
          <w:p w14:paraId="467F0F14">
            <w:pPr>
              <w:jc w:val="center"/>
            </w:pPr>
            <w:r>
              <w:rPr>
                <w:rFonts w:ascii="宋体" w:hAnsi="宋体" w:eastAsia="宋体"/>
                <w:sz w:val="24"/>
              </w:rPr>
              <w:t>单位整体支出绩效自评表</w:t>
            </w:r>
          </w:p>
        </w:tc>
      </w:tr>
      <w:tr w14:paraId="74B1A770">
        <w:tblPrEx>
          <w:tblCellMar>
            <w:top w:w="0" w:type="dxa"/>
            <w:left w:w="108" w:type="dxa"/>
            <w:bottom w:w="0" w:type="dxa"/>
            <w:right w:w="108" w:type="dxa"/>
          </w:tblCellMar>
        </w:tblPrEx>
        <w:tc>
          <w:tcPr>
            <w:tcW w:w="8847" w:type="dxa"/>
            <w:gridSpan w:val="9"/>
            <w:vAlign w:val="center"/>
          </w:tcPr>
          <w:p w14:paraId="76EB3187">
            <w:pPr>
              <w:jc w:val="center"/>
            </w:pPr>
            <w:r>
              <w:rPr>
                <w:rFonts w:ascii="宋体" w:hAnsi="宋体" w:eastAsia="宋体"/>
                <w:sz w:val="24"/>
              </w:rPr>
              <w:t>（2024年度）</w:t>
            </w:r>
          </w:p>
        </w:tc>
      </w:tr>
      <w:tr w14:paraId="54ABCE57">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7578A0">
            <w:pPr>
              <w:jc w:val="center"/>
            </w:pPr>
            <w:r>
              <w:rPr>
                <w:rFonts w:ascii="宋体" w:hAnsi="宋体" w:eastAsia="宋体"/>
                <w:sz w:val="16"/>
              </w:rPr>
              <w:t>单位名称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7B2571DE">
            <w:pPr>
              <w:jc w:val="center"/>
            </w:pPr>
            <w:r>
              <w:rPr>
                <w:rFonts w:ascii="宋体" w:hAnsi="宋体" w:eastAsia="宋体"/>
                <w:sz w:val="16"/>
              </w:rPr>
              <w:t>麦盖提县妇幼保健</w:t>
            </w:r>
            <w:r>
              <w:rPr>
                <w:rFonts w:hint="eastAsia" w:ascii="宋体" w:hAnsi="宋体"/>
                <w:sz w:val="16"/>
                <w:lang w:eastAsia="zh-CN"/>
              </w:rPr>
              <w:t>计划生育</w:t>
            </w:r>
            <w:r>
              <w:rPr>
                <w:rFonts w:ascii="宋体" w:hAnsi="宋体" w:eastAsia="宋体"/>
                <w:sz w:val="16"/>
              </w:rPr>
              <w:t>服务中心</w:t>
            </w:r>
          </w:p>
        </w:tc>
      </w:tr>
      <w:tr w14:paraId="5B0F080E">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5B31E0">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2CB7B5">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EFD9F8">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5FD612">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C01D2D">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85FA21">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FCE627">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CBD648">
            <w:pPr>
              <w:jc w:val="center"/>
            </w:pPr>
            <w:r>
              <w:rPr>
                <w:rFonts w:ascii="宋体" w:hAnsi="宋体" w:eastAsia="宋体"/>
                <w:sz w:val="16"/>
              </w:rPr>
              <w:t>得分</w:t>
            </w:r>
          </w:p>
        </w:tc>
      </w:tr>
      <w:tr w14:paraId="0A3812E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0DCE37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037355">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7E8A18">
            <w:pPr>
              <w:jc w:val="center"/>
            </w:pPr>
            <w:r>
              <w:rPr>
                <w:rFonts w:ascii="宋体" w:hAnsi="宋体" w:eastAsia="宋体"/>
                <w:sz w:val="16"/>
              </w:rPr>
              <w:t>1,281.91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71DBB1">
            <w:pPr>
              <w:jc w:val="center"/>
            </w:pPr>
            <w:r>
              <w:rPr>
                <w:rFonts w:ascii="宋体" w:hAnsi="宋体" w:eastAsia="宋体"/>
                <w:sz w:val="16"/>
              </w:rPr>
              <w:t>1,669.00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E21B28">
            <w:pPr>
              <w:jc w:val="center"/>
            </w:pPr>
            <w:r>
              <w:rPr>
                <w:rFonts w:ascii="宋体" w:hAnsi="宋体" w:eastAsia="宋体"/>
                <w:sz w:val="16"/>
              </w:rPr>
              <w:t>1,600.11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059D34">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1FAFB1">
            <w:pPr>
              <w:jc w:val="center"/>
            </w:pPr>
            <w:r>
              <w:rPr>
                <w:rFonts w:ascii="宋体" w:hAnsi="宋体" w:eastAsia="宋体"/>
                <w:sz w:val="16"/>
              </w:rPr>
              <w:t>95.87%</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4C55C1">
            <w:pPr>
              <w:jc w:val="center"/>
            </w:pPr>
            <w:r>
              <w:rPr>
                <w:rFonts w:ascii="宋体" w:hAnsi="宋体" w:eastAsia="宋体"/>
                <w:sz w:val="16"/>
              </w:rPr>
              <w:t>9.59</w:t>
            </w:r>
          </w:p>
        </w:tc>
      </w:tr>
      <w:tr w14:paraId="4E11182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551862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399956">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CE52E2">
            <w:pPr>
              <w:jc w:val="center"/>
            </w:pPr>
            <w:r>
              <w:rPr>
                <w:rFonts w:ascii="宋体" w:hAnsi="宋体" w:eastAsia="宋体"/>
                <w:sz w:val="16"/>
              </w:rPr>
              <w:t>99.69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5192BC">
            <w:pPr>
              <w:jc w:val="center"/>
            </w:pPr>
            <w:r>
              <w:rPr>
                <w:rFonts w:ascii="宋体" w:hAnsi="宋体" w:eastAsia="宋体"/>
                <w:sz w:val="16"/>
              </w:rPr>
              <w:t>259.07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102DF7">
            <w:pPr>
              <w:jc w:val="center"/>
            </w:pPr>
            <w:r>
              <w:rPr>
                <w:rFonts w:ascii="宋体" w:hAnsi="宋体" w:eastAsia="宋体"/>
                <w:sz w:val="16"/>
              </w:rPr>
              <w:t>259.07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A618D6">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726437">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AA61E0">
            <w:pPr>
              <w:jc w:val="center"/>
            </w:pPr>
            <w:r>
              <w:rPr>
                <w:rFonts w:ascii="宋体" w:hAnsi="宋体" w:eastAsia="宋体"/>
                <w:sz w:val="16"/>
              </w:rPr>
              <w:t>—</w:t>
            </w:r>
          </w:p>
        </w:tc>
      </w:tr>
      <w:tr w14:paraId="5CCE7FD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786FEF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9CAEAD">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B0D384">
            <w:pPr>
              <w:jc w:val="center"/>
            </w:pPr>
            <w:r>
              <w:rPr>
                <w:rFonts w:ascii="宋体" w:hAnsi="宋体" w:eastAsia="宋体"/>
                <w:sz w:val="16"/>
              </w:rPr>
              <w:t>691.93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5BAB39">
            <w:pPr>
              <w:jc w:val="center"/>
            </w:pPr>
            <w:r>
              <w:rPr>
                <w:rFonts w:ascii="宋体" w:hAnsi="宋体" w:eastAsia="宋体"/>
                <w:sz w:val="16"/>
              </w:rPr>
              <w:t>664.64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3901B1">
            <w:pPr>
              <w:jc w:val="center"/>
            </w:pPr>
            <w:r>
              <w:rPr>
                <w:rFonts w:ascii="宋体" w:hAnsi="宋体" w:eastAsia="宋体"/>
                <w:sz w:val="16"/>
              </w:rPr>
              <w:t>662.00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22C5D5">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AC1E83">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58FFB0">
            <w:pPr>
              <w:jc w:val="center"/>
            </w:pPr>
            <w:r>
              <w:rPr>
                <w:rFonts w:ascii="宋体" w:hAnsi="宋体" w:eastAsia="宋体"/>
                <w:sz w:val="16"/>
              </w:rPr>
              <w:t>—</w:t>
            </w:r>
          </w:p>
        </w:tc>
      </w:tr>
      <w:tr w14:paraId="372E8AE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02DC0A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0158E0">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8DDC07">
            <w:pPr>
              <w:jc w:val="center"/>
            </w:pPr>
            <w:r>
              <w:rPr>
                <w:rFonts w:ascii="宋体" w:hAnsi="宋体" w:eastAsia="宋体"/>
                <w:sz w:val="16"/>
              </w:rPr>
              <w:t>490.29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00B54D">
            <w:pPr>
              <w:jc w:val="center"/>
            </w:pPr>
            <w:r>
              <w:rPr>
                <w:rFonts w:ascii="宋体" w:hAnsi="宋体" w:eastAsia="宋体"/>
                <w:sz w:val="16"/>
              </w:rPr>
              <w:t>745.29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899E0E">
            <w:pPr>
              <w:jc w:val="center"/>
            </w:pPr>
            <w:r>
              <w:rPr>
                <w:rFonts w:ascii="宋体" w:hAnsi="宋体" w:eastAsia="宋体"/>
                <w:sz w:val="16"/>
              </w:rPr>
              <w:t>679.04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3CE4B6">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44729D">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873782">
            <w:pPr>
              <w:jc w:val="center"/>
            </w:pPr>
            <w:r>
              <w:rPr>
                <w:rFonts w:ascii="宋体" w:hAnsi="宋体" w:eastAsia="宋体"/>
                <w:sz w:val="16"/>
              </w:rPr>
              <w:t>—</w:t>
            </w:r>
          </w:p>
        </w:tc>
      </w:tr>
      <w:tr w14:paraId="1DD4C593">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728B3B9">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981D115">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0D285B8">
            <w:pPr>
              <w:jc w:val="center"/>
              <w:rPr>
                <w:rFonts w:hint="eastAsia" w:eastAsia="宋体"/>
                <w:lang w:eastAsia="zh-CN"/>
              </w:rPr>
            </w:pPr>
            <w:r>
              <w:rPr>
                <w:rFonts w:hint="eastAsia" w:ascii="宋体" w:hAnsi="宋体"/>
                <w:sz w:val="16"/>
                <w:lang w:eastAsia="zh-CN"/>
              </w:rPr>
              <w:t>实际完成情况</w:t>
            </w:r>
          </w:p>
        </w:tc>
      </w:tr>
      <w:tr w14:paraId="4A71521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29A123D"/>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9E67C83">
            <w:pPr>
              <w:jc w:val="both"/>
            </w:pPr>
            <w:r>
              <w:rPr>
                <w:rFonts w:ascii="宋体" w:hAnsi="宋体" w:eastAsia="宋体"/>
                <w:sz w:val="16"/>
              </w:rPr>
              <w:t>麦盖提县妇幼保健</w:t>
            </w:r>
            <w:r>
              <w:rPr>
                <w:rFonts w:hint="eastAsia" w:ascii="宋体" w:hAnsi="宋体"/>
                <w:sz w:val="16"/>
                <w:lang w:eastAsia="zh-CN"/>
              </w:rPr>
              <w:t>计划生育</w:t>
            </w:r>
            <w:r>
              <w:rPr>
                <w:rFonts w:ascii="宋体" w:hAnsi="宋体" w:eastAsia="宋体"/>
                <w:sz w:val="16"/>
              </w:rPr>
              <w:t>服务中心在县委、县政府、县卫健委的关心与支持下，全面贯彻新时代卫生与健康工作方针，围绕母婴安全目标任务，坚持稳中求进总基调，坚持新发展理念，坚持以改革创新为动力，巩固拓展</w:t>
            </w:r>
            <w:r>
              <w:rPr>
                <w:rFonts w:hint="eastAsia" w:ascii="宋体" w:hAnsi="宋体"/>
                <w:sz w:val="16"/>
                <w:lang w:eastAsia="zh-CN"/>
              </w:rPr>
              <w:t>YQ</w:t>
            </w:r>
            <w:r>
              <w:rPr>
                <w:rFonts w:ascii="宋体" w:hAnsi="宋体" w:eastAsia="宋体"/>
                <w:sz w:val="16"/>
              </w:rPr>
              <w:t>防控和妇幼健康事业发展成果,持续关注妇幼健康，从源头和基础上提高全县妇幼健康水平。</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1.为本辖区内妇女儿童提供围产保健、妇女保健、儿童保健等服务和妇女儿童常见防治、助产技术服务等；</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2.完成</w:t>
            </w:r>
            <w:r>
              <w:rPr>
                <w:rFonts w:hint="eastAsia" w:ascii="宋体" w:hAnsi="宋体"/>
                <w:sz w:val="16"/>
                <w:lang w:eastAsia="zh-CN"/>
              </w:rPr>
              <w:t>JHSY</w:t>
            </w:r>
            <w:r>
              <w:rPr>
                <w:rFonts w:ascii="宋体" w:hAnsi="宋体" w:eastAsia="宋体"/>
                <w:sz w:val="16"/>
              </w:rPr>
              <w:t>宣传教育，技术服务、优生指导、药具发放、信息咨询、随访服务、生殖保健、人员培训等任务；开展孕前优生健康检查和出生缺陷综合防治等工作；</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3.完成县委、县政府交办的其他任务。</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8EB9354">
            <w:pPr>
              <w:jc w:val="both"/>
            </w:pPr>
            <w:r>
              <w:rPr>
                <w:rFonts w:hint="eastAsia" w:ascii="宋体" w:hAnsi="宋体"/>
                <w:sz w:val="16"/>
                <w:lang w:eastAsia="zh-CN"/>
              </w:rPr>
              <w:t>截至</w:t>
            </w:r>
            <w:r>
              <w:rPr>
                <w:rFonts w:ascii="宋体" w:hAnsi="宋体" w:eastAsia="宋体"/>
                <w:sz w:val="16"/>
              </w:rPr>
              <w:t>自评日，我单位已完成：全面贯彻新时代卫生与健康工作方针，围绕母婴安全目标任务，坚持稳中求进总基调，坚持新发展理念，坚持以改革创新为动力，巩固拓展</w:t>
            </w:r>
            <w:r>
              <w:rPr>
                <w:rFonts w:hint="eastAsia" w:ascii="宋体" w:hAnsi="宋体"/>
                <w:sz w:val="16"/>
                <w:lang w:eastAsia="zh-CN"/>
              </w:rPr>
              <w:t>YQ</w:t>
            </w:r>
            <w:r>
              <w:rPr>
                <w:rFonts w:ascii="宋体" w:hAnsi="宋体" w:eastAsia="宋体"/>
                <w:sz w:val="16"/>
              </w:rPr>
              <w:t>防控和妇幼健康事业发展成果,持续关注妇幼健康，从源头和基础上提高全县妇幼健康水平。</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1.为本辖区内妇女儿童提供围产保健、妇女保健、儿童保健等服务和妇女儿童常见防治、助产技术服务等，2024年“两癌”筛查率达到95%；</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2.完成</w:t>
            </w:r>
            <w:r>
              <w:rPr>
                <w:rFonts w:hint="eastAsia" w:ascii="宋体" w:hAnsi="宋体"/>
                <w:sz w:val="16"/>
                <w:lang w:eastAsia="zh-CN"/>
              </w:rPr>
              <w:t>JHSY</w:t>
            </w:r>
            <w:r>
              <w:rPr>
                <w:rFonts w:ascii="宋体" w:hAnsi="宋体" w:eastAsia="宋体"/>
                <w:sz w:val="16"/>
              </w:rPr>
              <w:t>宣传教育，技术服务、优生指导、药具发放、信息咨询、随访服务、生殖保健、人员培训等任务，2024年适龄9-14岁女生免费接种宫颈癌疫苗率达96%、查环查孕落实率达96%；开展孕前优生健康检查和出生缺陷综合防治等工作，2024年国家免费孕前优生健康检查率达100%、孕产妇和儿童死亡率为0.268%。</w:t>
            </w:r>
          </w:p>
        </w:tc>
      </w:tr>
      <w:tr w14:paraId="78D312EC">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E666BE">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A96AB5">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CDC997">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7606C5">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8D4811">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B432F9">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DE3930">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7563B7">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FE69BA">
            <w:pPr>
              <w:jc w:val="center"/>
            </w:pPr>
            <w:r>
              <w:rPr>
                <w:rFonts w:ascii="宋体" w:hAnsi="宋体" w:eastAsia="宋体"/>
                <w:sz w:val="16"/>
              </w:rPr>
              <w:t>得分</w:t>
            </w:r>
          </w:p>
        </w:tc>
      </w:tr>
      <w:tr w14:paraId="622849D2">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265C80">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36B3AB9">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ADB517">
            <w:pPr>
              <w:jc w:val="center"/>
            </w:pPr>
            <w:r>
              <w:rPr>
                <w:rFonts w:ascii="宋体" w:hAnsi="宋体" w:eastAsia="宋体"/>
                <w:sz w:val="16"/>
              </w:rPr>
              <w:t>“两癌”筛查率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4E5266">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CFDF70">
            <w:pPr>
              <w:jc w:val="center"/>
            </w:pPr>
            <w:r>
              <w:rPr>
                <w:rFonts w:ascii="宋体" w:hAnsi="宋体" w:eastAsia="宋体"/>
                <w:sz w:val="16"/>
              </w:rPr>
              <w:t>重点工作计划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E134C9">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07AB7E">
            <w:pPr>
              <w:jc w:val="center"/>
            </w:pPr>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34C63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8924D9">
            <w:pPr>
              <w:jc w:val="center"/>
            </w:pPr>
            <w:r>
              <w:rPr>
                <w:rFonts w:ascii="宋体" w:hAnsi="宋体" w:eastAsia="宋体"/>
                <w:sz w:val="16"/>
              </w:rPr>
              <w:t>18</w:t>
            </w:r>
          </w:p>
        </w:tc>
      </w:tr>
      <w:tr w14:paraId="41DED27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29A5C4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71AFDC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3A0736">
            <w:pPr>
              <w:jc w:val="center"/>
            </w:pPr>
            <w:r>
              <w:rPr>
                <w:rFonts w:ascii="宋体" w:hAnsi="宋体" w:eastAsia="宋体"/>
                <w:sz w:val="16"/>
              </w:rPr>
              <w:t>适龄9-14岁女生免费接种宫颈癌疫苗率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6A5BB3">
            <w:pPr>
              <w:jc w:val="center"/>
            </w:pPr>
            <w:r>
              <w:rPr>
                <w:rFonts w:ascii="宋体" w:hAnsi="宋体" w:eastAsia="宋体"/>
                <w:sz w:val="16"/>
              </w:rPr>
              <w:t>&gt;=96%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753EE1">
            <w:pPr>
              <w:jc w:val="center"/>
            </w:pPr>
            <w:r>
              <w:rPr>
                <w:rFonts w:ascii="宋体" w:hAnsi="宋体" w:eastAsia="宋体"/>
                <w:sz w:val="16"/>
              </w:rPr>
              <w:t>重点工作计划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29BE8A">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F27A50">
            <w:pPr>
              <w:jc w:val="center"/>
            </w:pPr>
            <w:r>
              <w:rPr>
                <w:rFonts w:ascii="宋体" w:hAnsi="宋体" w:eastAsia="宋体"/>
                <w:sz w:val="16"/>
              </w:rPr>
              <w:t>96%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3825F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540ECC">
            <w:pPr>
              <w:jc w:val="center"/>
            </w:pPr>
            <w:r>
              <w:rPr>
                <w:rFonts w:ascii="宋体" w:hAnsi="宋体" w:eastAsia="宋体"/>
                <w:sz w:val="16"/>
              </w:rPr>
              <w:t>18</w:t>
            </w:r>
          </w:p>
        </w:tc>
      </w:tr>
      <w:tr w14:paraId="2710E4E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4EECEE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22CC5A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7D17FD">
            <w:pPr>
              <w:jc w:val="center"/>
            </w:pPr>
            <w:r>
              <w:rPr>
                <w:rFonts w:ascii="宋体" w:hAnsi="宋体" w:eastAsia="宋体"/>
                <w:sz w:val="16"/>
              </w:rPr>
              <w:t>国家免费孕前优生健康检查率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2205C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609E46">
            <w:pPr>
              <w:jc w:val="center"/>
            </w:pPr>
            <w:r>
              <w:rPr>
                <w:rFonts w:ascii="宋体" w:hAnsi="宋体" w:eastAsia="宋体"/>
                <w:sz w:val="16"/>
              </w:rPr>
              <w:t>重点工作计划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7FDE5D">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251B1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E00CC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937D68">
            <w:pPr>
              <w:jc w:val="center"/>
            </w:pPr>
            <w:r>
              <w:rPr>
                <w:rFonts w:ascii="宋体" w:hAnsi="宋体" w:eastAsia="宋体"/>
                <w:sz w:val="16"/>
              </w:rPr>
              <w:t>18</w:t>
            </w:r>
          </w:p>
        </w:tc>
      </w:tr>
      <w:tr w14:paraId="43E849A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553BA3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C3CE85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A8E192">
            <w:pPr>
              <w:jc w:val="center"/>
            </w:pPr>
            <w:r>
              <w:rPr>
                <w:rFonts w:ascii="宋体" w:hAnsi="宋体" w:eastAsia="宋体"/>
                <w:sz w:val="16"/>
              </w:rPr>
              <w:t>孕产妇和儿童死亡率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7B220B">
            <w:pPr>
              <w:jc w:val="center"/>
            </w:pPr>
            <w:r>
              <w:rPr>
                <w:rFonts w:ascii="宋体" w:hAnsi="宋体" w:eastAsia="宋体"/>
                <w:sz w:val="16"/>
              </w:rPr>
              <w:t>&lt;=16%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B203E3">
            <w:pPr>
              <w:jc w:val="center"/>
            </w:pPr>
            <w:r>
              <w:rPr>
                <w:rFonts w:ascii="宋体" w:hAnsi="宋体" w:eastAsia="宋体"/>
                <w:sz w:val="16"/>
              </w:rPr>
              <w:t>重点工作计划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F4B5E1">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3251E4">
            <w:pPr>
              <w:jc w:val="center"/>
            </w:pPr>
            <w:r>
              <w:rPr>
                <w:rFonts w:ascii="宋体" w:hAnsi="宋体" w:eastAsia="宋体"/>
                <w:sz w:val="16"/>
              </w:rPr>
              <w:t>0.268%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9F51E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620918">
            <w:pPr>
              <w:jc w:val="center"/>
            </w:pPr>
            <w:r>
              <w:rPr>
                <w:rFonts w:ascii="宋体" w:hAnsi="宋体" w:eastAsia="宋体"/>
                <w:sz w:val="16"/>
              </w:rPr>
              <w:t>18</w:t>
            </w:r>
          </w:p>
        </w:tc>
      </w:tr>
      <w:tr w14:paraId="4B30011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700C3B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474802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8DF520">
            <w:pPr>
              <w:jc w:val="center"/>
            </w:pPr>
            <w:r>
              <w:rPr>
                <w:rFonts w:ascii="宋体" w:hAnsi="宋体" w:eastAsia="宋体"/>
                <w:sz w:val="16"/>
              </w:rPr>
              <w:t>查环查孕落实率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1C5F82">
            <w:pPr>
              <w:jc w:val="center"/>
            </w:pPr>
            <w:r>
              <w:rPr>
                <w:rFonts w:ascii="宋体" w:hAnsi="宋体" w:eastAsia="宋体"/>
                <w:sz w:val="16"/>
              </w:rPr>
              <w:t>&gt;=96%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6916A5">
            <w:pPr>
              <w:jc w:val="center"/>
            </w:pPr>
            <w:r>
              <w:rPr>
                <w:rFonts w:ascii="宋体" w:hAnsi="宋体" w:eastAsia="宋体"/>
                <w:sz w:val="16"/>
              </w:rPr>
              <w:t>重点工作计划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7642BC">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F8C2D8">
            <w:pPr>
              <w:jc w:val="center"/>
            </w:pPr>
            <w:r>
              <w:rPr>
                <w:rFonts w:ascii="宋体" w:hAnsi="宋体" w:eastAsia="宋体"/>
                <w:sz w:val="16"/>
              </w:rPr>
              <w:t>96%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71CF0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842C17">
            <w:pPr>
              <w:jc w:val="center"/>
            </w:pPr>
            <w:r>
              <w:rPr>
                <w:rFonts w:ascii="宋体" w:hAnsi="宋体" w:eastAsia="宋体"/>
                <w:sz w:val="16"/>
              </w:rPr>
              <w:t>18</w:t>
            </w:r>
          </w:p>
        </w:tc>
      </w:tr>
    </w:tbl>
    <w:p w14:paraId="7B76C1C8">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20710123">
        <w:tblPrEx>
          <w:tblCellMar>
            <w:top w:w="0" w:type="dxa"/>
            <w:left w:w="108" w:type="dxa"/>
            <w:bottom w:w="0" w:type="dxa"/>
            <w:right w:w="108" w:type="dxa"/>
          </w:tblCellMar>
        </w:tblPrEx>
        <w:tc>
          <w:tcPr>
            <w:tcW w:w="8848" w:type="dxa"/>
            <w:gridSpan w:val="14"/>
            <w:vAlign w:val="center"/>
          </w:tcPr>
          <w:p w14:paraId="1ACC1F23">
            <w:pPr>
              <w:jc w:val="center"/>
            </w:pPr>
            <w:r>
              <w:rPr>
                <w:rFonts w:ascii="宋体" w:hAnsi="宋体" w:eastAsia="宋体"/>
                <w:sz w:val="24"/>
              </w:rPr>
              <w:t>项目支出绩效自评表</w:t>
            </w:r>
          </w:p>
        </w:tc>
      </w:tr>
      <w:tr w14:paraId="747BAD2B">
        <w:tblPrEx>
          <w:tblCellMar>
            <w:top w:w="0" w:type="dxa"/>
            <w:left w:w="108" w:type="dxa"/>
            <w:bottom w:w="0" w:type="dxa"/>
            <w:right w:w="108" w:type="dxa"/>
          </w:tblCellMar>
        </w:tblPrEx>
        <w:tc>
          <w:tcPr>
            <w:tcW w:w="8848" w:type="dxa"/>
            <w:gridSpan w:val="14"/>
            <w:vAlign w:val="center"/>
          </w:tcPr>
          <w:p w14:paraId="2887EE2A">
            <w:pPr>
              <w:jc w:val="center"/>
            </w:pPr>
            <w:r>
              <w:rPr>
                <w:rFonts w:ascii="宋体" w:hAnsi="宋体" w:eastAsia="宋体"/>
                <w:sz w:val="24"/>
              </w:rPr>
              <w:t>(2024年度)</w:t>
            </w:r>
          </w:p>
        </w:tc>
      </w:tr>
      <w:tr w14:paraId="3386D72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57B424">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197F44A">
            <w:pPr>
              <w:jc w:val="center"/>
            </w:pPr>
            <w:r>
              <w:rPr>
                <w:rFonts w:ascii="宋体" w:hAnsi="宋体" w:eastAsia="宋体"/>
                <w:sz w:val="16"/>
              </w:rPr>
              <w:t>麦盖提县妇女宫颈癌检查项目</w:t>
            </w:r>
          </w:p>
        </w:tc>
      </w:tr>
      <w:tr w14:paraId="2A88F89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BDA43E">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790C7FA">
            <w:pPr>
              <w:jc w:val="center"/>
            </w:pPr>
            <w:r>
              <w:rPr>
                <w:rFonts w:ascii="宋体" w:hAnsi="宋体" w:eastAsia="宋体"/>
                <w:sz w:val="16"/>
              </w:rPr>
              <w:t>麦盖提县妇幼保健</w:t>
            </w:r>
            <w:r>
              <w:rPr>
                <w:rFonts w:hint="eastAsia" w:ascii="宋体" w:hAnsi="宋体"/>
                <w:sz w:val="16"/>
                <w:lang w:eastAsia="zh-CN"/>
              </w:rPr>
              <w:t>计划生育</w:t>
            </w:r>
            <w:r>
              <w:rPr>
                <w:rFonts w:ascii="宋体" w:hAnsi="宋体" w:eastAsia="宋体"/>
                <w:sz w:val="16"/>
              </w:rPr>
              <w:t>服务中心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F8C131">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D31CB3D">
            <w:pPr>
              <w:jc w:val="center"/>
            </w:pPr>
            <w:r>
              <w:rPr>
                <w:rFonts w:ascii="宋体" w:hAnsi="宋体" w:eastAsia="宋体"/>
                <w:sz w:val="16"/>
              </w:rPr>
              <w:t>麦盖提县妇幼保健</w:t>
            </w:r>
            <w:r>
              <w:rPr>
                <w:rFonts w:hint="eastAsia" w:ascii="宋体" w:hAnsi="宋体"/>
                <w:sz w:val="16"/>
                <w:lang w:eastAsia="zh-CN"/>
              </w:rPr>
              <w:t>计划生育</w:t>
            </w:r>
            <w:r>
              <w:rPr>
                <w:rFonts w:ascii="宋体" w:hAnsi="宋体" w:eastAsia="宋体"/>
                <w:sz w:val="16"/>
              </w:rPr>
              <w:t>服务中心</w:t>
            </w:r>
          </w:p>
        </w:tc>
      </w:tr>
      <w:tr w14:paraId="087465A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CEF303">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E077B0">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55860B">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3C18A8">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6BD67D">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3538D0">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35C4E9">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94251D">
            <w:pPr>
              <w:jc w:val="center"/>
            </w:pPr>
            <w:r>
              <w:rPr>
                <w:rFonts w:ascii="宋体" w:hAnsi="宋体" w:eastAsia="宋体"/>
                <w:sz w:val="16"/>
              </w:rPr>
              <w:t>得分</w:t>
            </w:r>
          </w:p>
        </w:tc>
      </w:tr>
      <w:tr w14:paraId="4590D3C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0942E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60FD32">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2BE047">
            <w:pPr>
              <w:jc w:val="center"/>
            </w:pPr>
            <w:r>
              <w:rPr>
                <w:rFonts w:ascii="宋体" w:hAnsi="宋体" w:eastAsia="宋体"/>
                <w:sz w:val="16"/>
              </w:rPr>
              <w:t>16.00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7B81DD">
            <w:pPr>
              <w:jc w:val="center"/>
            </w:pPr>
            <w:r>
              <w:rPr>
                <w:rFonts w:ascii="宋体" w:hAnsi="宋体" w:eastAsia="宋体"/>
                <w:sz w:val="16"/>
              </w:rPr>
              <w:t>24.06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049B63">
            <w:pPr>
              <w:jc w:val="center"/>
            </w:pPr>
            <w:r>
              <w:rPr>
                <w:rFonts w:ascii="宋体" w:hAnsi="宋体" w:eastAsia="宋体"/>
                <w:sz w:val="16"/>
              </w:rPr>
              <w:t>24.06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D0B1E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659EFB">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1B1AA1">
            <w:pPr>
              <w:jc w:val="center"/>
            </w:pPr>
            <w:r>
              <w:rPr>
                <w:rFonts w:ascii="宋体" w:hAnsi="宋体" w:eastAsia="宋体"/>
                <w:sz w:val="16"/>
              </w:rPr>
              <w:t>10.00分</w:t>
            </w:r>
          </w:p>
        </w:tc>
      </w:tr>
      <w:tr w14:paraId="737205D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AA86A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4C78E9">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EBC884">
            <w:pPr>
              <w:jc w:val="center"/>
            </w:pPr>
            <w:r>
              <w:rPr>
                <w:rFonts w:ascii="宋体" w:hAnsi="宋体" w:eastAsia="宋体"/>
                <w:sz w:val="16"/>
              </w:rPr>
              <w:t>16.00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9FB74D">
            <w:pPr>
              <w:jc w:val="center"/>
            </w:pPr>
            <w:r>
              <w:rPr>
                <w:rFonts w:ascii="宋体" w:hAnsi="宋体" w:eastAsia="宋体"/>
                <w:sz w:val="16"/>
              </w:rPr>
              <w:t>24.06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841F3B">
            <w:pPr>
              <w:jc w:val="center"/>
            </w:pPr>
            <w:r>
              <w:rPr>
                <w:rFonts w:ascii="宋体" w:hAnsi="宋体" w:eastAsia="宋体"/>
                <w:sz w:val="16"/>
              </w:rPr>
              <w:t>24.06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1586C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B1656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5EA9D8">
            <w:pPr>
              <w:jc w:val="center"/>
            </w:pPr>
            <w:r>
              <w:rPr>
                <w:rFonts w:ascii="宋体" w:hAnsi="宋体" w:eastAsia="宋体"/>
                <w:sz w:val="16"/>
              </w:rPr>
              <w:t>—</w:t>
            </w:r>
          </w:p>
        </w:tc>
      </w:tr>
      <w:tr w14:paraId="1C08BA6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801FE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06A91A">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BCD9F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8ADAB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2DC48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F4914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48DE5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4E4BC4">
            <w:pPr>
              <w:jc w:val="center"/>
            </w:pPr>
            <w:r>
              <w:rPr>
                <w:rFonts w:ascii="宋体" w:hAnsi="宋体" w:eastAsia="宋体"/>
                <w:sz w:val="16"/>
              </w:rPr>
              <w:t>—</w:t>
            </w:r>
          </w:p>
        </w:tc>
      </w:tr>
      <w:tr w14:paraId="7DAD78B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FB26255">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8957B39">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BA77387">
            <w:pPr>
              <w:jc w:val="center"/>
            </w:pPr>
            <w:r>
              <w:rPr>
                <w:rFonts w:ascii="宋体" w:hAnsi="宋体" w:eastAsia="宋体"/>
                <w:sz w:val="16"/>
              </w:rPr>
              <w:t>实际完成情况</w:t>
            </w:r>
          </w:p>
        </w:tc>
      </w:tr>
      <w:tr w14:paraId="3E479E8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04D55B"/>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881BDA4">
            <w:pPr>
              <w:jc w:val="both"/>
            </w:pPr>
            <w:r>
              <w:rPr>
                <w:rFonts w:ascii="宋体" w:hAnsi="宋体" w:eastAsia="宋体"/>
                <w:sz w:val="16"/>
              </w:rPr>
              <w:t>本项目计划投资为24.06万元，主要用于完成4920名适龄妇女宫颈癌检查；通过项目的实施逐步提高全区妇女整体健康水平，宫颈癌防治知识知晓率不断提高，促进基层逐步建立制度化，规范化的宫颈癌防治长效机制。提高群众自我保健意识和技能，持续提高妇女健康服务能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9AB7059">
            <w:pPr>
              <w:jc w:val="both"/>
            </w:pPr>
            <w:r>
              <w:rPr>
                <w:rFonts w:hint="eastAsia" w:ascii="宋体" w:hAnsi="宋体"/>
                <w:sz w:val="16"/>
                <w:lang w:eastAsia="zh-CN"/>
              </w:rPr>
              <w:t>截至</w:t>
            </w:r>
            <w:r>
              <w:rPr>
                <w:rFonts w:ascii="宋体" w:hAnsi="宋体" w:eastAsia="宋体"/>
                <w:sz w:val="16"/>
              </w:rPr>
              <w:t>自评日，本项目已支出金额为24.06万元，全县已有4920名农村适龄妇女进行了“两癌”免费检查,完成市级下达4920人的年度检查任务。通过项目的实施逐步提高了全区妇女整体健康水平，宫颈癌防治知识知晓率达到100%，促进了基层逐步建立制度化。提高了群众自我保健意识和技能，持续提高了妇女健康服务能力。</w:t>
            </w:r>
          </w:p>
        </w:tc>
      </w:tr>
      <w:tr w14:paraId="1899696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7B4C21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823B8C">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BD8006">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52A7FD">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B70E47">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CA3415">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235893">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EA5685">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4A111E">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6013BC">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B9D402">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F552E5">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2F3B25">
            <w:pPr>
              <w:jc w:val="center"/>
            </w:pPr>
            <w:r>
              <w:rPr>
                <w:rFonts w:ascii="宋体" w:hAnsi="宋体" w:eastAsia="宋体"/>
                <w:sz w:val="16"/>
              </w:rPr>
              <w:t>偏差原因分析及改进措施</w:t>
            </w:r>
          </w:p>
        </w:tc>
      </w:tr>
      <w:tr w14:paraId="29C4116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92BE272">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02EEFE7">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61DAE1">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8E8F93">
            <w:pPr>
              <w:jc w:val="center"/>
            </w:pPr>
            <w:r>
              <w:rPr>
                <w:rFonts w:ascii="宋体" w:hAnsi="宋体" w:eastAsia="宋体"/>
                <w:sz w:val="16"/>
              </w:rPr>
              <w:t>适龄妇女宫颈癌检查人数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69E866">
            <w:pPr>
              <w:jc w:val="center"/>
            </w:pPr>
            <w:r>
              <w:rPr>
                <w:rFonts w:ascii="宋体" w:hAnsi="宋体" w:eastAsia="宋体"/>
                <w:sz w:val="16"/>
              </w:rPr>
              <w:t>&gt;=4920人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9CDDA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F55FA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EBB55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F8701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B9583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C17FA5">
            <w:pPr>
              <w:jc w:val="center"/>
            </w:pPr>
            <w:r>
              <w:rPr>
                <w:rFonts w:ascii="宋体" w:hAnsi="宋体" w:eastAsia="宋体"/>
                <w:sz w:val="16"/>
              </w:rPr>
              <w:t>=4920人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C7C10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25CE5B">
            <w:pPr>
              <w:jc w:val="center"/>
            </w:pPr>
          </w:p>
        </w:tc>
      </w:tr>
      <w:tr w14:paraId="6CA979A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4139F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B81CA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39994C">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9A003A">
            <w:pPr>
              <w:jc w:val="center"/>
            </w:pPr>
            <w:r>
              <w:rPr>
                <w:rFonts w:ascii="宋体" w:hAnsi="宋体" w:eastAsia="宋体"/>
                <w:sz w:val="16"/>
              </w:rPr>
              <w:t>免费医学检查覆盖率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0F055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0B465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65F77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1A385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AE2A7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1771F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AC418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8982E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7A4554">
            <w:pPr>
              <w:jc w:val="center"/>
            </w:pPr>
          </w:p>
        </w:tc>
      </w:tr>
      <w:tr w14:paraId="3955D60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95E8F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519EA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553C0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D8F332">
            <w:pPr>
              <w:jc w:val="center"/>
            </w:pPr>
            <w:r>
              <w:rPr>
                <w:rFonts w:ascii="宋体" w:hAnsi="宋体" w:eastAsia="宋体"/>
                <w:sz w:val="16"/>
              </w:rPr>
              <w:t>妇女宫颈癌检查准确率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70CB9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FE3A3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6938E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9F689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996BF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7AE6E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050E9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F5B0D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95BF09">
            <w:pPr>
              <w:jc w:val="center"/>
            </w:pPr>
          </w:p>
        </w:tc>
      </w:tr>
      <w:tr w14:paraId="2C6BFD0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99AE2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F8D11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16F51E">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E282E4">
            <w:pPr>
              <w:jc w:val="center"/>
            </w:pPr>
            <w:r>
              <w:rPr>
                <w:rFonts w:ascii="宋体" w:hAnsi="宋体" w:eastAsia="宋体"/>
                <w:sz w:val="16"/>
              </w:rPr>
              <w:t>项目结束时间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FA4CE5">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A2B86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EF5B5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AC0EA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8ED2F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ED4C8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B05B64">
            <w:pPr>
              <w:jc w:val="center"/>
            </w:pPr>
            <w:r>
              <w:rPr>
                <w:rFonts w:ascii="宋体" w:hAnsi="宋体" w:eastAsia="宋体"/>
                <w:sz w:val="16"/>
              </w:rPr>
              <w:t>=2024年12月11日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BEC14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17E712">
            <w:pPr>
              <w:jc w:val="center"/>
            </w:pPr>
          </w:p>
        </w:tc>
      </w:tr>
      <w:tr w14:paraId="1C3A6A7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C813D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5F4ECD">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108B7D">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23FE90">
            <w:pPr>
              <w:jc w:val="center"/>
            </w:pPr>
            <w:r>
              <w:rPr>
                <w:rFonts w:ascii="宋体" w:hAnsi="宋体" w:eastAsia="宋体"/>
                <w:sz w:val="16"/>
              </w:rPr>
              <w:t>平均每人检查成本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97E2E6">
            <w:pPr>
              <w:jc w:val="center"/>
            </w:pPr>
            <w:r>
              <w:rPr>
                <w:rFonts w:ascii="宋体" w:hAnsi="宋体" w:eastAsia="宋体"/>
                <w:sz w:val="16"/>
              </w:rPr>
              <w:t>&lt;=48.9元/人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51E86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87D33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82E68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713707">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B6091F">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68A17A">
            <w:pPr>
              <w:jc w:val="center"/>
            </w:pPr>
            <w:r>
              <w:rPr>
                <w:rFonts w:ascii="宋体" w:hAnsi="宋体" w:eastAsia="宋体"/>
                <w:sz w:val="16"/>
              </w:rPr>
              <w:t>=48.9元/人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9FFFAA">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F6A597">
            <w:pPr>
              <w:jc w:val="center"/>
            </w:pPr>
          </w:p>
        </w:tc>
      </w:tr>
      <w:tr w14:paraId="648DB04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544B1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547FF69">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858A27">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D5477B">
            <w:pPr>
              <w:jc w:val="center"/>
            </w:pPr>
            <w:r>
              <w:rPr>
                <w:rFonts w:ascii="宋体" w:hAnsi="宋体" w:eastAsia="宋体"/>
                <w:sz w:val="16"/>
              </w:rPr>
              <w:t>提高全区妇女整体健康水平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FA19C9">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907E2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0A265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114A1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79FCF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A202C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23A5A9">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D7AB3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99893F">
            <w:pPr>
              <w:jc w:val="center"/>
            </w:pPr>
          </w:p>
        </w:tc>
      </w:tr>
      <w:tr w14:paraId="3995D81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ACE6F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3C66E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D5898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342C63">
            <w:pPr>
              <w:jc w:val="center"/>
            </w:pPr>
            <w:r>
              <w:rPr>
                <w:rFonts w:ascii="宋体" w:hAnsi="宋体" w:eastAsia="宋体"/>
                <w:sz w:val="16"/>
              </w:rPr>
              <w:t>政策知晓率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B51F6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E9487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51B7A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41323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C25E8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16483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B51D3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BAB9A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7B2E53">
            <w:pPr>
              <w:jc w:val="center"/>
            </w:pPr>
          </w:p>
        </w:tc>
      </w:tr>
      <w:tr w14:paraId="422E560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FAE49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477D0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3283C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1769BA">
            <w:pPr>
              <w:jc w:val="center"/>
            </w:pPr>
            <w:r>
              <w:rPr>
                <w:rFonts w:ascii="宋体" w:hAnsi="宋体" w:eastAsia="宋体"/>
                <w:sz w:val="16"/>
              </w:rPr>
              <w:t>受益妇女满意度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AAE2A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952DE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AAE4E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8F6DF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CBCFD4">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737B2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82BE9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95E6D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E5FE67">
            <w:pPr>
              <w:jc w:val="center"/>
            </w:pPr>
          </w:p>
        </w:tc>
      </w:tr>
      <w:tr w14:paraId="68A4B00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53D0AD">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9D909C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064466">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E8791A9">
            <w:pPr>
              <w:jc w:val="center"/>
            </w:pPr>
            <w:r>
              <w:rPr>
                <w:rFonts w:ascii="宋体" w:hAnsi="宋体" w:eastAsia="宋体"/>
                <w:sz w:val="16"/>
              </w:rPr>
              <w:t>100分</w:t>
            </w:r>
          </w:p>
        </w:tc>
      </w:tr>
    </w:tbl>
    <w:p w14:paraId="37C2A934">
      <w:r>
        <w:br w:type="page"/>
      </w:r>
    </w:p>
    <w:tbl>
      <w:tblPr>
        <w:tblStyle w:val="9"/>
        <w:tblW w:w="0" w:type="auto"/>
        <w:tblInd w:w="0" w:type="dxa"/>
        <w:tblLayout w:type="fixed"/>
        <w:tblCellMar>
          <w:top w:w="0" w:type="dxa"/>
          <w:left w:w="108" w:type="dxa"/>
          <w:bottom w:w="0" w:type="dxa"/>
          <w:right w:w="108" w:type="dxa"/>
        </w:tblCellMar>
      </w:tblPr>
      <w:tblGrid>
        <w:gridCol w:w="626"/>
        <w:gridCol w:w="615"/>
        <w:gridCol w:w="615"/>
        <w:gridCol w:w="811"/>
        <w:gridCol w:w="671"/>
        <w:gridCol w:w="739"/>
        <w:gridCol w:w="630"/>
        <w:gridCol w:w="492"/>
        <w:gridCol w:w="615"/>
        <w:gridCol w:w="621"/>
        <w:gridCol w:w="776"/>
        <w:gridCol w:w="630"/>
        <w:gridCol w:w="592"/>
        <w:gridCol w:w="627"/>
      </w:tblGrid>
      <w:tr w14:paraId="7300BBF7">
        <w:tblPrEx>
          <w:tblCellMar>
            <w:top w:w="0" w:type="dxa"/>
            <w:left w:w="108" w:type="dxa"/>
            <w:bottom w:w="0" w:type="dxa"/>
            <w:right w:w="108" w:type="dxa"/>
          </w:tblCellMar>
        </w:tblPrEx>
        <w:tc>
          <w:tcPr>
            <w:tcW w:w="9060" w:type="dxa"/>
            <w:gridSpan w:val="14"/>
            <w:vAlign w:val="center"/>
          </w:tcPr>
          <w:p w14:paraId="4DC66C68">
            <w:pPr>
              <w:jc w:val="center"/>
            </w:pPr>
            <w:r>
              <w:rPr>
                <w:rFonts w:ascii="宋体" w:hAnsi="宋体" w:eastAsia="宋体"/>
                <w:sz w:val="24"/>
              </w:rPr>
              <w:t>项目支出绩效自评表</w:t>
            </w:r>
          </w:p>
        </w:tc>
      </w:tr>
      <w:tr w14:paraId="4FA1E889">
        <w:tblPrEx>
          <w:tblCellMar>
            <w:top w:w="0" w:type="dxa"/>
            <w:left w:w="108" w:type="dxa"/>
            <w:bottom w:w="0" w:type="dxa"/>
            <w:right w:w="108" w:type="dxa"/>
          </w:tblCellMar>
        </w:tblPrEx>
        <w:tc>
          <w:tcPr>
            <w:tcW w:w="9060" w:type="dxa"/>
            <w:gridSpan w:val="14"/>
            <w:vAlign w:val="center"/>
          </w:tcPr>
          <w:p w14:paraId="68D2CE8A">
            <w:pPr>
              <w:jc w:val="center"/>
            </w:pPr>
            <w:r>
              <w:rPr>
                <w:rFonts w:ascii="宋体" w:hAnsi="宋体" w:eastAsia="宋体"/>
                <w:sz w:val="24"/>
              </w:rPr>
              <w:t>(2024年度)</w:t>
            </w:r>
          </w:p>
        </w:tc>
      </w:tr>
      <w:tr w14:paraId="6A0EA78C">
        <w:tblPrEx>
          <w:tblCellMar>
            <w:top w:w="0" w:type="dxa"/>
            <w:left w:w="108" w:type="dxa"/>
            <w:bottom w:w="0" w:type="dxa"/>
            <w:right w:w="108" w:type="dxa"/>
          </w:tblCellMar>
        </w:tblPrEx>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3D3D8DF2">
            <w:pPr>
              <w:jc w:val="center"/>
            </w:pPr>
            <w:r>
              <w:rPr>
                <w:rFonts w:ascii="宋体" w:hAnsi="宋体" w:eastAsia="宋体"/>
                <w:sz w:val="16"/>
              </w:rPr>
              <w:t>项目名称</w:t>
            </w:r>
          </w:p>
        </w:tc>
        <w:tc>
          <w:tcPr>
            <w:tcW w:w="8434"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C2415EF">
            <w:pPr>
              <w:jc w:val="center"/>
            </w:pPr>
            <w:r>
              <w:rPr>
                <w:rFonts w:ascii="宋体" w:hAnsi="宋体" w:eastAsia="宋体"/>
                <w:sz w:val="16"/>
              </w:rPr>
              <w:t>麦盖提县妇幼健康“春风工程”项目</w:t>
            </w:r>
          </w:p>
        </w:tc>
      </w:tr>
      <w:tr w14:paraId="3E89807A">
        <w:tblPrEx>
          <w:tblCellMar>
            <w:top w:w="0" w:type="dxa"/>
            <w:left w:w="108" w:type="dxa"/>
            <w:bottom w:w="0" w:type="dxa"/>
            <w:right w:w="108" w:type="dxa"/>
          </w:tblCellMar>
        </w:tblPrEx>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653E1499">
            <w:pPr>
              <w:jc w:val="center"/>
            </w:pPr>
            <w:r>
              <w:rPr>
                <w:rFonts w:ascii="宋体" w:hAnsi="宋体" w:eastAsia="宋体"/>
                <w:sz w:val="16"/>
              </w:rPr>
              <w:t>主管部门</w:t>
            </w:r>
          </w:p>
        </w:tc>
        <w:tc>
          <w:tcPr>
            <w:tcW w:w="457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3A38093">
            <w:pPr>
              <w:jc w:val="center"/>
            </w:pPr>
            <w:r>
              <w:rPr>
                <w:rFonts w:ascii="宋体" w:hAnsi="宋体" w:eastAsia="宋体"/>
                <w:sz w:val="16"/>
              </w:rPr>
              <w:t>麦盖提县妇幼保健计划生育服务中心</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42894889">
            <w:pPr>
              <w:jc w:val="center"/>
            </w:pPr>
            <w:r>
              <w:rPr>
                <w:rFonts w:ascii="宋体" w:hAnsi="宋体" w:eastAsia="宋体"/>
                <w:sz w:val="16"/>
              </w:rPr>
              <w:t>实施单位</w:t>
            </w:r>
          </w:p>
        </w:tc>
        <w:tc>
          <w:tcPr>
            <w:tcW w:w="3246"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3ABDAD9">
            <w:pPr>
              <w:jc w:val="center"/>
            </w:pPr>
            <w:r>
              <w:rPr>
                <w:rFonts w:ascii="宋体" w:hAnsi="宋体" w:eastAsia="宋体"/>
                <w:sz w:val="16"/>
              </w:rPr>
              <w:t>麦盖提县妇幼保健计划生育服务中心</w:t>
            </w:r>
          </w:p>
        </w:tc>
      </w:tr>
      <w:tr w14:paraId="0DF790F2">
        <w:tblPrEx>
          <w:tblCellMar>
            <w:top w:w="0" w:type="dxa"/>
            <w:left w:w="108" w:type="dxa"/>
            <w:bottom w:w="0" w:type="dxa"/>
            <w:right w:w="108" w:type="dxa"/>
          </w:tblCellMar>
        </w:tblPrEx>
        <w:tc>
          <w:tcPr>
            <w:tcW w:w="62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118356">
            <w:pPr>
              <w:jc w:val="center"/>
            </w:pPr>
            <w:r>
              <w:rPr>
                <w:rFonts w:ascii="宋体" w:hAnsi="宋体" w:eastAsia="宋体"/>
                <w:sz w:val="16"/>
              </w:rPr>
              <w:t>项目资金 （万元）</w:t>
            </w:r>
          </w:p>
        </w:tc>
        <w:tc>
          <w:tcPr>
            <w:tcW w:w="123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86E43F">
            <w:pPr>
              <w:jc w:val="center"/>
            </w:pPr>
          </w:p>
        </w:tc>
        <w:tc>
          <w:tcPr>
            <w:tcW w:w="148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D02702">
            <w:pPr>
              <w:jc w:val="center"/>
            </w:pPr>
            <w:r>
              <w:rPr>
                <w:rFonts w:ascii="宋体" w:hAnsi="宋体" w:eastAsia="宋体"/>
                <w:sz w:val="16"/>
              </w:rPr>
              <w:t>年初预算数</w:t>
            </w:r>
          </w:p>
        </w:tc>
        <w:tc>
          <w:tcPr>
            <w:tcW w:w="136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68D8B4">
            <w:pPr>
              <w:jc w:val="center"/>
            </w:pPr>
            <w:r>
              <w:rPr>
                <w:rFonts w:ascii="宋体" w:hAnsi="宋体" w:eastAsia="宋体"/>
                <w:sz w:val="16"/>
              </w:rPr>
              <w:t>全年预算数</w:t>
            </w:r>
          </w:p>
        </w:tc>
        <w:tc>
          <w:tcPr>
            <w:tcW w:w="110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6E1186">
            <w:pPr>
              <w:jc w:val="center"/>
            </w:pPr>
            <w:r>
              <w:rPr>
                <w:rFonts w:ascii="宋体" w:hAnsi="宋体" w:eastAsia="宋体"/>
                <w:sz w:val="16"/>
              </w:rPr>
              <w:t>全年执行数</w:t>
            </w:r>
          </w:p>
        </w:tc>
        <w:tc>
          <w:tcPr>
            <w:tcW w:w="139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25DEC4">
            <w:pPr>
              <w:jc w:val="center"/>
            </w:pPr>
            <w:r>
              <w:rPr>
                <w:rFonts w:ascii="宋体" w:hAnsi="宋体" w:eastAsia="宋体"/>
                <w:sz w:val="16"/>
              </w:rPr>
              <w:t>分值</w:t>
            </w:r>
          </w:p>
        </w:tc>
        <w:tc>
          <w:tcPr>
            <w:tcW w:w="122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72A0AA">
            <w:pPr>
              <w:jc w:val="center"/>
            </w:pPr>
            <w:r>
              <w:rPr>
                <w:rFonts w:ascii="宋体" w:hAnsi="宋体" w:eastAsia="宋体"/>
                <w:sz w:val="16"/>
              </w:rPr>
              <w:t>执行率</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14:paraId="315EF769">
            <w:pPr>
              <w:jc w:val="center"/>
            </w:pPr>
            <w:r>
              <w:rPr>
                <w:rFonts w:ascii="宋体" w:hAnsi="宋体" w:eastAsia="宋体"/>
                <w:sz w:val="16"/>
              </w:rPr>
              <w:t>得分</w:t>
            </w:r>
          </w:p>
        </w:tc>
      </w:tr>
      <w:tr w14:paraId="17A8C60F">
        <w:tblPrEx>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14:paraId="0AC77D0D"/>
        </w:tc>
        <w:tc>
          <w:tcPr>
            <w:tcW w:w="123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EB9701">
            <w:pPr>
              <w:jc w:val="center"/>
            </w:pPr>
            <w:r>
              <w:rPr>
                <w:rFonts w:ascii="宋体" w:hAnsi="宋体" w:eastAsia="宋体"/>
                <w:sz w:val="16"/>
              </w:rPr>
              <w:t>年度资金总额</w:t>
            </w:r>
          </w:p>
        </w:tc>
        <w:tc>
          <w:tcPr>
            <w:tcW w:w="148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3ADFED">
            <w:pPr>
              <w:jc w:val="center"/>
            </w:pPr>
            <w:r>
              <w:rPr>
                <w:rFonts w:ascii="宋体" w:hAnsi="宋体" w:eastAsia="宋体"/>
                <w:sz w:val="16"/>
              </w:rPr>
              <w:t>200.00</w:t>
            </w:r>
          </w:p>
        </w:tc>
        <w:tc>
          <w:tcPr>
            <w:tcW w:w="136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2F7B0D">
            <w:pPr>
              <w:jc w:val="center"/>
            </w:pPr>
            <w:r>
              <w:rPr>
                <w:rFonts w:ascii="宋体" w:hAnsi="宋体" w:eastAsia="宋体"/>
                <w:sz w:val="16"/>
              </w:rPr>
              <w:t>200.00</w:t>
            </w:r>
          </w:p>
        </w:tc>
        <w:tc>
          <w:tcPr>
            <w:tcW w:w="110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5A9AEA">
            <w:pPr>
              <w:jc w:val="center"/>
            </w:pPr>
            <w:r>
              <w:rPr>
                <w:rFonts w:ascii="宋体" w:hAnsi="宋体" w:eastAsia="宋体"/>
                <w:sz w:val="16"/>
              </w:rPr>
              <w:t>196.79</w:t>
            </w:r>
          </w:p>
        </w:tc>
        <w:tc>
          <w:tcPr>
            <w:tcW w:w="139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B7F2B2">
            <w:pPr>
              <w:jc w:val="center"/>
            </w:pPr>
            <w:r>
              <w:rPr>
                <w:rFonts w:ascii="宋体" w:hAnsi="宋体" w:eastAsia="宋体"/>
                <w:sz w:val="16"/>
              </w:rPr>
              <w:t>10</w:t>
            </w:r>
          </w:p>
        </w:tc>
        <w:tc>
          <w:tcPr>
            <w:tcW w:w="122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2EE068">
            <w:pPr>
              <w:jc w:val="center"/>
            </w:pPr>
            <w:r>
              <w:rPr>
                <w:rFonts w:ascii="宋体" w:hAnsi="宋体" w:eastAsia="宋体"/>
                <w:sz w:val="16"/>
              </w:rPr>
              <w:t>98.4%</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14:paraId="2F3E2D6D">
            <w:pPr>
              <w:jc w:val="center"/>
            </w:pPr>
            <w:r>
              <w:rPr>
                <w:rFonts w:ascii="宋体" w:hAnsi="宋体" w:eastAsia="宋体"/>
                <w:sz w:val="16"/>
              </w:rPr>
              <w:t>9.60分</w:t>
            </w:r>
          </w:p>
        </w:tc>
      </w:tr>
      <w:tr w14:paraId="4F51D602">
        <w:tblPrEx>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14:paraId="7BC28A5E"/>
        </w:tc>
        <w:tc>
          <w:tcPr>
            <w:tcW w:w="123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AD5653">
            <w:pPr>
              <w:jc w:val="center"/>
            </w:pPr>
            <w:r>
              <w:rPr>
                <w:rFonts w:ascii="宋体" w:hAnsi="宋体" w:eastAsia="宋体"/>
                <w:sz w:val="16"/>
              </w:rPr>
              <w:t>其中：当年财政拨款</w:t>
            </w:r>
          </w:p>
        </w:tc>
        <w:tc>
          <w:tcPr>
            <w:tcW w:w="148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9A2FD9">
            <w:pPr>
              <w:jc w:val="center"/>
            </w:pPr>
            <w:r>
              <w:rPr>
                <w:rFonts w:ascii="宋体" w:hAnsi="宋体" w:eastAsia="宋体"/>
                <w:sz w:val="16"/>
              </w:rPr>
              <w:t>0.00</w:t>
            </w:r>
          </w:p>
        </w:tc>
        <w:tc>
          <w:tcPr>
            <w:tcW w:w="136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3ED386">
            <w:pPr>
              <w:jc w:val="center"/>
            </w:pPr>
            <w:r>
              <w:rPr>
                <w:rFonts w:ascii="宋体" w:hAnsi="宋体" w:eastAsia="宋体"/>
                <w:sz w:val="16"/>
              </w:rPr>
              <w:t>0.00</w:t>
            </w:r>
          </w:p>
        </w:tc>
        <w:tc>
          <w:tcPr>
            <w:tcW w:w="110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8A6822">
            <w:pPr>
              <w:jc w:val="center"/>
            </w:pPr>
            <w:r>
              <w:rPr>
                <w:rFonts w:ascii="宋体" w:hAnsi="宋体" w:eastAsia="宋体"/>
                <w:sz w:val="16"/>
              </w:rPr>
              <w:t>0.00</w:t>
            </w:r>
          </w:p>
        </w:tc>
        <w:tc>
          <w:tcPr>
            <w:tcW w:w="139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BCC911">
            <w:pPr>
              <w:jc w:val="center"/>
            </w:pPr>
            <w:r>
              <w:rPr>
                <w:rFonts w:ascii="宋体" w:hAnsi="宋体" w:eastAsia="宋体"/>
                <w:sz w:val="16"/>
              </w:rPr>
              <w:t>—</w:t>
            </w:r>
          </w:p>
        </w:tc>
        <w:tc>
          <w:tcPr>
            <w:tcW w:w="122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CC0ECF">
            <w:pPr>
              <w:jc w:val="center"/>
            </w:pPr>
            <w:r>
              <w:rPr>
                <w:rFonts w:ascii="宋体" w:hAnsi="宋体" w:eastAsia="宋体"/>
                <w:sz w:val="16"/>
              </w:rPr>
              <w:t>—</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14:paraId="28BB02E1">
            <w:pPr>
              <w:jc w:val="center"/>
            </w:pPr>
            <w:r>
              <w:rPr>
                <w:rFonts w:ascii="宋体" w:hAnsi="宋体" w:eastAsia="宋体"/>
                <w:sz w:val="16"/>
              </w:rPr>
              <w:t>—</w:t>
            </w:r>
          </w:p>
        </w:tc>
      </w:tr>
      <w:tr w14:paraId="3238C625">
        <w:tblPrEx>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14:paraId="77EFEE11"/>
        </w:tc>
        <w:tc>
          <w:tcPr>
            <w:tcW w:w="123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95A271">
            <w:pPr>
              <w:jc w:val="center"/>
            </w:pPr>
            <w:r>
              <w:rPr>
                <w:rFonts w:ascii="宋体" w:hAnsi="宋体" w:eastAsia="宋体"/>
                <w:sz w:val="16"/>
              </w:rPr>
              <w:t xml:space="preserve">  其他资金</w:t>
            </w:r>
          </w:p>
        </w:tc>
        <w:tc>
          <w:tcPr>
            <w:tcW w:w="148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9F9AE0">
            <w:pPr>
              <w:jc w:val="center"/>
            </w:pPr>
            <w:r>
              <w:rPr>
                <w:rFonts w:ascii="宋体" w:hAnsi="宋体" w:eastAsia="宋体"/>
                <w:sz w:val="16"/>
              </w:rPr>
              <w:t>200.00</w:t>
            </w:r>
          </w:p>
        </w:tc>
        <w:tc>
          <w:tcPr>
            <w:tcW w:w="136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C1A242">
            <w:pPr>
              <w:jc w:val="center"/>
            </w:pPr>
            <w:r>
              <w:rPr>
                <w:rFonts w:ascii="宋体" w:hAnsi="宋体" w:eastAsia="宋体"/>
                <w:sz w:val="16"/>
              </w:rPr>
              <w:t>200.00</w:t>
            </w:r>
          </w:p>
        </w:tc>
        <w:tc>
          <w:tcPr>
            <w:tcW w:w="110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60A0CF">
            <w:pPr>
              <w:jc w:val="center"/>
            </w:pPr>
            <w:r>
              <w:rPr>
                <w:rFonts w:ascii="宋体" w:hAnsi="宋体" w:eastAsia="宋体"/>
                <w:sz w:val="16"/>
              </w:rPr>
              <w:t>196.79</w:t>
            </w:r>
          </w:p>
        </w:tc>
        <w:tc>
          <w:tcPr>
            <w:tcW w:w="139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86BD1D">
            <w:pPr>
              <w:jc w:val="center"/>
            </w:pPr>
            <w:r>
              <w:rPr>
                <w:rFonts w:ascii="宋体" w:hAnsi="宋体" w:eastAsia="宋体"/>
                <w:sz w:val="16"/>
              </w:rPr>
              <w:t>—</w:t>
            </w:r>
          </w:p>
        </w:tc>
        <w:tc>
          <w:tcPr>
            <w:tcW w:w="122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48B450">
            <w:pPr>
              <w:jc w:val="center"/>
            </w:pPr>
            <w:r>
              <w:rPr>
                <w:rFonts w:ascii="宋体" w:hAnsi="宋体" w:eastAsia="宋体"/>
                <w:sz w:val="16"/>
              </w:rPr>
              <w:t>—</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14:paraId="68AC35B7">
            <w:pPr>
              <w:jc w:val="center"/>
            </w:pPr>
            <w:r>
              <w:rPr>
                <w:rFonts w:ascii="宋体" w:hAnsi="宋体" w:eastAsia="宋体"/>
                <w:sz w:val="16"/>
              </w:rPr>
              <w:t>—</w:t>
            </w:r>
          </w:p>
        </w:tc>
      </w:tr>
      <w:tr w14:paraId="2BD12F55">
        <w:tblPrEx>
          <w:tblCellMar>
            <w:top w:w="0" w:type="dxa"/>
            <w:left w:w="108" w:type="dxa"/>
            <w:bottom w:w="0" w:type="dxa"/>
            <w:right w:w="108" w:type="dxa"/>
          </w:tblCellMar>
        </w:tblPrEx>
        <w:tc>
          <w:tcPr>
            <w:tcW w:w="62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A70758">
            <w:pPr>
              <w:jc w:val="center"/>
            </w:pPr>
            <w:r>
              <w:rPr>
                <w:rFonts w:ascii="宋体" w:hAnsi="宋体" w:eastAsia="宋体"/>
                <w:sz w:val="16"/>
              </w:rPr>
              <w:t>三、目标完成情况</w:t>
            </w:r>
          </w:p>
        </w:tc>
        <w:tc>
          <w:tcPr>
            <w:tcW w:w="457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338B046">
            <w:pPr>
              <w:jc w:val="center"/>
            </w:pPr>
            <w:r>
              <w:rPr>
                <w:rFonts w:ascii="宋体" w:hAnsi="宋体" w:eastAsia="宋体"/>
                <w:sz w:val="16"/>
              </w:rPr>
              <w:t>预期目标</w:t>
            </w:r>
          </w:p>
        </w:tc>
        <w:tc>
          <w:tcPr>
            <w:tcW w:w="3861"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6290697">
            <w:pPr>
              <w:jc w:val="center"/>
            </w:pPr>
            <w:r>
              <w:rPr>
                <w:rFonts w:ascii="宋体" w:hAnsi="宋体" w:eastAsia="宋体"/>
                <w:sz w:val="16"/>
              </w:rPr>
              <w:t>实际完成情况</w:t>
            </w:r>
          </w:p>
        </w:tc>
      </w:tr>
      <w:tr w14:paraId="4D6D4142">
        <w:tblPrEx>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14:paraId="7E3AA3F7"/>
        </w:tc>
        <w:tc>
          <w:tcPr>
            <w:tcW w:w="457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8BD3EB5">
            <w:pPr>
              <w:jc w:val="both"/>
            </w:pPr>
            <w:r>
              <w:rPr>
                <w:rFonts w:ascii="宋体" w:hAnsi="宋体" w:eastAsia="宋体"/>
                <w:sz w:val="16"/>
              </w:rPr>
              <w:t>本项目计划投资为200万元，主要用于一是唐筛、无创、血常规、微量元素、营养评估、心脏彩超、B超、婚检、甲功、黄疸、骨密度等项目的免费检测，预计检测人数不少于13015人。二是完成发放1名危重症儿童及3名孕产妇补助。项目的实施降低出生缺陷率，提高群众自我保健意识和技能，持续提高妇女儿童健康服务能力。</w:t>
            </w:r>
          </w:p>
        </w:tc>
        <w:tc>
          <w:tcPr>
            <w:tcW w:w="3861"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781FDCB">
            <w:pPr>
              <w:jc w:val="both"/>
            </w:pPr>
            <w:r>
              <w:rPr>
                <w:rFonts w:hint="eastAsia" w:ascii="宋体" w:hAnsi="宋体"/>
                <w:sz w:val="16"/>
                <w:lang w:eastAsia="zh-CN"/>
              </w:rPr>
              <w:t>截至</w:t>
            </w:r>
            <w:r>
              <w:rPr>
                <w:rFonts w:ascii="宋体" w:hAnsi="宋体" w:eastAsia="宋体"/>
                <w:sz w:val="16"/>
              </w:rPr>
              <w:t>自评日，本项目已支出金额为196.79万元，一是已检查唐筛1860人、无创735人、血常规868人、微量元素847人、营养评估865人、心脏彩超932人、B超检查3926人、婚检1248对人、甲功7人、</w:t>
            </w:r>
            <w:r>
              <w:rPr>
                <w:rFonts w:hint="eastAsia" w:ascii="宋体" w:hAnsi="宋体"/>
                <w:sz w:val="16"/>
                <w:lang w:eastAsia="zh-CN"/>
              </w:rPr>
              <w:t>黄疸</w:t>
            </w:r>
            <w:r>
              <w:rPr>
                <w:rFonts w:ascii="宋体" w:hAnsi="宋体" w:eastAsia="宋体"/>
                <w:sz w:val="16"/>
              </w:rPr>
              <w:t>1人、骨密度478人，合计13015人。二是已完成发放1名危重症儿童及3名孕产妇补助。项目的实施降低了出生缺陷率，提高了群众自我保健意识和技能，持续提高了妇女儿童健康服务能力。</w:t>
            </w:r>
          </w:p>
        </w:tc>
      </w:tr>
      <w:tr w14:paraId="54B98ADB">
        <w:tblPrEx>
          <w:tblCellMar>
            <w:top w:w="0" w:type="dxa"/>
            <w:left w:w="108" w:type="dxa"/>
            <w:bottom w:w="0" w:type="dxa"/>
            <w:right w:w="108" w:type="dxa"/>
          </w:tblCellMar>
        </w:tblPrEx>
        <w:tc>
          <w:tcPr>
            <w:tcW w:w="626" w:type="dxa"/>
            <w:tcBorders>
              <w:top w:val="single" w:color="auto" w:sz="10" w:space="0"/>
              <w:left w:val="single" w:color="auto" w:sz="10" w:space="0"/>
              <w:bottom w:val="single" w:color="auto" w:sz="10" w:space="0"/>
              <w:right w:val="single" w:color="auto" w:sz="10" w:space="0"/>
              <w:insideV w:val="single" w:sz="10" w:space="0"/>
            </w:tcBorders>
          </w:tcPr>
          <w:p w14:paraId="78377136"/>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5E309272">
            <w:pPr>
              <w:jc w:val="center"/>
            </w:pPr>
            <w:r>
              <w:rPr>
                <w:rFonts w:ascii="宋体" w:hAnsi="宋体" w:eastAsia="宋体"/>
                <w:sz w:val="16"/>
              </w:rPr>
              <w:t>一级指标</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11EBD7B8">
            <w:pPr>
              <w:jc w:val="center"/>
            </w:pPr>
            <w:r>
              <w:rPr>
                <w:rFonts w:ascii="宋体" w:hAnsi="宋体" w:eastAsia="宋体"/>
                <w:sz w:val="16"/>
              </w:rPr>
              <w:t>二级指标</w:t>
            </w:r>
          </w:p>
        </w:tc>
        <w:tc>
          <w:tcPr>
            <w:tcW w:w="811" w:type="dxa"/>
            <w:tcBorders>
              <w:top w:val="single" w:color="auto" w:sz="10" w:space="0"/>
              <w:left w:val="single" w:color="auto" w:sz="10" w:space="0"/>
              <w:bottom w:val="single" w:color="auto" w:sz="10" w:space="0"/>
              <w:right w:val="single" w:color="auto" w:sz="10" w:space="0"/>
              <w:insideV w:val="single" w:sz="10" w:space="0"/>
            </w:tcBorders>
            <w:vAlign w:val="center"/>
          </w:tcPr>
          <w:p w14:paraId="5C8D5287">
            <w:pPr>
              <w:jc w:val="center"/>
            </w:pPr>
            <w:r>
              <w:rPr>
                <w:rFonts w:ascii="宋体" w:hAnsi="宋体" w:eastAsia="宋体"/>
                <w:sz w:val="16"/>
              </w:rPr>
              <w:t>三级指标</w:t>
            </w:r>
          </w:p>
        </w:tc>
        <w:tc>
          <w:tcPr>
            <w:tcW w:w="671" w:type="dxa"/>
            <w:tcBorders>
              <w:top w:val="single" w:color="auto" w:sz="10" w:space="0"/>
              <w:left w:val="single" w:color="auto" w:sz="10" w:space="0"/>
              <w:bottom w:val="single" w:color="auto" w:sz="10" w:space="0"/>
              <w:right w:val="single" w:color="auto" w:sz="10" w:space="0"/>
              <w:insideV w:val="single" w:sz="10" w:space="0"/>
            </w:tcBorders>
            <w:vAlign w:val="center"/>
          </w:tcPr>
          <w:p w14:paraId="187D99D1">
            <w:pPr>
              <w:jc w:val="center"/>
            </w:pPr>
            <w:r>
              <w:rPr>
                <w:rFonts w:ascii="宋体" w:hAnsi="宋体" w:eastAsia="宋体"/>
                <w:sz w:val="16"/>
              </w:rPr>
              <w:t>年度指标值</w:t>
            </w:r>
          </w:p>
        </w:tc>
        <w:tc>
          <w:tcPr>
            <w:tcW w:w="739" w:type="dxa"/>
            <w:tcBorders>
              <w:top w:val="single" w:color="auto" w:sz="10" w:space="0"/>
              <w:left w:val="single" w:color="auto" w:sz="10" w:space="0"/>
              <w:bottom w:val="single" w:color="auto" w:sz="10" w:space="0"/>
              <w:right w:val="single" w:color="auto" w:sz="10" w:space="0"/>
              <w:insideV w:val="single" w:sz="10" w:space="0"/>
            </w:tcBorders>
            <w:vAlign w:val="center"/>
          </w:tcPr>
          <w:p w14:paraId="7A6CD3DD">
            <w:pPr>
              <w:jc w:val="center"/>
            </w:pPr>
            <w:r>
              <w:rPr>
                <w:rFonts w:ascii="宋体" w:hAnsi="宋体" w:eastAsia="宋体"/>
                <w:sz w:val="16"/>
              </w:rPr>
              <w:t>指标值设定依据</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14:paraId="4AC2C933">
            <w:pPr>
              <w:jc w:val="center"/>
            </w:pPr>
            <w:r>
              <w:rPr>
                <w:rFonts w:ascii="宋体" w:hAnsi="宋体" w:eastAsia="宋体"/>
                <w:sz w:val="16"/>
              </w:rPr>
              <w:t>上年完成情况</w:t>
            </w:r>
          </w:p>
        </w:tc>
        <w:tc>
          <w:tcPr>
            <w:tcW w:w="492" w:type="dxa"/>
            <w:tcBorders>
              <w:top w:val="single" w:color="auto" w:sz="10" w:space="0"/>
              <w:left w:val="single" w:color="auto" w:sz="10" w:space="0"/>
              <w:bottom w:val="single" w:color="auto" w:sz="10" w:space="0"/>
              <w:right w:val="single" w:color="auto" w:sz="10" w:space="0"/>
              <w:insideV w:val="single" w:sz="10" w:space="0"/>
            </w:tcBorders>
            <w:vAlign w:val="center"/>
          </w:tcPr>
          <w:p w14:paraId="66A99F37">
            <w:pPr>
              <w:jc w:val="center"/>
            </w:pPr>
            <w:r>
              <w:rPr>
                <w:rFonts w:ascii="宋体" w:hAnsi="宋体" w:eastAsia="宋体"/>
                <w:sz w:val="16"/>
              </w:rPr>
              <w:t>权重</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3AA5A77D">
            <w:pPr>
              <w:jc w:val="center"/>
            </w:pPr>
            <w:r>
              <w:rPr>
                <w:rFonts w:ascii="宋体" w:hAnsi="宋体" w:eastAsia="宋体"/>
                <w:sz w:val="16"/>
              </w:rPr>
              <w:t>赋分规则</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14:paraId="00F64544">
            <w:pPr>
              <w:jc w:val="center"/>
            </w:pPr>
            <w:r>
              <w:rPr>
                <w:rFonts w:ascii="宋体" w:hAnsi="宋体" w:eastAsia="宋体"/>
                <w:sz w:val="16"/>
              </w:rPr>
              <w:t>佐证资料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18B521CA">
            <w:pPr>
              <w:jc w:val="center"/>
            </w:pPr>
            <w:r>
              <w:rPr>
                <w:rFonts w:ascii="宋体" w:hAnsi="宋体" w:eastAsia="宋体"/>
                <w:sz w:val="16"/>
              </w:rPr>
              <w:t>实际完成值</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14:paraId="6AAAF792">
            <w:pPr>
              <w:jc w:val="center"/>
            </w:pPr>
            <w:r>
              <w:rPr>
                <w:rFonts w:ascii="宋体" w:hAnsi="宋体" w:eastAsia="宋体"/>
                <w:sz w:val="16"/>
              </w:rPr>
              <w:t>得分</w:t>
            </w:r>
          </w:p>
        </w:tc>
        <w:tc>
          <w:tcPr>
            <w:tcW w:w="121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532375">
            <w:pPr>
              <w:jc w:val="center"/>
            </w:pPr>
            <w:r>
              <w:rPr>
                <w:rFonts w:ascii="宋体" w:hAnsi="宋体" w:eastAsia="宋体"/>
                <w:sz w:val="16"/>
              </w:rPr>
              <w:t>偏差原因分析及改进措施</w:t>
            </w:r>
          </w:p>
        </w:tc>
      </w:tr>
      <w:tr w14:paraId="729282CF">
        <w:tblPrEx>
          <w:tblCellMar>
            <w:top w:w="0" w:type="dxa"/>
            <w:left w:w="108" w:type="dxa"/>
            <w:bottom w:w="0" w:type="dxa"/>
            <w:right w:w="108" w:type="dxa"/>
          </w:tblCellMar>
        </w:tblPrEx>
        <w:tc>
          <w:tcPr>
            <w:tcW w:w="62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78A746">
            <w:pPr>
              <w:jc w:val="center"/>
            </w:pPr>
            <w:r>
              <w:rPr>
                <w:rFonts w:ascii="宋体" w:hAnsi="宋体" w:eastAsia="宋体"/>
                <w:sz w:val="16"/>
              </w:rPr>
              <w:t>年度绩效指标完成情况</w:t>
            </w:r>
          </w:p>
        </w:tc>
        <w:tc>
          <w:tcPr>
            <w:tcW w:w="61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796CDF">
            <w:pPr>
              <w:jc w:val="center"/>
            </w:pPr>
            <w:r>
              <w:rPr>
                <w:rFonts w:ascii="宋体" w:hAnsi="宋体" w:eastAsia="宋体"/>
                <w:sz w:val="16"/>
              </w:rPr>
              <w:t>产出指标</w:t>
            </w:r>
          </w:p>
        </w:tc>
        <w:tc>
          <w:tcPr>
            <w:tcW w:w="61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E7F75C">
            <w:pPr>
              <w:jc w:val="center"/>
            </w:pPr>
            <w:r>
              <w:rPr>
                <w:rFonts w:ascii="宋体" w:hAnsi="宋体" w:eastAsia="宋体"/>
                <w:sz w:val="16"/>
              </w:rPr>
              <w:t>数量指标</w:t>
            </w:r>
          </w:p>
        </w:tc>
        <w:tc>
          <w:tcPr>
            <w:tcW w:w="811" w:type="dxa"/>
            <w:tcBorders>
              <w:top w:val="single" w:color="auto" w:sz="10" w:space="0"/>
              <w:left w:val="single" w:color="auto" w:sz="10" w:space="0"/>
              <w:bottom w:val="single" w:color="auto" w:sz="10" w:space="0"/>
              <w:right w:val="single" w:color="auto" w:sz="10" w:space="0"/>
              <w:insideV w:val="single" w:sz="10" w:space="0"/>
            </w:tcBorders>
            <w:vAlign w:val="center"/>
          </w:tcPr>
          <w:p w14:paraId="0F068B0C">
            <w:pPr>
              <w:jc w:val="center"/>
            </w:pPr>
            <w:r>
              <w:rPr>
                <w:rFonts w:ascii="宋体" w:hAnsi="宋体" w:eastAsia="宋体"/>
                <w:sz w:val="16"/>
              </w:rPr>
              <w:t>孕妇、儿童、婚前免费检查人数</w:t>
            </w:r>
          </w:p>
        </w:tc>
        <w:tc>
          <w:tcPr>
            <w:tcW w:w="671" w:type="dxa"/>
            <w:tcBorders>
              <w:top w:val="single" w:color="auto" w:sz="10" w:space="0"/>
              <w:left w:val="single" w:color="auto" w:sz="10" w:space="0"/>
              <w:bottom w:val="single" w:color="auto" w:sz="10" w:space="0"/>
              <w:right w:val="single" w:color="auto" w:sz="10" w:space="0"/>
              <w:insideV w:val="single" w:sz="10" w:space="0"/>
            </w:tcBorders>
            <w:vAlign w:val="center"/>
          </w:tcPr>
          <w:p w14:paraId="2F164FE6">
            <w:pPr>
              <w:jc w:val="center"/>
            </w:pPr>
            <w:r>
              <w:rPr>
                <w:rFonts w:ascii="宋体" w:hAnsi="宋体" w:eastAsia="宋体"/>
                <w:sz w:val="16"/>
              </w:rPr>
              <w:t>&gt;=13015人</w:t>
            </w:r>
          </w:p>
        </w:tc>
        <w:tc>
          <w:tcPr>
            <w:tcW w:w="739" w:type="dxa"/>
            <w:tcBorders>
              <w:top w:val="single" w:color="auto" w:sz="10" w:space="0"/>
              <w:left w:val="single" w:color="auto" w:sz="10" w:space="0"/>
              <w:bottom w:val="single" w:color="auto" w:sz="10" w:space="0"/>
              <w:right w:val="single" w:color="auto" w:sz="10" w:space="0"/>
              <w:insideV w:val="single" w:sz="10" w:space="0"/>
            </w:tcBorders>
            <w:vAlign w:val="center"/>
          </w:tcPr>
          <w:p w14:paraId="1FE88C05">
            <w:pPr>
              <w:jc w:val="center"/>
            </w:pPr>
            <w:r>
              <w:rPr>
                <w:rFonts w:ascii="宋体" w:hAnsi="宋体" w:eastAsia="宋体"/>
                <w:sz w:val="16"/>
              </w:rPr>
              <w:t>计划标准</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14:paraId="17EC735B">
            <w:pPr>
              <w:jc w:val="center"/>
            </w:pPr>
            <w:r>
              <w:rPr>
                <w:rFonts w:ascii="宋体" w:hAnsi="宋体" w:eastAsia="宋体"/>
                <w:sz w:val="16"/>
              </w:rPr>
              <w:t>8846人</w:t>
            </w:r>
          </w:p>
        </w:tc>
        <w:tc>
          <w:tcPr>
            <w:tcW w:w="492" w:type="dxa"/>
            <w:tcBorders>
              <w:top w:val="single" w:color="auto" w:sz="10" w:space="0"/>
              <w:left w:val="single" w:color="auto" w:sz="10" w:space="0"/>
              <w:bottom w:val="single" w:color="auto" w:sz="10" w:space="0"/>
              <w:right w:val="single" w:color="auto" w:sz="10" w:space="0"/>
              <w:insideV w:val="single" w:sz="10" w:space="0"/>
            </w:tcBorders>
            <w:vAlign w:val="center"/>
          </w:tcPr>
          <w:p w14:paraId="53121F53">
            <w:pPr>
              <w:jc w:val="center"/>
            </w:pPr>
            <w:r>
              <w:rPr>
                <w:rFonts w:ascii="宋体" w:hAnsi="宋体" w:eastAsia="宋体"/>
                <w:sz w:val="16"/>
              </w:rPr>
              <w:t>8</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17A57A64">
            <w:pPr>
              <w:jc w:val="center"/>
            </w:pPr>
            <w:r>
              <w:rPr>
                <w:rFonts w:ascii="宋体" w:hAnsi="宋体" w:eastAsia="宋体"/>
                <w:sz w:val="16"/>
              </w:rPr>
              <w:t>按照完成比例赋分</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14:paraId="45DDC6BA">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0ED74490">
            <w:pPr>
              <w:jc w:val="center"/>
            </w:pPr>
            <w:r>
              <w:rPr>
                <w:rFonts w:ascii="宋体" w:hAnsi="宋体" w:eastAsia="宋体"/>
                <w:sz w:val="16"/>
              </w:rPr>
              <w:t>=13015人</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14:paraId="1F3C067E">
            <w:pPr>
              <w:jc w:val="center"/>
            </w:pPr>
            <w:r>
              <w:rPr>
                <w:rFonts w:ascii="宋体" w:hAnsi="宋体" w:eastAsia="宋体"/>
                <w:sz w:val="16"/>
              </w:rPr>
              <w:t>8</w:t>
            </w:r>
          </w:p>
        </w:tc>
        <w:tc>
          <w:tcPr>
            <w:tcW w:w="121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B0E3BC">
            <w:pPr>
              <w:jc w:val="center"/>
            </w:pPr>
          </w:p>
        </w:tc>
      </w:tr>
      <w:tr w14:paraId="5BB45A93">
        <w:tblPrEx>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14:paraId="24DB2CF3"/>
        </w:tc>
        <w:tc>
          <w:tcPr>
            <w:tcW w:w="615" w:type="dxa"/>
            <w:vMerge w:val="continue"/>
            <w:tcBorders>
              <w:top w:val="single" w:color="auto" w:sz="10" w:space="0"/>
              <w:left w:val="single" w:color="auto" w:sz="10" w:space="0"/>
              <w:bottom w:val="single" w:color="auto" w:sz="10" w:space="0"/>
              <w:right w:val="single" w:color="auto" w:sz="10" w:space="0"/>
              <w:insideV w:val="single" w:sz="10" w:space="0"/>
            </w:tcBorders>
          </w:tcPr>
          <w:p w14:paraId="022FEFBA"/>
        </w:tc>
        <w:tc>
          <w:tcPr>
            <w:tcW w:w="615" w:type="dxa"/>
            <w:vMerge w:val="continue"/>
            <w:tcBorders>
              <w:top w:val="single" w:color="auto" w:sz="10" w:space="0"/>
              <w:left w:val="single" w:color="auto" w:sz="10" w:space="0"/>
              <w:bottom w:val="single" w:color="auto" w:sz="10" w:space="0"/>
              <w:right w:val="single" w:color="auto" w:sz="10" w:space="0"/>
              <w:insideV w:val="single" w:sz="10" w:space="0"/>
            </w:tcBorders>
          </w:tcPr>
          <w:p w14:paraId="436FA352"/>
        </w:tc>
        <w:tc>
          <w:tcPr>
            <w:tcW w:w="811" w:type="dxa"/>
            <w:tcBorders>
              <w:top w:val="single" w:color="auto" w:sz="10" w:space="0"/>
              <w:left w:val="single" w:color="auto" w:sz="10" w:space="0"/>
              <w:bottom w:val="single" w:color="auto" w:sz="10" w:space="0"/>
              <w:right w:val="single" w:color="auto" w:sz="10" w:space="0"/>
              <w:insideV w:val="single" w:sz="10" w:space="0"/>
            </w:tcBorders>
            <w:vAlign w:val="center"/>
          </w:tcPr>
          <w:p w14:paraId="17D551D0">
            <w:pPr>
              <w:jc w:val="center"/>
            </w:pPr>
            <w:r>
              <w:rPr>
                <w:rFonts w:ascii="宋体" w:hAnsi="宋体" w:eastAsia="宋体"/>
                <w:sz w:val="16"/>
              </w:rPr>
              <w:t>补助危重症儿童及孕产妇人数</w:t>
            </w:r>
          </w:p>
        </w:tc>
        <w:tc>
          <w:tcPr>
            <w:tcW w:w="671" w:type="dxa"/>
            <w:tcBorders>
              <w:top w:val="single" w:color="auto" w:sz="10" w:space="0"/>
              <w:left w:val="single" w:color="auto" w:sz="10" w:space="0"/>
              <w:bottom w:val="single" w:color="auto" w:sz="10" w:space="0"/>
              <w:right w:val="single" w:color="auto" w:sz="10" w:space="0"/>
              <w:insideV w:val="single" w:sz="10" w:space="0"/>
            </w:tcBorders>
            <w:vAlign w:val="center"/>
          </w:tcPr>
          <w:p w14:paraId="0851CE59">
            <w:pPr>
              <w:jc w:val="center"/>
            </w:pPr>
            <w:r>
              <w:rPr>
                <w:rFonts w:ascii="宋体" w:hAnsi="宋体" w:eastAsia="宋体"/>
                <w:sz w:val="16"/>
              </w:rPr>
              <w:t>&gt;=4人</w:t>
            </w:r>
          </w:p>
        </w:tc>
        <w:tc>
          <w:tcPr>
            <w:tcW w:w="739" w:type="dxa"/>
            <w:tcBorders>
              <w:top w:val="single" w:color="auto" w:sz="10" w:space="0"/>
              <w:left w:val="single" w:color="auto" w:sz="10" w:space="0"/>
              <w:bottom w:val="single" w:color="auto" w:sz="10" w:space="0"/>
              <w:right w:val="single" w:color="auto" w:sz="10" w:space="0"/>
              <w:insideV w:val="single" w:sz="10" w:space="0"/>
            </w:tcBorders>
            <w:vAlign w:val="center"/>
          </w:tcPr>
          <w:p w14:paraId="6F04B355">
            <w:pPr>
              <w:jc w:val="center"/>
            </w:pPr>
            <w:r>
              <w:rPr>
                <w:rFonts w:ascii="宋体" w:hAnsi="宋体" w:eastAsia="宋体"/>
                <w:sz w:val="16"/>
              </w:rPr>
              <w:t>计划标准</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14:paraId="21C661AD">
            <w:pPr>
              <w:jc w:val="center"/>
            </w:pPr>
            <w:r>
              <w:rPr>
                <w:rFonts w:ascii="宋体" w:hAnsi="宋体" w:eastAsia="宋体"/>
                <w:sz w:val="16"/>
              </w:rPr>
              <w:t>2人</w:t>
            </w:r>
          </w:p>
        </w:tc>
        <w:tc>
          <w:tcPr>
            <w:tcW w:w="492" w:type="dxa"/>
            <w:tcBorders>
              <w:top w:val="single" w:color="auto" w:sz="10" w:space="0"/>
              <w:left w:val="single" w:color="auto" w:sz="10" w:space="0"/>
              <w:bottom w:val="single" w:color="auto" w:sz="10" w:space="0"/>
              <w:right w:val="single" w:color="auto" w:sz="10" w:space="0"/>
              <w:insideV w:val="single" w:sz="10" w:space="0"/>
            </w:tcBorders>
            <w:vAlign w:val="center"/>
          </w:tcPr>
          <w:p w14:paraId="2082A491">
            <w:pPr>
              <w:jc w:val="center"/>
            </w:pPr>
            <w:r>
              <w:rPr>
                <w:rFonts w:ascii="宋体" w:hAnsi="宋体" w:eastAsia="宋体"/>
                <w:sz w:val="16"/>
              </w:rPr>
              <w:t>8</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04D87A3D">
            <w:pPr>
              <w:jc w:val="center"/>
            </w:pPr>
            <w:r>
              <w:rPr>
                <w:rFonts w:ascii="宋体" w:hAnsi="宋体" w:eastAsia="宋体"/>
                <w:sz w:val="16"/>
              </w:rPr>
              <w:t>按照完成比例赋分</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14:paraId="2EC27CA9">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09FF3A21">
            <w:pPr>
              <w:jc w:val="center"/>
            </w:pPr>
            <w:r>
              <w:rPr>
                <w:rFonts w:ascii="宋体" w:hAnsi="宋体" w:eastAsia="宋体"/>
                <w:sz w:val="16"/>
              </w:rPr>
              <w:t>=4人</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14:paraId="2FED5791">
            <w:pPr>
              <w:jc w:val="center"/>
            </w:pPr>
            <w:r>
              <w:rPr>
                <w:rFonts w:ascii="宋体" w:hAnsi="宋体" w:eastAsia="宋体"/>
                <w:sz w:val="16"/>
              </w:rPr>
              <w:t>8</w:t>
            </w:r>
          </w:p>
        </w:tc>
        <w:tc>
          <w:tcPr>
            <w:tcW w:w="121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73F9E5">
            <w:pPr>
              <w:jc w:val="center"/>
            </w:pPr>
          </w:p>
        </w:tc>
      </w:tr>
      <w:tr w14:paraId="64C76901">
        <w:tblPrEx>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14:paraId="7C071E15"/>
        </w:tc>
        <w:tc>
          <w:tcPr>
            <w:tcW w:w="615" w:type="dxa"/>
            <w:vMerge w:val="continue"/>
            <w:tcBorders>
              <w:top w:val="single" w:color="auto" w:sz="10" w:space="0"/>
              <w:left w:val="single" w:color="auto" w:sz="10" w:space="0"/>
              <w:bottom w:val="single" w:color="auto" w:sz="10" w:space="0"/>
              <w:right w:val="single" w:color="auto" w:sz="10" w:space="0"/>
              <w:insideV w:val="single" w:sz="10" w:space="0"/>
            </w:tcBorders>
          </w:tcPr>
          <w:p w14:paraId="65FCBA9B"/>
        </w:tc>
        <w:tc>
          <w:tcPr>
            <w:tcW w:w="61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A6E0CB0">
            <w:pPr>
              <w:jc w:val="center"/>
            </w:pPr>
            <w:r>
              <w:rPr>
                <w:rFonts w:ascii="宋体" w:hAnsi="宋体" w:eastAsia="宋体"/>
                <w:sz w:val="16"/>
              </w:rPr>
              <w:t>质量指标</w:t>
            </w:r>
          </w:p>
        </w:tc>
        <w:tc>
          <w:tcPr>
            <w:tcW w:w="811" w:type="dxa"/>
            <w:tcBorders>
              <w:top w:val="single" w:color="auto" w:sz="10" w:space="0"/>
              <w:left w:val="single" w:color="auto" w:sz="10" w:space="0"/>
              <w:bottom w:val="single" w:color="auto" w:sz="10" w:space="0"/>
              <w:right w:val="single" w:color="auto" w:sz="10" w:space="0"/>
              <w:insideV w:val="single" w:sz="10" w:space="0"/>
            </w:tcBorders>
            <w:vAlign w:val="center"/>
          </w:tcPr>
          <w:p w14:paraId="2E6234E8">
            <w:pPr>
              <w:jc w:val="center"/>
            </w:pPr>
            <w:r>
              <w:rPr>
                <w:rFonts w:ascii="宋体" w:hAnsi="宋体" w:eastAsia="宋体"/>
                <w:sz w:val="16"/>
              </w:rPr>
              <w:t>免费医学检查覆盖率</w:t>
            </w:r>
          </w:p>
        </w:tc>
        <w:tc>
          <w:tcPr>
            <w:tcW w:w="671" w:type="dxa"/>
            <w:tcBorders>
              <w:top w:val="single" w:color="auto" w:sz="10" w:space="0"/>
              <w:left w:val="single" w:color="auto" w:sz="10" w:space="0"/>
              <w:bottom w:val="single" w:color="auto" w:sz="10" w:space="0"/>
              <w:right w:val="single" w:color="auto" w:sz="10" w:space="0"/>
              <w:insideV w:val="single" w:sz="10" w:space="0"/>
            </w:tcBorders>
            <w:vAlign w:val="center"/>
          </w:tcPr>
          <w:p w14:paraId="3E2CCCF7">
            <w:pPr>
              <w:jc w:val="center"/>
            </w:pPr>
            <w:r>
              <w:rPr>
                <w:rFonts w:ascii="宋体" w:hAnsi="宋体" w:eastAsia="宋体"/>
                <w:sz w:val="16"/>
              </w:rPr>
              <w:t>=100%</w:t>
            </w:r>
          </w:p>
        </w:tc>
        <w:tc>
          <w:tcPr>
            <w:tcW w:w="739" w:type="dxa"/>
            <w:tcBorders>
              <w:top w:val="single" w:color="auto" w:sz="10" w:space="0"/>
              <w:left w:val="single" w:color="auto" w:sz="10" w:space="0"/>
              <w:bottom w:val="single" w:color="auto" w:sz="10" w:space="0"/>
              <w:right w:val="single" w:color="auto" w:sz="10" w:space="0"/>
              <w:insideV w:val="single" w:sz="10" w:space="0"/>
            </w:tcBorders>
            <w:vAlign w:val="center"/>
          </w:tcPr>
          <w:p w14:paraId="3AAABCBA">
            <w:pPr>
              <w:jc w:val="center"/>
            </w:pPr>
            <w:r>
              <w:rPr>
                <w:rFonts w:ascii="宋体" w:hAnsi="宋体" w:eastAsia="宋体"/>
                <w:sz w:val="16"/>
              </w:rPr>
              <w:t>计划标准</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14:paraId="0ABB5405">
            <w:pPr>
              <w:jc w:val="center"/>
            </w:pPr>
            <w:r>
              <w:rPr>
                <w:rFonts w:ascii="宋体" w:hAnsi="宋体" w:eastAsia="宋体"/>
                <w:sz w:val="16"/>
              </w:rPr>
              <w:t>100%</w:t>
            </w:r>
          </w:p>
        </w:tc>
        <w:tc>
          <w:tcPr>
            <w:tcW w:w="492" w:type="dxa"/>
            <w:tcBorders>
              <w:top w:val="single" w:color="auto" w:sz="10" w:space="0"/>
              <w:left w:val="single" w:color="auto" w:sz="10" w:space="0"/>
              <w:bottom w:val="single" w:color="auto" w:sz="10" w:space="0"/>
              <w:right w:val="single" w:color="auto" w:sz="10" w:space="0"/>
              <w:insideV w:val="single" w:sz="10" w:space="0"/>
            </w:tcBorders>
            <w:vAlign w:val="center"/>
          </w:tcPr>
          <w:p w14:paraId="3DED6B11">
            <w:pPr>
              <w:jc w:val="center"/>
            </w:pPr>
            <w:r>
              <w:rPr>
                <w:rFonts w:ascii="宋体" w:hAnsi="宋体" w:eastAsia="宋体"/>
                <w:sz w:val="16"/>
              </w:rPr>
              <w:t>8</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725BEE65">
            <w:pPr>
              <w:jc w:val="center"/>
            </w:pPr>
            <w:r>
              <w:rPr>
                <w:rFonts w:ascii="宋体" w:hAnsi="宋体" w:eastAsia="宋体"/>
                <w:sz w:val="16"/>
              </w:rPr>
              <w:t>按照完成比例赋分</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14:paraId="77B965D2">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1AD6F766">
            <w:pPr>
              <w:jc w:val="center"/>
            </w:pPr>
            <w:r>
              <w:rPr>
                <w:rFonts w:ascii="宋体" w:hAnsi="宋体" w:eastAsia="宋体"/>
                <w:sz w:val="16"/>
              </w:rPr>
              <w:t>=100%</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14:paraId="02E80AA5">
            <w:pPr>
              <w:jc w:val="center"/>
            </w:pPr>
            <w:r>
              <w:rPr>
                <w:rFonts w:ascii="宋体" w:hAnsi="宋体" w:eastAsia="宋体"/>
                <w:sz w:val="16"/>
              </w:rPr>
              <w:t>8</w:t>
            </w:r>
          </w:p>
        </w:tc>
        <w:tc>
          <w:tcPr>
            <w:tcW w:w="121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C83B83">
            <w:pPr>
              <w:jc w:val="center"/>
            </w:pPr>
          </w:p>
        </w:tc>
      </w:tr>
      <w:tr w14:paraId="3188B0B3">
        <w:tblPrEx>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14:paraId="0EBF9086"/>
        </w:tc>
        <w:tc>
          <w:tcPr>
            <w:tcW w:w="615" w:type="dxa"/>
            <w:vMerge w:val="continue"/>
            <w:tcBorders>
              <w:top w:val="single" w:color="auto" w:sz="10" w:space="0"/>
              <w:left w:val="single" w:color="auto" w:sz="10" w:space="0"/>
              <w:bottom w:val="single" w:color="auto" w:sz="10" w:space="0"/>
              <w:right w:val="single" w:color="auto" w:sz="10" w:space="0"/>
              <w:insideV w:val="single" w:sz="10" w:space="0"/>
            </w:tcBorders>
          </w:tcPr>
          <w:p w14:paraId="76023BD3"/>
        </w:tc>
        <w:tc>
          <w:tcPr>
            <w:tcW w:w="615" w:type="dxa"/>
            <w:vMerge w:val="continue"/>
            <w:tcBorders>
              <w:top w:val="single" w:color="auto" w:sz="10" w:space="0"/>
              <w:left w:val="single" w:color="auto" w:sz="10" w:space="0"/>
              <w:bottom w:val="single" w:color="auto" w:sz="10" w:space="0"/>
              <w:right w:val="single" w:color="auto" w:sz="10" w:space="0"/>
              <w:insideV w:val="single" w:sz="10" w:space="0"/>
            </w:tcBorders>
          </w:tcPr>
          <w:p w14:paraId="6BEE7375"/>
        </w:tc>
        <w:tc>
          <w:tcPr>
            <w:tcW w:w="811" w:type="dxa"/>
            <w:tcBorders>
              <w:top w:val="single" w:color="auto" w:sz="10" w:space="0"/>
              <w:left w:val="single" w:color="auto" w:sz="10" w:space="0"/>
              <w:bottom w:val="single" w:color="auto" w:sz="10" w:space="0"/>
              <w:right w:val="single" w:color="auto" w:sz="10" w:space="0"/>
              <w:insideV w:val="single" w:sz="10" w:space="0"/>
            </w:tcBorders>
            <w:vAlign w:val="center"/>
          </w:tcPr>
          <w:p w14:paraId="44831A23">
            <w:pPr>
              <w:jc w:val="center"/>
            </w:pPr>
            <w:r>
              <w:rPr>
                <w:rFonts w:ascii="宋体" w:hAnsi="宋体" w:eastAsia="宋体"/>
                <w:sz w:val="16"/>
              </w:rPr>
              <w:t>补助发放覆盖率</w:t>
            </w:r>
          </w:p>
        </w:tc>
        <w:tc>
          <w:tcPr>
            <w:tcW w:w="671" w:type="dxa"/>
            <w:tcBorders>
              <w:top w:val="single" w:color="auto" w:sz="10" w:space="0"/>
              <w:left w:val="single" w:color="auto" w:sz="10" w:space="0"/>
              <w:bottom w:val="single" w:color="auto" w:sz="10" w:space="0"/>
              <w:right w:val="single" w:color="auto" w:sz="10" w:space="0"/>
              <w:insideV w:val="single" w:sz="10" w:space="0"/>
            </w:tcBorders>
            <w:vAlign w:val="center"/>
          </w:tcPr>
          <w:p w14:paraId="7ACFB520">
            <w:pPr>
              <w:jc w:val="center"/>
            </w:pPr>
            <w:r>
              <w:rPr>
                <w:rFonts w:ascii="宋体" w:hAnsi="宋体" w:eastAsia="宋体"/>
                <w:sz w:val="16"/>
              </w:rPr>
              <w:t>=100%</w:t>
            </w:r>
          </w:p>
        </w:tc>
        <w:tc>
          <w:tcPr>
            <w:tcW w:w="739" w:type="dxa"/>
            <w:tcBorders>
              <w:top w:val="single" w:color="auto" w:sz="10" w:space="0"/>
              <w:left w:val="single" w:color="auto" w:sz="10" w:space="0"/>
              <w:bottom w:val="single" w:color="auto" w:sz="10" w:space="0"/>
              <w:right w:val="single" w:color="auto" w:sz="10" w:space="0"/>
              <w:insideV w:val="single" w:sz="10" w:space="0"/>
            </w:tcBorders>
            <w:vAlign w:val="center"/>
          </w:tcPr>
          <w:p w14:paraId="37A7CC36">
            <w:pPr>
              <w:jc w:val="center"/>
            </w:pPr>
            <w:r>
              <w:rPr>
                <w:rFonts w:ascii="宋体" w:hAnsi="宋体" w:eastAsia="宋体"/>
                <w:sz w:val="16"/>
              </w:rPr>
              <w:t>计划标准</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14:paraId="49C55CFB">
            <w:pPr>
              <w:jc w:val="center"/>
            </w:pPr>
            <w:r>
              <w:rPr>
                <w:rFonts w:ascii="宋体" w:hAnsi="宋体" w:eastAsia="宋体"/>
                <w:sz w:val="16"/>
              </w:rPr>
              <w:t>100%</w:t>
            </w:r>
          </w:p>
        </w:tc>
        <w:tc>
          <w:tcPr>
            <w:tcW w:w="492" w:type="dxa"/>
            <w:tcBorders>
              <w:top w:val="single" w:color="auto" w:sz="10" w:space="0"/>
              <w:left w:val="single" w:color="auto" w:sz="10" w:space="0"/>
              <w:bottom w:val="single" w:color="auto" w:sz="10" w:space="0"/>
              <w:right w:val="single" w:color="auto" w:sz="10" w:space="0"/>
              <w:insideV w:val="single" w:sz="10" w:space="0"/>
            </w:tcBorders>
            <w:vAlign w:val="center"/>
          </w:tcPr>
          <w:p w14:paraId="73DBE5BD">
            <w:pPr>
              <w:jc w:val="center"/>
            </w:pPr>
            <w:r>
              <w:rPr>
                <w:rFonts w:ascii="宋体" w:hAnsi="宋体" w:eastAsia="宋体"/>
                <w:sz w:val="16"/>
              </w:rPr>
              <w:t>8</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4D42F9D3">
            <w:pPr>
              <w:jc w:val="center"/>
            </w:pPr>
            <w:r>
              <w:rPr>
                <w:rFonts w:ascii="宋体" w:hAnsi="宋体" w:eastAsia="宋体"/>
                <w:sz w:val="16"/>
              </w:rPr>
              <w:t>按照完成比例赋分</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14:paraId="6EBEA20E">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230A5885">
            <w:pPr>
              <w:jc w:val="center"/>
            </w:pPr>
            <w:r>
              <w:rPr>
                <w:rFonts w:ascii="宋体" w:hAnsi="宋体" w:eastAsia="宋体"/>
                <w:sz w:val="16"/>
              </w:rPr>
              <w:t>=100%</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14:paraId="7EBCBC18">
            <w:pPr>
              <w:jc w:val="center"/>
            </w:pPr>
            <w:r>
              <w:rPr>
                <w:rFonts w:ascii="宋体" w:hAnsi="宋体" w:eastAsia="宋体"/>
                <w:sz w:val="16"/>
              </w:rPr>
              <w:t>8</w:t>
            </w:r>
          </w:p>
        </w:tc>
        <w:tc>
          <w:tcPr>
            <w:tcW w:w="121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98D61C">
            <w:pPr>
              <w:jc w:val="center"/>
            </w:pPr>
          </w:p>
        </w:tc>
      </w:tr>
      <w:tr w14:paraId="6A8F83F0">
        <w:tblPrEx>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14:paraId="65F1812A"/>
        </w:tc>
        <w:tc>
          <w:tcPr>
            <w:tcW w:w="615" w:type="dxa"/>
            <w:vMerge w:val="continue"/>
            <w:tcBorders>
              <w:top w:val="single" w:color="auto" w:sz="10" w:space="0"/>
              <w:left w:val="single" w:color="auto" w:sz="10" w:space="0"/>
              <w:bottom w:val="single" w:color="auto" w:sz="10" w:space="0"/>
              <w:right w:val="single" w:color="auto" w:sz="10" w:space="0"/>
              <w:insideV w:val="single" w:sz="10" w:space="0"/>
            </w:tcBorders>
          </w:tcPr>
          <w:p w14:paraId="768E9467"/>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024383B3">
            <w:pPr>
              <w:jc w:val="center"/>
            </w:pPr>
            <w:r>
              <w:rPr>
                <w:rFonts w:ascii="宋体" w:hAnsi="宋体" w:eastAsia="宋体"/>
                <w:sz w:val="16"/>
              </w:rPr>
              <w:t>时效指标</w:t>
            </w:r>
          </w:p>
        </w:tc>
        <w:tc>
          <w:tcPr>
            <w:tcW w:w="811" w:type="dxa"/>
            <w:tcBorders>
              <w:top w:val="single" w:color="auto" w:sz="10" w:space="0"/>
              <w:left w:val="single" w:color="auto" w:sz="10" w:space="0"/>
              <w:bottom w:val="single" w:color="auto" w:sz="10" w:space="0"/>
              <w:right w:val="single" w:color="auto" w:sz="10" w:space="0"/>
              <w:insideV w:val="single" w:sz="10" w:space="0"/>
            </w:tcBorders>
            <w:vAlign w:val="center"/>
          </w:tcPr>
          <w:p w14:paraId="4497E209">
            <w:pPr>
              <w:jc w:val="center"/>
            </w:pPr>
            <w:r>
              <w:rPr>
                <w:rFonts w:ascii="宋体" w:hAnsi="宋体" w:eastAsia="宋体"/>
                <w:sz w:val="16"/>
              </w:rPr>
              <w:t>项目完成时间</w:t>
            </w:r>
          </w:p>
        </w:tc>
        <w:tc>
          <w:tcPr>
            <w:tcW w:w="671" w:type="dxa"/>
            <w:tcBorders>
              <w:top w:val="single" w:color="auto" w:sz="10" w:space="0"/>
              <w:left w:val="single" w:color="auto" w:sz="10" w:space="0"/>
              <w:bottom w:val="single" w:color="auto" w:sz="10" w:space="0"/>
              <w:right w:val="single" w:color="auto" w:sz="10" w:space="0"/>
              <w:insideV w:val="single" w:sz="10" w:space="0"/>
            </w:tcBorders>
            <w:vAlign w:val="center"/>
          </w:tcPr>
          <w:p w14:paraId="438DBD66">
            <w:pPr>
              <w:jc w:val="center"/>
            </w:pPr>
            <w:r>
              <w:rPr>
                <w:rFonts w:ascii="宋体" w:hAnsi="宋体" w:eastAsia="宋体"/>
                <w:sz w:val="16"/>
              </w:rPr>
              <w:t>=2024年12月24日</w:t>
            </w:r>
          </w:p>
        </w:tc>
        <w:tc>
          <w:tcPr>
            <w:tcW w:w="739" w:type="dxa"/>
            <w:tcBorders>
              <w:top w:val="single" w:color="auto" w:sz="10" w:space="0"/>
              <w:left w:val="single" w:color="auto" w:sz="10" w:space="0"/>
              <w:bottom w:val="single" w:color="auto" w:sz="10" w:space="0"/>
              <w:right w:val="single" w:color="auto" w:sz="10" w:space="0"/>
              <w:insideV w:val="single" w:sz="10" w:space="0"/>
            </w:tcBorders>
            <w:vAlign w:val="center"/>
          </w:tcPr>
          <w:p w14:paraId="65549DA3">
            <w:pPr>
              <w:jc w:val="center"/>
            </w:pPr>
            <w:r>
              <w:rPr>
                <w:rFonts w:ascii="宋体" w:hAnsi="宋体" w:eastAsia="宋体"/>
                <w:sz w:val="16"/>
              </w:rPr>
              <w:t>计划标准</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14:paraId="7B755A56">
            <w:pPr>
              <w:jc w:val="center"/>
            </w:pPr>
            <w:r>
              <w:rPr>
                <w:rFonts w:ascii="宋体" w:hAnsi="宋体" w:eastAsia="宋体"/>
                <w:sz w:val="16"/>
              </w:rPr>
              <w:t>新增</w:t>
            </w:r>
          </w:p>
        </w:tc>
        <w:tc>
          <w:tcPr>
            <w:tcW w:w="492" w:type="dxa"/>
            <w:tcBorders>
              <w:top w:val="single" w:color="auto" w:sz="10" w:space="0"/>
              <w:left w:val="single" w:color="auto" w:sz="10" w:space="0"/>
              <w:bottom w:val="single" w:color="auto" w:sz="10" w:space="0"/>
              <w:right w:val="single" w:color="auto" w:sz="10" w:space="0"/>
              <w:insideV w:val="single" w:sz="10" w:space="0"/>
            </w:tcBorders>
            <w:vAlign w:val="center"/>
          </w:tcPr>
          <w:p w14:paraId="6AFFC45E">
            <w:pPr>
              <w:jc w:val="center"/>
            </w:pPr>
            <w:r>
              <w:rPr>
                <w:rFonts w:ascii="宋体" w:hAnsi="宋体" w:eastAsia="宋体"/>
                <w:sz w:val="16"/>
              </w:rPr>
              <w:t>8</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449E93B1">
            <w:pPr>
              <w:jc w:val="center"/>
            </w:pPr>
            <w:r>
              <w:rPr>
                <w:rFonts w:ascii="宋体" w:hAnsi="宋体" w:eastAsia="宋体"/>
                <w:sz w:val="16"/>
              </w:rPr>
              <w:t>按照完成比例赋分</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14:paraId="25B633B0">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50952E99">
            <w:pPr>
              <w:jc w:val="center"/>
            </w:pPr>
            <w:r>
              <w:rPr>
                <w:rFonts w:ascii="宋体" w:hAnsi="宋体" w:eastAsia="宋体"/>
                <w:sz w:val="16"/>
              </w:rPr>
              <w:t>=2024年12月24日</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14:paraId="726B8971">
            <w:pPr>
              <w:jc w:val="center"/>
            </w:pPr>
            <w:r>
              <w:rPr>
                <w:rFonts w:ascii="宋体" w:hAnsi="宋体" w:eastAsia="宋体"/>
                <w:sz w:val="16"/>
              </w:rPr>
              <w:t>8</w:t>
            </w:r>
          </w:p>
        </w:tc>
        <w:tc>
          <w:tcPr>
            <w:tcW w:w="121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3968F3">
            <w:pPr>
              <w:jc w:val="center"/>
            </w:pPr>
          </w:p>
        </w:tc>
      </w:tr>
      <w:tr w14:paraId="3336E876">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14:paraId="0B71FD3E"/>
        </w:tc>
        <w:tc>
          <w:tcPr>
            <w:tcW w:w="61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05633E">
            <w:pPr>
              <w:jc w:val="center"/>
            </w:pPr>
            <w:r>
              <w:rPr>
                <w:rFonts w:ascii="宋体" w:hAnsi="宋体" w:eastAsia="宋体"/>
                <w:sz w:val="16"/>
              </w:rPr>
              <w:t>成本指标</w:t>
            </w:r>
          </w:p>
        </w:tc>
        <w:tc>
          <w:tcPr>
            <w:tcW w:w="61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C40E3A7">
            <w:pPr>
              <w:jc w:val="center"/>
            </w:pPr>
            <w:r>
              <w:rPr>
                <w:rFonts w:ascii="宋体" w:hAnsi="宋体" w:eastAsia="宋体"/>
                <w:sz w:val="16"/>
              </w:rPr>
              <w:t>经济成本指标</w:t>
            </w:r>
          </w:p>
        </w:tc>
        <w:tc>
          <w:tcPr>
            <w:tcW w:w="811" w:type="dxa"/>
            <w:tcBorders>
              <w:top w:val="single" w:color="auto" w:sz="10" w:space="0"/>
              <w:left w:val="single" w:color="auto" w:sz="10" w:space="0"/>
              <w:bottom w:val="single" w:color="auto" w:sz="10" w:space="0"/>
              <w:right w:val="single" w:color="auto" w:sz="10" w:space="0"/>
              <w:insideV w:val="single" w:sz="10" w:space="0"/>
            </w:tcBorders>
            <w:vAlign w:val="center"/>
          </w:tcPr>
          <w:p w14:paraId="192D0824">
            <w:pPr>
              <w:jc w:val="center"/>
            </w:pPr>
            <w:r>
              <w:rPr>
                <w:rFonts w:ascii="宋体" w:hAnsi="宋体" w:eastAsia="宋体"/>
                <w:sz w:val="16"/>
              </w:rPr>
              <w:t>孕妇、儿童、婚前免费检查成本</w:t>
            </w:r>
          </w:p>
        </w:tc>
        <w:tc>
          <w:tcPr>
            <w:tcW w:w="671" w:type="dxa"/>
            <w:tcBorders>
              <w:top w:val="single" w:color="auto" w:sz="10" w:space="0"/>
              <w:left w:val="single" w:color="auto" w:sz="10" w:space="0"/>
              <w:bottom w:val="single" w:color="auto" w:sz="10" w:space="0"/>
              <w:right w:val="single" w:color="auto" w:sz="10" w:space="0"/>
              <w:insideV w:val="single" w:sz="10" w:space="0"/>
            </w:tcBorders>
            <w:vAlign w:val="center"/>
          </w:tcPr>
          <w:p w14:paraId="6D82D41D">
            <w:pPr>
              <w:jc w:val="center"/>
            </w:pPr>
            <w:r>
              <w:rPr>
                <w:rFonts w:ascii="宋体" w:hAnsi="宋体" w:eastAsia="宋体"/>
                <w:sz w:val="16"/>
              </w:rPr>
              <w:t>&lt;=190.92万元</w:t>
            </w:r>
          </w:p>
        </w:tc>
        <w:tc>
          <w:tcPr>
            <w:tcW w:w="739" w:type="dxa"/>
            <w:tcBorders>
              <w:top w:val="single" w:color="auto" w:sz="10" w:space="0"/>
              <w:left w:val="single" w:color="auto" w:sz="10" w:space="0"/>
              <w:bottom w:val="single" w:color="auto" w:sz="10" w:space="0"/>
              <w:right w:val="single" w:color="auto" w:sz="10" w:space="0"/>
              <w:insideV w:val="single" w:sz="10" w:space="0"/>
            </w:tcBorders>
            <w:vAlign w:val="center"/>
          </w:tcPr>
          <w:p w14:paraId="5B21073B">
            <w:pPr>
              <w:jc w:val="center"/>
            </w:pPr>
            <w:r>
              <w:rPr>
                <w:rFonts w:ascii="宋体" w:hAnsi="宋体" w:eastAsia="宋体"/>
                <w:sz w:val="16"/>
              </w:rPr>
              <w:t>预算支出标准</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14:paraId="51A8111D">
            <w:pPr>
              <w:jc w:val="center"/>
            </w:pPr>
            <w:r>
              <w:rPr>
                <w:rFonts w:ascii="宋体" w:hAnsi="宋体" w:eastAsia="宋体"/>
                <w:sz w:val="16"/>
              </w:rPr>
              <w:t>77.24万元</w:t>
            </w:r>
          </w:p>
        </w:tc>
        <w:tc>
          <w:tcPr>
            <w:tcW w:w="492" w:type="dxa"/>
            <w:tcBorders>
              <w:top w:val="single" w:color="auto" w:sz="10" w:space="0"/>
              <w:left w:val="single" w:color="auto" w:sz="10" w:space="0"/>
              <w:bottom w:val="single" w:color="auto" w:sz="10" w:space="0"/>
              <w:right w:val="single" w:color="auto" w:sz="10" w:space="0"/>
              <w:insideV w:val="single" w:sz="10" w:space="0"/>
            </w:tcBorders>
            <w:vAlign w:val="center"/>
          </w:tcPr>
          <w:p w14:paraId="40CD295D">
            <w:pPr>
              <w:jc w:val="center"/>
            </w:pPr>
            <w:r>
              <w:rPr>
                <w:rFonts w:ascii="宋体" w:hAnsi="宋体" w:eastAsia="宋体"/>
                <w:sz w:val="16"/>
              </w:rPr>
              <w:t>10</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3547A5F6">
            <w:pPr>
              <w:jc w:val="center"/>
            </w:pPr>
            <w:r>
              <w:rPr>
                <w:rFonts w:ascii="宋体" w:hAnsi="宋体" w:eastAsia="宋体"/>
                <w:sz w:val="16"/>
              </w:rPr>
              <w:t>按照完成比例赋分</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14:paraId="09E711BD">
            <w:pPr>
              <w:jc w:val="center"/>
            </w:pPr>
            <w:r>
              <w:rPr>
                <w:rFonts w:ascii="宋体" w:hAnsi="宋体" w:eastAsia="宋体"/>
                <w:sz w:val="16"/>
              </w:rPr>
              <w:t>工作资料,原始凭证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3DDB6EA6">
            <w:pPr>
              <w:jc w:val="center"/>
            </w:pPr>
            <w:r>
              <w:rPr>
                <w:rFonts w:ascii="宋体" w:hAnsi="宋体" w:eastAsia="宋体"/>
                <w:sz w:val="16"/>
              </w:rPr>
              <w:t>=187.71万元</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14:paraId="16E9575B">
            <w:pPr>
              <w:jc w:val="center"/>
            </w:pPr>
            <w:r>
              <w:rPr>
                <w:rFonts w:ascii="宋体" w:hAnsi="宋体" w:eastAsia="宋体"/>
                <w:sz w:val="16"/>
              </w:rPr>
              <w:t>9.58</w:t>
            </w:r>
          </w:p>
        </w:tc>
        <w:tc>
          <w:tcPr>
            <w:tcW w:w="121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610D28">
            <w:pPr>
              <w:jc w:val="center"/>
            </w:pPr>
            <w:r>
              <w:rPr>
                <w:rFonts w:ascii="宋体" w:hAnsi="宋体" w:eastAsia="宋体"/>
                <w:sz w:val="16"/>
              </w:rPr>
              <w:t>24年项目实施完成但资金存在结余。改进措施：下一年科学制定预算，在预算安排时，充分考虑项目的实际需求。</w:t>
            </w:r>
          </w:p>
        </w:tc>
      </w:tr>
      <w:tr w14:paraId="58B632F5">
        <w:tblPrEx>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14:paraId="6581164F"/>
        </w:tc>
        <w:tc>
          <w:tcPr>
            <w:tcW w:w="615" w:type="dxa"/>
            <w:vMerge w:val="continue"/>
            <w:tcBorders>
              <w:top w:val="single" w:color="auto" w:sz="10" w:space="0"/>
              <w:left w:val="single" w:color="auto" w:sz="10" w:space="0"/>
              <w:bottom w:val="single" w:color="auto" w:sz="10" w:space="0"/>
              <w:right w:val="single" w:color="auto" w:sz="10" w:space="0"/>
              <w:insideV w:val="single" w:sz="10" w:space="0"/>
            </w:tcBorders>
          </w:tcPr>
          <w:p w14:paraId="2E93C8E7"/>
        </w:tc>
        <w:tc>
          <w:tcPr>
            <w:tcW w:w="615" w:type="dxa"/>
            <w:vMerge w:val="continue"/>
            <w:tcBorders>
              <w:top w:val="single" w:color="auto" w:sz="10" w:space="0"/>
              <w:left w:val="single" w:color="auto" w:sz="10" w:space="0"/>
              <w:bottom w:val="single" w:color="auto" w:sz="10" w:space="0"/>
              <w:right w:val="single" w:color="auto" w:sz="10" w:space="0"/>
              <w:insideV w:val="single" w:sz="10" w:space="0"/>
            </w:tcBorders>
          </w:tcPr>
          <w:p w14:paraId="25219152"/>
        </w:tc>
        <w:tc>
          <w:tcPr>
            <w:tcW w:w="811" w:type="dxa"/>
            <w:tcBorders>
              <w:top w:val="single" w:color="auto" w:sz="10" w:space="0"/>
              <w:left w:val="single" w:color="auto" w:sz="10" w:space="0"/>
              <w:bottom w:val="single" w:color="auto" w:sz="10" w:space="0"/>
              <w:right w:val="single" w:color="auto" w:sz="10" w:space="0"/>
              <w:insideV w:val="single" w:sz="10" w:space="0"/>
            </w:tcBorders>
            <w:vAlign w:val="center"/>
          </w:tcPr>
          <w:p w14:paraId="4B3313FC">
            <w:pPr>
              <w:jc w:val="center"/>
            </w:pPr>
            <w:r>
              <w:rPr>
                <w:rFonts w:ascii="宋体" w:hAnsi="宋体" w:eastAsia="宋体"/>
                <w:sz w:val="16"/>
              </w:rPr>
              <w:t>危重症儿童及孕产妇补助成本</w:t>
            </w:r>
          </w:p>
        </w:tc>
        <w:tc>
          <w:tcPr>
            <w:tcW w:w="671" w:type="dxa"/>
            <w:tcBorders>
              <w:top w:val="single" w:color="auto" w:sz="10" w:space="0"/>
              <w:left w:val="single" w:color="auto" w:sz="10" w:space="0"/>
              <w:bottom w:val="single" w:color="auto" w:sz="10" w:space="0"/>
              <w:right w:val="single" w:color="auto" w:sz="10" w:space="0"/>
              <w:insideV w:val="single" w:sz="10" w:space="0"/>
            </w:tcBorders>
            <w:vAlign w:val="center"/>
          </w:tcPr>
          <w:p w14:paraId="5EC8D14C">
            <w:pPr>
              <w:jc w:val="center"/>
            </w:pPr>
            <w:r>
              <w:rPr>
                <w:rFonts w:ascii="宋体" w:hAnsi="宋体" w:eastAsia="宋体"/>
                <w:sz w:val="16"/>
              </w:rPr>
              <w:t>&lt;=9.08万元</w:t>
            </w:r>
          </w:p>
        </w:tc>
        <w:tc>
          <w:tcPr>
            <w:tcW w:w="739" w:type="dxa"/>
            <w:tcBorders>
              <w:top w:val="single" w:color="auto" w:sz="10" w:space="0"/>
              <w:left w:val="single" w:color="auto" w:sz="10" w:space="0"/>
              <w:bottom w:val="single" w:color="auto" w:sz="10" w:space="0"/>
              <w:right w:val="single" w:color="auto" w:sz="10" w:space="0"/>
              <w:insideV w:val="single" w:sz="10" w:space="0"/>
            </w:tcBorders>
            <w:vAlign w:val="center"/>
          </w:tcPr>
          <w:p w14:paraId="3D198CD4">
            <w:pPr>
              <w:jc w:val="center"/>
            </w:pPr>
            <w:r>
              <w:rPr>
                <w:rFonts w:ascii="宋体" w:hAnsi="宋体" w:eastAsia="宋体"/>
                <w:sz w:val="16"/>
              </w:rPr>
              <w:t>预算支出标准</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14:paraId="52DC3D34">
            <w:pPr>
              <w:jc w:val="center"/>
            </w:pPr>
            <w:r>
              <w:rPr>
                <w:rFonts w:ascii="宋体" w:hAnsi="宋体" w:eastAsia="宋体"/>
                <w:sz w:val="16"/>
              </w:rPr>
              <w:t>0.96万元</w:t>
            </w:r>
          </w:p>
        </w:tc>
        <w:tc>
          <w:tcPr>
            <w:tcW w:w="492" w:type="dxa"/>
            <w:tcBorders>
              <w:top w:val="single" w:color="auto" w:sz="10" w:space="0"/>
              <w:left w:val="single" w:color="auto" w:sz="10" w:space="0"/>
              <w:bottom w:val="single" w:color="auto" w:sz="10" w:space="0"/>
              <w:right w:val="single" w:color="auto" w:sz="10" w:space="0"/>
              <w:insideV w:val="single" w:sz="10" w:space="0"/>
            </w:tcBorders>
            <w:vAlign w:val="center"/>
          </w:tcPr>
          <w:p w14:paraId="7C40358C">
            <w:pPr>
              <w:jc w:val="center"/>
            </w:pPr>
            <w:r>
              <w:rPr>
                <w:rFonts w:ascii="宋体" w:hAnsi="宋体" w:eastAsia="宋体"/>
                <w:sz w:val="16"/>
              </w:rPr>
              <w:t>10</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521FED93">
            <w:pPr>
              <w:jc w:val="center"/>
            </w:pPr>
            <w:r>
              <w:rPr>
                <w:rFonts w:ascii="宋体" w:hAnsi="宋体" w:eastAsia="宋体"/>
                <w:sz w:val="16"/>
              </w:rPr>
              <w:t>按照完成比例赋分</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14:paraId="2366B291">
            <w:pPr>
              <w:jc w:val="center"/>
            </w:pPr>
            <w:r>
              <w:rPr>
                <w:rFonts w:ascii="宋体" w:hAnsi="宋体" w:eastAsia="宋体"/>
                <w:sz w:val="16"/>
              </w:rPr>
              <w:t>工作资料,原始凭证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1E646FEC">
            <w:pPr>
              <w:jc w:val="center"/>
            </w:pPr>
            <w:r>
              <w:rPr>
                <w:rFonts w:ascii="宋体" w:hAnsi="宋体" w:eastAsia="宋体"/>
                <w:sz w:val="16"/>
              </w:rPr>
              <w:t>=9.08万元</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14:paraId="1E8CE40B">
            <w:pPr>
              <w:jc w:val="center"/>
            </w:pPr>
            <w:r>
              <w:rPr>
                <w:rFonts w:ascii="宋体" w:hAnsi="宋体" w:eastAsia="宋体"/>
                <w:sz w:val="16"/>
              </w:rPr>
              <w:t>10</w:t>
            </w:r>
          </w:p>
        </w:tc>
        <w:tc>
          <w:tcPr>
            <w:tcW w:w="121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10A407">
            <w:pPr>
              <w:jc w:val="center"/>
            </w:pPr>
          </w:p>
        </w:tc>
      </w:tr>
      <w:tr w14:paraId="70C64CF7">
        <w:tblPrEx>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14:paraId="0857F874"/>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67CFD6B1">
            <w:pPr>
              <w:jc w:val="center"/>
            </w:pPr>
            <w:r>
              <w:rPr>
                <w:rFonts w:ascii="宋体" w:hAnsi="宋体" w:eastAsia="宋体"/>
                <w:sz w:val="16"/>
              </w:rPr>
              <w:t>效益指标</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2B558E19">
            <w:pPr>
              <w:jc w:val="center"/>
            </w:pPr>
            <w:r>
              <w:rPr>
                <w:rFonts w:ascii="宋体" w:hAnsi="宋体" w:eastAsia="宋体"/>
                <w:sz w:val="16"/>
              </w:rPr>
              <w:t>社会效益指标</w:t>
            </w:r>
          </w:p>
        </w:tc>
        <w:tc>
          <w:tcPr>
            <w:tcW w:w="811" w:type="dxa"/>
            <w:tcBorders>
              <w:top w:val="single" w:color="auto" w:sz="10" w:space="0"/>
              <w:left w:val="single" w:color="auto" w:sz="10" w:space="0"/>
              <w:bottom w:val="single" w:color="auto" w:sz="10" w:space="0"/>
              <w:right w:val="single" w:color="auto" w:sz="10" w:space="0"/>
              <w:insideV w:val="single" w:sz="10" w:space="0"/>
            </w:tcBorders>
            <w:vAlign w:val="center"/>
          </w:tcPr>
          <w:p w14:paraId="1DB2DAC5">
            <w:pPr>
              <w:jc w:val="center"/>
            </w:pPr>
            <w:r>
              <w:rPr>
                <w:rFonts w:ascii="宋体" w:hAnsi="宋体" w:eastAsia="宋体"/>
                <w:sz w:val="16"/>
              </w:rPr>
              <w:t>持续提高妇女儿童健康服务能力</w:t>
            </w:r>
          </w:p>
        </w:tc>
        <w:tc>
          <w:tcPr>
            <w:tcW w:w="671" w:type="dxa"/>
            <w:tcBorders>
              <w:top w:val="single" w:color="auto" w:sz="10" w:space="0"/>
              <w:left w:val="single" w:color="auto" w:sz="10" w:space="0"/>
              <w:bottom w:val="single" w:color="auto" w:sz="10" w:space="0"/>
              <w:right w:val="single" w:color="auto" w:sz="10" w:space="0"/>
              <w:insideV w:val="single" w:sz="10" w:space="0"/>
            </w:tcBorders>
            <w:vAlign w:val="center"/>
          </w:tcPr>
          <w:p w14:paraId="71012923">
            <w:pPr>
              <w:jc w:val="center"/>
            </w:pPr>
            <w:r>
              <w:rPr>
                <w:rFonts w:ascii="宋体" w:hAnsi="宋体" w:eastAsia="宋体"/>
                <w:sz w:val="16"/>
              </w:rPr>
              <w:t>持续提高</w:t>
            </w:r>
          </w:p>
        </w:tc>
        <w:tc>
          <w:tcPr>
            <w:tcW w:w="739" w:type="dxa"/>
            <w:tcBorders>
              <w:top w:val="single" w:color="auto" w:sz="10" w:space="0"/>
              <w:left w:val="single" w:color="auto" w:sz="10" w:space="0"/>
              <w:bottom w:val="single" w:color="auto" w:sz="10" w:space="0"/>
              <w:right w:val="single" w:color="auto" w:sz="10" w:space="0"/>
              <w:insideV w:val="single" w:sz="10" w:space="0"/>
            </w:tcBorders>
            <w:vAlign w:val="center"/>
          </w:tcPr>
          <w:p w14:paraId="34E4F1F3">
            <w:pPr>
              <w:jc w:val="center"/>
            </w:pPr>
            <w:r>
              <w:rPr>
                <w:rFonts w:ascii="宋体" w:hAnsi="宋体" w:eastAsia="宋体"/>
                <w:sz w:val="16"/>
              </w:rPr>
              <w:t>计划标准</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14:paraId="244A6606">
            <w:pPr>
              <w:jc w:val="center"/>
            </w:pPr>
            <w:r>
              <w:rPr>
                <w:rFonts w:ascii="宋体" w:hAnsi="宋体" w:eastAsia="宋体"/>
                <w:sz w:val="16"/>
              </w:rPr>
              <w:t>提高</w:t>
            </w:r>
          </w:p>
        </w:tc>
        <w:tc>
          <w:tcPr>
            <w:tcW w:w="492" w:type="dxa"/>
            <w:tcBorders>
              <w:top w:val="single" w:color="auto" w:sz="10" w:space="0"/>
              <w:left w:val="single" w:color="auto" w:sz="10" w:space="0"/>
              <w:bottom w:val="single" w:color="auto" w:sz="10" w:space="0"/>
              <w:right w:val="single" w:color="auto" w:sz="10" w:space="0"/>
              <w:insideV w:val="single" w:sz="10" w:space="0"/>
            </w:tcBorders>
            <w:vAlign w:val="center"/>
          </w:tcPr>
          <w:p w14:paraId="239AC02A">
            <w:pPr>
              <w:jc w:val="center"/>
            </w:pPr>
            <w:r>
              <w:rPr>
                <w:rFonts w:ascii="宋体" w:hAnsi="宋体" w:eastAsia="宋体"/>
                <w:sz w:val="16"/>
              </w:rPr>
              <w:t>20</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33272833">
            <w:pPr>
              <w:jc w:val="center"/>
            </w:pPr>
            <w:r>
              <w:rPr>
                <w:rFonts w:ascii="宋体" w:hAnsi="宋体" w:eastAsia="宋体"/>
                <w:sz w:val="16"/>
              </w:rPr>
              <w:t>按评判等级赋分</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14:paraId="4B800E5B">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2C220C9B">
            <w:pPr>
              <w:jc w:val="center"/>
            </w:pPr>
            <w:r>
              <w:rPr>
                <w:rFonts w:ascii="宋体" w:hAnsi="宋体" w:eastAsia="宋体"/>
                <w:sz w:val="16"/>
              </w:rPr>
              <w:t>持续提高</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14:paraId="1356AA86">
            <w:pPr>
              <w:jc w:val="center"/>
            </w:pPr>
            <w:r>
              <w:rPr>
                <w:rFonts w:ascii="宋体" w:hAnsi="宋体" w:eastAsia="宋体"/>
                <w:sz w:val="16"/>
              </w:rPr>
              <w:t>20</w:t>
            </w:r>
          </w:p>
        </w:tc>
        <w:tc>
          <w:tcPr>
            <w:tcW w:w="121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DFFAD5">
            <w:pPr>
              <w:jc w:val="center"/>
            </w:pPr>
          </w:p>
        </w:tc>
      </w:tr>
      <w:tr w14:paraId="3DF1B483">
        <w:tblPrEx>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14:paraId="07224918"/>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5170A61D">
            <w:pPr>
              <w:jc w:val="center"/>
            </w:pPr>
            <w:r>
              <w:rPr>
                <w:rFonts w:ascii="宋体" w:hAnsi="宋体" w:eastAsia="宋体"/>
                <w:sz w:val="16"/>
              </w:rPr>
              <w:t>满意度指标</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3615AFF6">
            <w:pPr>
              <w:jc w:val="center"/>
            </w:pPr>
            <w:r>
              <w:rPr>
                <w:rFonts w:ascii="宋体" w:hAnsi="宋体" w:eastAsia="宋体"/>
                <w:sz w:val="16"/>
              </w:rPr>
              <w:t>满意度指标</w:t>
            </w:r>
          </w:p>
        </w:tc>
        <w:tc>
          <w:tcPr>
            <w:tcW w:w="811" w:type="dxa"/>
            <w:tcBorders>
              <w:top w:val="single" w:color="auto" w:sz="10" w:space="0"/>
              <w:left w:val="single" w:color="auto" w:sz="10" w:space="0"/>
              <w:bottom w:val="single" w:color="auto" w:sz="10" w:space="0"/>
              <w:right w:val="single" w:color="auto" w:sz="10" w:space="0"/>
              <w:insideV w:val="single" w:sz="10" w:space="0"/>
            </w:tcBorders>
            <w:vAlign w:val="center"/>
          </w:tcPr>
          <w:p w14:paraId="7E6300B7">
            <w:pPr>
              <w:jc w:val="center"/>
            </w:pPr>
            <w:r>
              <w:rPr>
                <w:rFonts w:ascii="宋体" w:hAnsi="宋体" w:eastAsia="宋体"/>
                <w:sz w:val="16"/>
              </w:rPr>
              <w:t>妇幼保健机构服务对象满意度</w:t>
            </w:r>
          </w:p>
        </w:tc>
        <w:tc>
          <w:tcPr>
            <w:tcW w:w="671" w:type="dxa"/>
            <w:tcBorders>
              <w:top w:val="single" w:color="auto" w:sz="10" w:space="0"/>
              <w:left w:val="single" w:color="auto" w:sz="10" w:space="0"/>
              <w:bottom w:val="single" w:color="auto" w:sz="10" w:space="0"/>
              <w:right w:val="single" w:color="auto" w:sz="10" w:space="0"/>
              <w:insideV w:val="single" w:sz="10" w:space="0"/>
            </w:tcBorders>
            <w:vAlign w:val="center"/>
          </w:tcPr>
          <w:p w14:paraId="56112D77">
            <w:pPr>
              <w:jc w:val="center"/>
            </w:pPr>
            <w:r>
              <w:rPr>
                <w:rFonts w:ascii="宋体" w:hAnsi="宋体" w:eastAsia="宋体"/>
                <w:sz w:val="16"/>
              </w:rPr>
              <w:t>=100%</w:t>
            </w:r>
          </w:p>
        </w:tc>
        <w:tc>
          <w:tcPr>
            <w:tcW w:w="739" w:type="dxa"/>
            <w:tcBorders>
              <w:top w:val="single" w:color="auto" w:sz="10" w:space="0"/>
              <w:left w:val="single" w:color="auto" w:sz="10" w:space="0"/>
              <w:bottom w:val="single" w:color="auto" w:sz="10" w:space="0"/>
              <w:right w:val="single" w:color="auto" w:sz="10" w:space="0"/>
              <w:insideV w:val="single" w:sz="10" w:space="0"/>
            </w:tcBorders>
            <w:vAlign w:val="center"/>
          </w:tcPr>
          <w:p w14:paraId="05B04EF3">
            <w:pPr>
              <w:jc w:val="center"/>
            </w:pPr>
            <w:r>
              <w:rPr>
                <w:rFonts w:ascii="宋体" w:hAnsi="宋体" w:eastAsia="宋体"/>
                <w:sz w:val="16"/>
              </w:rPr>
              <w:t>计划标准</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14:paraId="3763942C">
            <w:pPr>
              <w:jc w:val="center"/>
            </w:pPr>
            <w:r>
              <w:rPr>
                <w:rFonts w:ascii="宋体" w:hAnsi="宋体" w:eastAsia="宋体"/>
                <w:sz w:val="16"/>
              </w:rPr>
              <w:t>100%</w:t>
            </w:r>
          </w:p>
        </w:tc>
        <w:tc>
          <w:tcPr>
            <w:tcW w:w="492" w:type="dxa"/>
            <w:tcBorders>
              <w:top w:val="single" w:color="auto" w:sz="10" w:space="0"/>
              <w:left w:val="single" w:color="auto" w:sz="10" w:space="0"/>
              <w:bottom w:val="single" w:color="auto" w:sz="10" w:space="0"/>
              <w:right w:val="single" w:color="auto" w:sz="10" w:space="0"/>
              <w:insideV w:val="single" w:sz="10" w:space="0"/>
            </w:tcBorders>
            <w:vAlign w:val="center"/>
          </w:tcPr>
          <w:p w14:paraId="18E7FDD6">
            <w:pPr>
              <w:jc w:val="center"/>
            </w:pPr>
            <w:r>
              <w:rPr>
                <w:rFonts w:ascii="宋体" w:hAnsi="宋体" w:eastAsia="宋体"/>
                <w:sz w:val="16"/>
              </w:rPr>
              <w:t>10</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2EF0FAEC">
            <w:pPr>
              <w:jc w:val="center"/>
            </w:pPr>
            <w:r>
              <w:rPr>
                <w:rFonts w:ascii="宋体" w:hAnsi="宋体" w:eastAsia="宋体"/>
                <w:sz w:val="16"/>
              </w:rPr>
              <w:t>满意度赋分</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14:paraId="1FDF57EE">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59B65361">
            <w:pPr>
              <w:jc w:val="center"/>
            </w:pPr>
            <w:r>
              <w:rPr>
                <w:rFonts w:ascii="宋体" w:hAnsi="宋体" w:eastAsia="宋体"/>
                <w:sz w:val="16"/>
              </w:rPr>
              <w:t>=100%</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14:paraId="359120D4">
            <w:pPr>
              <w:jc w:val="center"/>
            </w:pPr>
            <w:r>
              <w:rPr>
                <w:rFonts w:ascii="宋体" w:hAnsi="宋体" w:eastAsia="宋体"/>
                <w:sz w:val="16"/>
              </w:rPr>
              <w:t>10</w:t>
            </w:r>
          </w:p>
        </w:tc>
        <w:tc>
          <w:tcPr>
            <w:tcW w:w="121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DB885D">
            <w:pPr>
              <w:jc w:val="center"/>
            </w:pPr>
          </w:p>
        </w:tc>
      </w:tr>
      <w:tr w14:paraId="2062EB6D">
        <w:tblPrEx>
          <w:tblCellMar>
            <w:top w:w="0" w:type="dxa"/>
            <w:left w:w="108" w:type="dxa"/>
            <w:bottom w:w="0" w:type="dxa"/>
            <w:right w:w="108" w:type="dxa"/>
          </w:tblCellMar>
        </w:tblPrEx>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1945A127">
            <w:pPr>
              <w:jc w:val="center"/>
            </w:pPr>
            <w:r>
              <w:rPr>
                <w:rFonts w:ascii="宋体" w:hAnsi="宋体" w:eastAsia="宋体"/>
                <w:sz w:val="16"/>
              </w:rPr>
              <w:t>总分</w:t>
            </w:r>
          </w:p>
        </w:tc>
        <w:tc>
          <w:tcPr>
            <w:tcW w:w="457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5DD4CEF">
            <w:pPr>
              <w:jc w:val="center"/>
            </w:pPr>
            <w:r>
              <w:rPr>
                <w:rFonts w:ascii="宋体" w:hAnsi="宋体" w:eastAsia="宋体"/>
                <w:sz w:val="16"/>
              </w:rPr>
              <w:t>100</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56B073D8">
            <w:pPr>
              <w:jc w:val="center"/>
            </w:pPr>
            <w:r>
              <w:rPr>
                <w:rFonts w:ascii="宋体" w:hAnsi="宋体" w:eastAsia="宋体"/>
                <w:sz w:val="16"/>
              </w:rPr>
              <w:t>得分</w:t>
            </w:r>
          </w:p>
        </w:tc>
        <w:tc>
          <w:tcPr>
            <w:tcW w:w="3246"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91ECDC6">
            <w:pPr>
              <w:jc w:val="center"/>
            </w:pPr>
            <w:r>
              <w:rPr>
                <w:rFonts w:ascii="宋体" w:hAnsi="宋体" w:eastAsia="宋体"/>
                <w:sz w:val="16"/>
              </w:rPr>
              <w:t>99.18分</w:t>
            </w:r>
          </w:p>
        </w:tc>
      </w:tr>
    </w:tbl>
    <w:p w14:paraId="4DA94F06">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14:paraId="4C8A7774">
        <w:tblPrEx>
          <w:tblCellMar>
            <w:top w:w="0" w:type="dxa"/>
            <w:left w:w="108" w:type="dxa"/>
            <w:bottom w:w="0" w:type="dxa"/>
            <w:right w:w="108" w:type="dxa"/>
          </w:tblCellMar>
        </w:tblPrEx>
        <w:tc>
          <w:tcPr>
            <w:tcW w:w="8848" w:type="dxa"/>
            <w:gridSpan w:val="14"/>
            <w:vAlign w:val="center"/>
          </w:tcPr>
          <w:p w14:paraId="3D692F98">
            <w:pPr>
              <w:jc w:val="center"/>
            </w:pPr>
            <w:r>
              <w:rPr>
                <w:rFonts w:ascii="宋体" w:hAnsi="宋体" w:eastAsia="宋体"/>
                <w:sz w:val="24"/>
              </w:rPr>
              <w:t>项目支出绩效自评表</w:t>
            </w:r>
          </w:p>
        </w:tc>
      </w:tr>
      <w:tr w14:paraId="19CE48D4">
        <w:tblPrEx>
          <w:tblCellMar>
            <w:top w:w="0" w:type="dxa"/>
            <w:left w:w="108" w:type="dxa"/>
            <w:bottom w:w="0" w:type="dxa"/>
            <w:right w:w="108" w:type="dxa"/>
          </w:tblCellMar>
        </w:tblPrEx>
        <w:tc>
          <w:tcPr>
            <w:tcW w:w="8848" w:type="dxa"/>
            <w:gridSpan w:val="14"/>
            <w:vAlign w:val="center"/>
          </w:tcPr>
          <w:p w14:paraId="1EF63324">
            <w:pPr>
              <w:jc w:val="center"/>
            </w:pPr>
            <w:r>
              <w:rPr>
                <w:rFonts w:ascii="宋体" w:hAnsi="宋体" w:eastAsia="宋体"/>
                <w:sz w:val="24"/>
              </w:rPr>
              <w:t>(2024年度)</w:t>
            </w:r>
          </w:p>
        </w:tc>
      </w:tr>
      <w:tr w14:paraId="71C95ED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49C3FE">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9BB121E">
            <w:pPr>
              <w:jc w:val="center"/>
            </w:pPr>
            <w:r>
              <w:rPr>
                <w:rFonts w:ascii="宋体" w:hAnsi="宋体" w:eastAsia="宋体"/>
                <w:sz w:val="16"/>
              </w:rPr>
              <w:t>麦盖提县级医院医疗提升、巡诊义诊服务项目</w:t>
            </w:r>
          </w:p>
        </w:tc>
      </w:tr>
      <w:tr w14:paraId="6736695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627A22">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B9233D9">
            <w:pPr>
              <w:jc w:val="center"/>
            </w:pPr>
            <w:r>
              <w:rPr>
                <w:rFonts w:ascii="宋体" w:hAnsi="宋体" w:eastAsia="宋体"/>
                <w:sz w:val="16"/>
              </w:rPr>
              <w:t>麦盖提县妇幼保健计划生育服务中心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52CDCB">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02A3FB3">
            <w:pPr>
              <w:jc w:val="center"/>
            </w:pPr>
            <w:r>
              <w:rPr>
                <w:rFonts w:ascii="宋体" w:hAnsi="宋体" w:eastAsia="宋体"/>
                <w:sz w:val="16"/>
              </w:rPr>
              <w:t>麦盖提县妇幼保健计划生育服务中心</w:t>
            </w:r>
          </w:p>
        </w:tc>
      </w:tr>
      <w:tr w14:paraId="11696B8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32C9E0">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4E2403">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6D71D3">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C800BC">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40F799">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26FC27">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A8FDE5">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C423CA">
            <w:pPr>
              <w:jc w:val="center"/>
            </w:pPr>
            <w:r>
              <w:rPr>
                <w:rFonts w:ascii="宋体" w:hAnsi="宋体" w:eastAsia="宋体"/>
                <w:sz w:val="16"/>
              </w:rPr>
              <w:t>得分</w:t>
            </w:r>
          </w:p>
        </w:tc>
      </w:tr>
      <w:tr w14:paraId="54BC660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A76A1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C69682">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50C222">
            <w:pPr>
              <w:jc w:val="center"/>
            </w:pPr>
            <w:r>
              <w:rPr>
                <w:rFonts w:ascii="宋体" w:hAnsi="宋体" w:eastAsia="宋体"/>
                <w:sz w:val="16"/>
              </w:rPr>
              <w:t>55.00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76B0E5">
            <w:pPr>
              <w:jc w:val="center"/>
            </w:pPr>
            <w:r>
              <w:rPr>
                <w:rFonts w:ascii="宋体" w:hAnsi="宋体" w:eastAsia="宋体"/>
                <w:sz w:val="16"/>
              </w:rPr>
              <w:t>55.00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894231">
            <w:pPr>
              <w:jc w:val="center"/>
            </w:pPr>
            <w:r>
              <w:rPr>
                <w:rFonts w:ascii="宋体" w:hAnsi="宋体" w:eastAsia="宋体"/>
                <w:sz w:val="16"/>
              </w:rPr>
              <w:t>54.59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91546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178F55">
            <w:pPr>
              <w:jc w:val="center"/>
            </w:pPr>
            <w:r>
              <w:rPr>
                <w:rFonts w:ascii="宋体" w:hAnsi="宋体" w:eastAsia="宋体"/>
                <w:sz w:val="16"/>
              </w:rPr>
              <w:t>99.3%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D01541">
            <w:pPr>
              <w:jc w:val="center"/>
            </w:pPr>
            <w:r>
              <w:rPr>
                <w:rFonts w:ascii="宋体" w:hAnsi="宋体" w:eastAsia="宋体"/>
                <w:sz w:val="16"/>
              </w:rPr>
              <w:t>9.81分</w:t>
            </w:r>
          </w:p>
        </w:tc>
      </w:tr>
      <w:tr w14:paraId="00B801A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D110A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7957BC">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0CAB0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86D77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B1A0C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740FA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A6125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A051A3">
            <w:pPr>
              <w:jc w:val="center"/>
            </w:pPr>
            <w:r>
              <w:rPr>
                <w:rFonts w:ascii="宋体" w:hAnsi="宋体" w:eastAsia="宋体"/>
                <w:sz w:val="16"/>
              </w:rPr>
              <w:t>—</w:t>
            </w:r>
          </w:p>
        </w:tc>
      </w:tr>
      <w:tr w14:paraId="0B1825D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B24BB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204441">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9F7952">
            <w:pPr>
              <w:jc w:val="center"/>
            </w:pPr>
            <w:r>
              <w:rPr>
                <w:rFonts w:ascii="宋体" w:hAnsi="宋体" w:eastAsia="宋体"/>
                <w:sz w:val="16"/>
              </w:rPr>
              <w:t>55.00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45CF6D">
            <w:pPr>
              <w:jc w:val="center"/>
            </w:pPr>
            <w:r>
              <w:rPr>
                <w:rFonts w:ascii="宋体" w:hAnsi="宋体" w:eastAsia="宋体"/>
                <w:sz w:val="16"/>
              </w:rPr>
              <w:t>55.00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2817FD">
            <w:pPr>
              <w:jc w:val="center"/>
            </w:pPr>
            <w:r>
              <w:rPr>
                <w:rFonts w:ascii="宋体" w:hAnsi="宋体" w:eastAsia="宋体"/>
                <w:sz w:val="16"/>
              </w:rPr>
              <w:t>54.59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5E463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760A1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7222EB">
            <w:pPr>
              <w:jc w:val="center"/>
            </w:pPr>
            <w:r>
              <w:rPr>
                <w:rFonts w:ascii="宋体" w:hAnsi="宋体" w:eastAsia="宋体"/>
                <w:sz w:val="16"/>
              </w:rPr>
              <w:t>—</w:t>
            </w:r>
          </w:p>
        </w:tc>
      </w:tr>
      <w:tr w14:paraId="4F08E0C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69C157">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EC9352E">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424081B">
            <w:pPr>
              <w:jc w:val="center"/>
            </w:pPr>
            <w:r>
              <w:rPr>
                <w:rFonts w:ascii="宋体" w:hAnsi="宋体" w:eastAsia="宋体"/>
                <w:sz w:val="16"/>
              </w:rPr>
              <w:t>实际完成情况</w:t>
            </w:r>
          </w:p>
        </w:tc>
      </w:tr>
      <w:tr w14:paraId="302F2DE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2692A5"/>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BD0EFDD">
            <w:pPr>
              <w:jc w:val="both"/>
            </w:pPr>
            <w:r>
              <w:rPr>
                <w:rFonts w:ascii="宋体" w:hAnsi="宋体" w:eastAsia="宋体"/>
                <w:sz w:val="16"/>
              </w:rPr>
              <w:t>项目总金额55万元，主要用于1.信息化建设软</w:t>
            </w:r>
            <w:r>
              <w:rPr>
                <w:rFonts w:hint="eastAsia" w:ascii="宋体" w:hAnsi="宋体"/>
                <w:sz w:val="16"/>
                <w:lang w:eastAsia="zh-CN"/>
              </w:rPr>
              <w:t>硬件</w:t>
            </w:r>
            <w:r>
              <w:rPr>
                <w:rFonts w:ascii="宋体" w:hAnsi="宋体" w:eastAsia="宋体"/>
                <w:sz w:val="16"/>
              </w:rPr>
              <w:t>及相关服务5批次采购，包括安装连接国家传染病智能监测预警前置软件、检验检查结果互认系统前置软硬件、His系统移动医护模块、药品追溯码前置软件等，2.预计开展巡诊义诊服务活动不少于22场次，义诊人员不少于3500人，发放药品不少于35种、2000盒，免费测血糖不少于1500人。项目的实施搭建了一个稳定、高效、安全、可管理并可持续发展的适应性基础平台，有效促进了单位的内涵建设，提高医疗质量，逐步提高群众满意度，增强群众的就医获得感和幸福感。</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0B9640F">
            <w:pPr>
              <w:jc w:val="both"/>
            </w:pPr>
            <w:r>
              <w:rPr>
                <w:rFonts w:hint="eastAsia" w:ascii="宋体" w:hAnsi="宋体"/>
                <w:sz w:val="16"/>
                <w:lang w:eastAsia="zh-CN"/>
              </w:rPr>
              <w:t>截至</w:t>
            </w:r>
            <w:r>
              <w:rPr>
                <w:rFonts w:ascii="宋体" w:hAnsi="宋体" w:eastAsia="宋体"/>
                <w:sz w:val="16"/>
              </w:rPr>
              <w:t>自评日，项目已支出金额为54.59万元，1.已采购信息化建设软</w:t>
            </w:r>
            <w:r>
              <w:rPr>
                <w:rFonts w:hint="eastAsia" w:ascii="宋体" w:hAnsi="宋体"/>
                <w:sz w:val="16"/>
                <w:lang w:eastAsia="zh-CN"/>
              </w:rPr>
              <w:t>硬件</w:t>
            </w:r>
            <w:r>
              <w:rPr>
                <w:rFonts w:ascii="宋体" w:hAnsi="宋体" w:eastAsia="宋体"/>
                <w:sz w:val="16"/>
              </w:rPr>
              <w:t>及相关服务5批次，包括安装连接国家传染病智能监测预警前置软件、检验检查结果互认系统前置软硬件、His系统移动医护模块、药品追溯码前置软件等，2.已开展巡诊义诊服务活动22场次，义诊人员3500人，发放药品35种、2000盒，免费测血糖1500人。项目的实施搭建了一个稳定、高效、安全、可管理并可持续发展的适应性基础平台，有效促进了单位的内涵建设，提高了医疗质量，提高了群众满意度，增强了群众的就医获得感和幸福感。</w:t>
            </w:r>
          </w:p>
        </w:tc>
      </w:tr>
      <w:tr w14:paraId="0D81470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8A8C60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1C965B">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312B22">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9BCC7E">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936FA2">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E7E7AE">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92050F">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6D3274">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C5BE0E">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7B626C">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D87E70">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59B056">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82B8E3">
            <w:pPr>
              <w:jc w:val="center"/>
            </w:pPr>
            <w:r>
              <w:rPr>
                <w:rFonts w:ascii="宋体" w:hAnsi="宋体" w:eastAsia="宋体"/>
                <w:sz w:val="16"/>
              </w:rPr>
              <w:t>偏差原因分析及改进措施</w:t>
            </w:r>
          </w:p>
        </w:tc>
      </w:tr>
      <w:tr w14:paraId="4958AB5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7F47F2">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A47EA60">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55D2D0B">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CCE5DF">
            <w:pPr>
              <w:jc w:val="center"/>
            </w:pPr>
            <w:r>
              <w:rPr>
                <w:rFonts w:ascii="宋体" w:hAnsi="宋体" w:eastAsia="宋体"/>
                <w:sz w:val="16"/>
              </w:rPr>
              <w:t>信息化建设</w:t>
            </w:r>
            <w:r>
              <w:rPr>
                <w:rFonts w:hint="eastAsia" w:ascii="宋体" w:hAnsi="宋体"/>
                <w:sz w:val="16"/>
                <w:lang w:eastAsia="zh-CN"/>
              </w:rPr>
              <w:t>软硬件</w:t>
            </w:r>
            <w:r>
              <w:rPr>
                <w:rFonts w:ascii="宋体" w:hAnsi="宋体" w:eastAsia="宋体"/>
                <w:sz w:val="16"/>
              </w:rPr>
              <w:t>相关服务采购批次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5FF081">
            <w:pPr>
              <w:jc w:val="center"/>
            </w:pPr>
            <w:r>
              <w:rPr>
                <w:rFonts w:ascii="宋体" w:hAnsi="宋体" w:eastAsia="宋体"/>
                <w:sz w:val="16"/>
              </w:rPr>
              <w:t>&gt;=5批次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53B1D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75623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3E180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329A7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8741A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F43D48">
            <w:pPr>
              <w:jc w:val="center"/>
            </w:pPr>
            <w:r>
              <w:rPr>
                <w:rFonts w:ascii="宋体" w:hAnsi="宋体" w:eastAsia="宋体"/>
                <w:sz w:val="16"/>
              </w:rPr>
              <w:t>=5批次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ED004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1E31CB">
            <w:pPr>
              <w:jc w:val="center"/>
            </w:pPr>
          </w:p>
        </w:tc>
      </w:tr>
      <w:tr w14:paraId="43758B5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47F95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B56CE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5A0BB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3BB053">
            <w:pPr>
              <w:jc w:val="center"/>
            </w:pPr>
            <w:r>
              <w:rPr>
                <w:rFonts w:ascii="宋体" w:hAnsi="宋体" w:eastAsia="宋体"/>
                <w:sz w:val="16"/>
              </w:rPr>
              <w:t>开展巡诊义诊服务活动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090655">
            <w:pPr>
              <w:jc w:val="center"/>
            </w:pPr>
            <w:r>
              <w:rPr>
                <w:rFonts w:ascii="宋体" w:hAnsi="宋体" w:eastAsia="宋体"/>
                <w:sz w:val="16"/>
              </w:rPr>
              <w:t>&gt;=22次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18839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67B3D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7425F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BAF74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2103B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F6D35B">
            <w:pPr>
              <w:jc w:val="center"/>
            </w:pPr>
            <w:r>
              <w:rPr>
                <w:rFonts w:ascii="宋体" w:hAnsi="宋体" w:eastAsia="宋体"/>
                <w:sz w:val="16"/>
              </w:rPr>
              <w:t>=22次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F6DFC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1B3DBA">
            <w:pPr>
              <w:jc w:val="center"/>
            </w:pPr>
          </w:p>
        </w:tc>
      </w:tr>
      <w:tr w14:paraId="20B0A61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0C408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51A1B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7A22AD">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A59AB1">
            <w:pPr>
              <w:jc w:val="center"/>
            </w:pPr>
            <w:r>
              <w:rPr>
                <w:rFonts w:ascii="宋体" w:hAnsi="宋体" w:eastAsia="宋体"/>
                <w:sz w:val="16"/>
              </w:rPr>
              <w:t>采购软件验收合格率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C7F19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7EDC3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06735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F0558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7172E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88671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406C8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BDFA5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502CAC">
            <w:pPr>
              <w:jc w:val="center"/>
            </w:pPr>
          </w:p>
        </w:tc>
      </w:tr>
      <w:tr w14:paraId="6FFBCEB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01D1E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6D5E8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C9E113">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976556">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05ECF9">
            <w:pPr>
              <w:jc w:val="center"/>
            </w:pPr>
            <w:r>
              <w:rPr>
                <w:rFonts w:ascii="宋体" w:hAnsi="宋体" w:eastAsia="宋体"/>
                <w:sz w:val="16"/>
              </w:rPr>
              <w:t>=2024年12月20日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A04EA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1758D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BC691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8FF92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0D503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73C2AB">
            <w:pPr>
              <w:jc w:val="center"/>
            </w:pPr>
            <w:r>
              <w:rPr>
                <w:rFonts w:ascii="宋体" w:hAnsi="宋体" w:eastAsia="宋体"/>
                <w:sz w:val="16"/>
              </w:rPr>
              <w:t>=2024年12月19日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7995C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9C2366">
            <w:pPr>
              <w:jc w:val="center"/>
            </w:pPr>
          </w:p>
        </w:tc>
      </w:tr>
      <w:tr w14:paraId="3015E9A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FCCAD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D850B5E">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C89A01">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A0B73B">
            <w:pPr>
              <w:jc w:val="center"/>
            </w:pPr>
            <w:r>
              <w:rPr>
                <w:rFonts w:ascii="宋体" w:hAnsi="宋体" w:eastAsia="宋体"/>
                <w:sz w:val="16"/>
              </w:rPr>
              <w:t>医疗提升信息化建设成本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752AFB">
            <w:pPr>
              <w:jc w:val="center"/>
            </w:pPr>
            <w:r>
              <w:rPr>
                <w:rFonts w:ascii="宋体" w:hAnsi="宋体" w:eastAsia="宋体"/>
                <w:sz w:val="16"/>
              </w:rPr>
              <w:t>&lt;=50.18万元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7E1B7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1D942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EFA6B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9BD29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82F68B">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B78009">
            <w:pPr>
              <w:jc w:val="center"/>
            </w:pPr>
            <w:r>
              <w:rPr>
                <w:rFonts w:ascii="宋体" w:hAnsi="宋体" w:eastAsia="宋体"/>
                <w:sz w:val="16"/>
              </w:rPr>
              <w:t>=50.18万元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FAA3D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5FB9BB">
            <w:pPr>
              <w:jc w:val="center"/>
            </w:pPr>
          </w:p>
        </w:tc>
      </w:tr>
      <w:tr w14:paraId="6932234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70A94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C5C23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C6CBC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18C5DC">
            <w:pPr>
              <w:jc w:val="center"/>
            </w:pPr>
            <w:r>
              <w:rPr>
                <w:rFonts w:ascii="宋体" w:hAnsi="宋体" w:eastAsia="宋体"/>
                <w:sz w:val="16"/>
              </w:rPr>
              <w:t>开展巡诊、义诊、免费发放药品成本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EE1604">
            <w:pPr>
              <w:jc w:val="center"/>
            </w:pPr>
            <w:r>
              <w:rPr>
                <w:rFonts w:ascii="宋体" w:hAnsi="宋体" w:eastAsia="宋体"/>
                <w:sz w:val="16"/>
              </w:rPr>
              <w:t>&lt;=4.82万元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C9BCB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5BCF0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B7FB4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47B3F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DB022B">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0B6114">
            <w:pPr>
              <w:jc w:val="center"/>
            </w:pPr>
            <w:r>
              <w:rPr>
                <w:rFonts w:ascii="宋体" w:hAnsi="宋体" w:eastAsia="宋体"/>
                <w:sz w:val="16"/>
              </w:rPr>
              <w:t>=4.41万元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CC3EC1">
            <w:pPr>
              <w:jc w:val="center"/>
            </w:pPr>
            <w:r>
              <w:rPr>
                <w:rFonts w:ascii="宋体" w:hAnsi="宋体" w:eastAsia="宋体"/>
                <w:sz w:val="16"/>
              </w:rPr>
              <w:t>7.88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D90BAB">
            <w:pPr>
              <w:jc w:val="center"/>
            </w:pPr>
            <w:r>
              <w:rPr>
                <w:rFonts w:hint="eastAsia" w:ascii="宋体" w:hAnsi="宋体"/>
                <w:sz w:val="16"/>
                <w:lang w:eastAsia="zh-CN"/>
              </w:rPr>
              <w:t>本</w:t>
            </w:r>
            <w:r>
              <w:rPr>
                <w:rFonts w:hint="eastAsia" w:ascii="宋体" w:hAnsi="宋体"/>
                <w:sz w:val="16"/>
                <w:lang w:val="en-US" w:eastAsia="zh-CN"/>
              </w:rPr>
              <w:t>年</w:t>
            </w:r>
            <w:r>
              <w:rPr>
                <w:rFonts w:ascii="宋体" w:hAnsi="宋体" w:eastAsia="宋体"/>
                <w:sz w:val="16"/>
              </w:rPr>
              <w:t>项目已实施完毕，资金存在结余。改进措施：下年度细化预算编制工作，认真做好预算的编制。</w:t>
            </w:r>
          </w:p>
        </w:tc>
      </w:tr>
      <w:tr w14:paraId="430829B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FE905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7AFBC9">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653F53">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E0CC12">
            <w:pPr>
              <w:jc w:val="center"/>
            </w:pPr>
            <w:r>
              <w:rPr>
                <w:rFonts w:ascii="宋体" w:hAnsi="宋体" w:eastAsia="宋体"/>
                <w:sz w:val="16"/>
              </w:rPr>
              <w:t>提高医疗质量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B6DEB4">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979A5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9A1E8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6D79F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C186CF">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AEA23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D20B8E">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B3C507">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FF3158">
            <w:pPr>
              <w:jc w:val="center"/>
            </w:pPr>
          </w:p>
        </w:tc>
      </w:tr>
      <w:tr w14:paraId="3155986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03EA7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F747A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73163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FD6BCF">
            <w:pPr>
              <w:jc w:val="center"/>
            </w:pPr>
            <w:r>
              <w:rPr>
                <w:rFonts w:ascii="宋体" w:hAnsi="宋体" w:eastAsia="宋体"/>
                <w:sz w:val="16"/>
              </w:rPr>
              <w:t>接受义诊巡诊人员满意度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25DF0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BF60A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26699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C133A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90EC45">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60A80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5258F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0A096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2CDAA1">
            <w:pPr>
              <w:jc w:val="center"/>
            </w:pPr>
          </w:p>
        </w:tc>
      </w:tr>
      <w:tr w14:paraId="585D5F6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1E2D3A">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410150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1D235F">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8713D98">
            <w:pPr>
              <w:jc w:val="center"/>
            </w:pPr>
            <w:r>
              <w:rPr>
                <w:rFonts w:ascii="宋体" w:hAnsi="宋体" w:eastAsia="宋体"/>
                <w:sz w:val="16"/>
              </w:rPr>
              <w:t>97.69分</w:t>
            </w:r>
          </w:p>
        </w:tc>
      </w:tr>
    </w:tbl>
    <w:p w14:paraId="19E1C215">
      <w:r>
        <w:br w:type="page"/>
      </w:r>
    </w:p>
    <w:p w14:paraId="40F7C597">
      <w:pPr>
        <w:spacing w:line="640" w:lineRule="exact"/>
        <w:ind w:firstLine="640"/>
        <w:jc w:val="both"/>
        <w:outlineLvl w:val="2"/>
      </w:pPr>
      <w:r>
        <w:rPr>
          <w:rFonts w:ascii="黑体" w:hAnsi="黑体" w:eastAsia="黑体"/>
          <w:sz w:val="32"/>
        </w:rPr>
        <w:t>十二、其他需说明的事项</w:t>
      </w:r>
    </w:p>
    <w:p w14:paraId="1BE6BE75">
      <w:pPr>
        <w:spacing w:line="580" w:lineRule="exact"/>
        <w:ind w:firstLine="640"/>
        <w:jc w:val="both"/>
      </w:pPr>
      <w:r>
        <w:rPr>
          <w:rFonts w:ascii="仿宋_GB2312" w:hAnsi="仿宋_GB2312" w:eastAsia="仿宋_GB2312"/>
          <w:b w:val="0"/>
          <w:sz w:val="32"/>
        </w:rPr>
        <w:t>本单位无其他需说明的事项。</w:t>
      </w:r>
    </w:p>
    <w:p w14:paraId="417F874C">
      <w:r>
        <w:br w:type="page"/>
      </w:r>
    </w:p>
    <w:p w14:paraId="19E48912">
      <w:pPr>
        <w:spacing w:line="240" w:lineRule="auto"/>
        <w:jc w:val="center"/>
        <w:outlineLvl w:val="1"/>
      </w:pPr>
      <w:r>
        <w:rPr>
          <w:rFonts w:ascii="黑体" w:hAnsi="黑体" w:eastAsia="黑体"/>
          <w:sz w:val="32"/>
        </w:rPr>
        <w:t>第三部分 专业名词解释</w:t>
      </w:r>
    </w:p>
    <w:p w14:paraId="4E7CACFF">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52AFE38B">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6EEA7465">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57E7687A">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1FBFEC18">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2897FA94">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07CEF62B">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32608F18">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34DB48E1">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5769D6D0">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2D9C4777">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600DB50E">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52A7C46E">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3DCAF1F1">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77BD6BBD">
      <w:r>
        <w:br w:type="page"/>
      </w:r>
    </w:p>
    <w:p w14:paraId="511CFB38">
      <w:pPr>
        <w:spacing w:line="240" w:lineRule="auto"/>
        <w:jc w:val="center"/>
        <w:outlineLvl w:val="1"/>
      </w:pPr>
      <w:r>
        <w:rPr>
          <w:rFonts w:ascii="黑体" w:hAnsi="黑体" w:eastAsia="黑体"/>
          <w:sz w:val="32"/>
        </w:rPr>
        <w:t>第四部分 部门决算报表（见附表）</w:t>
      </w:r>
    </w:p>
    <w:p w14:paraId="38683223">
      <w:pPr>
        <w:spacing w:line="240" w:lineRule="auto"/>
        <w:ind w:firstLine="640"/>
        <w:jc w:val="both"/>
      </w:pPr>
      <w:r>
        <w:rPr>
          <w:rFonts w:ascii="仿宋_GB2312" w:hAnsi="仿宋_GB2312" w:eastAsia="仿宋_GB2312"/>
          <w:b w:val="0"/>
          <w:sz w:val="32"/>
        </w:rPr>
        <w:t>一、《收入支出决算总表》</w:t>
      </w:r>
    </w:p>
    <w:p w14:paraId="6F827824">
      <w:pPr>
        <w:spacing w:line="240" w:lineRule="auto"/>
        <w:ind w:firstLine="640"/>
        <w:jc w:val="both"/>
      </w:pPr>
      <w:r>
        <w:rPr>
          <w:rFonts w:ascii="仿宋_GB2312" w:hAnsi="仿宋_GB2312" w:eastAsia="仿宋_GB2312"/>
          <w:b w:val="0"/>
          <w:sz w:val="32"/>
        </w:rPr>
        <w:t>二、《收入决算表》</w:t>
      </w:r>
    </w:p>
    <w:p w14:paraId="09CA484E">
      <w:pPr>
        <w:spacing w:line="240" w:lineRule="auto"/>
        <w:ind w:firstLine="640"/>
        <w:jc w:val="both"/>
      </w:pPr>
      <w:r>
        <w:rPr>
          <w:rFonts w:ascii="仿宋_GB2312" w:hAnsi="仿宋_GB2312" w:eastAsia="仿宋_GB2312"/>
          <w:b w:val="0"/>
          <w:sz w:val="32"/>
        </w:rPr>
        <w:t>三、《支出决算表》</w:t>
      </w:r>
    </w:p>
    <w:p w14:paraId="36A81B32">
      <w:pPr>
        <w:spacing w:line="240" w:lineRule="auto"/>
        <w:ind w:firstLine="640"/>
        <w:jc w:val="both"/>
      </w:pPr>
      <w:r>
        <w:rPr>
          <w:rFonts w:ascii="仿宋_GB2312" w:hAnsi="仿宋_GB2312" w:eastAsia="仿宋_GB2312"/>
          <w:b w:val="0"/>
          <w:sz w:val="32"/>
        </w:rPr>
        <w:t>四、《财政拨款收入支出决算总表》</w:t>
      </w:r>
    </w:p>
    <w:p w14:paraId="4DC34E26">
      <w:pPr>
        <w:spacing w:line="240" w:lineRule="auto"/>
        <w:ind w:firstLine="640"/>
        <w:jc w:val="both"/>
      </w:pPr>
      <w:r>
        <w:rPr>
          <w:rFonts w:ascii="仿宋_GB2312" w:hAnsi="仿宋_GB2312" w:eastAsia="仿宋_GB2312"/>
          <w:b w:val="0"/>
          <w:sz w:val="32"/>
        </w:rPr>
        <w:t>五、《一般公共预算财政拨款支出决算表》</w:t>
      </w:r>
    </w:p>
    <w:p w14:paraId="10D94368">
      <w:pPr>
        <w:spacing w:line="240" w:lineRule="auto"/>
        <w:ind w:firstLine="640"/>
        <w:jc w:val="both"/>
      </w:pPr>
      <w:r>
        <w:rPr>
          <w:rFonts w:ascii="仿宋_GB2312" w:hAnsi="仿宋_GB2312" w:eastAsia="仿宋_GB2312"/>
          <w:b w:val="0"/>
          <w:sz w:val="32"/>
        </w:rPr>
        <w:t>六、《一般公共预算财政拨款基本支出决算表》</w:t>
      </w:r>
    </w:p>
    <w:p w14:paraId="726CBD75">
      <w:pPr>
        <w:spacing w:line="240" w:lineRule="auto"/>
        <w:ind w:firstLine="640"/>
        <w:jc w:val="both"/>
      </w:pPr>
      <w:r>
        <w:rPr>
          <w:rFonts w:ascii="仿宋_GB2312" w:hAnsi="仿宋_GB2312" w:eastAsia="仿宋_GB2312"/>
          <w:b w:val="0"/>
          <w:sz w:val="32"/>
        </w:rPr>
        <w:t>七、《政府性基金预算财政拨款收入支出决算表》</w:t>
      </w:r>
    </w:p>
    <w:p w14:paraId="700DEA19">
      <w:pPr>
        <w:spacing w:line="240" w:lineRule="auto"/>
        <w:ind w:firstLine="640"/>
        <w:jc w:val="both"/>
      </w:pPr>
      <w:r>
        <w:rPr>
          <w:rFonts w:ascii="仿宋_GB2312" w:hAnsi="仿宋_GB2312" w:eastAsia="仿宋_GB2312"/>
          <w:b w:val="0"/>
          <w:sz w:val="32"/>
        </w:rPr>
        <w:t>八、《国有资本经营预算财政拨款收入支出决算表》</w:t>
      </w:r>
    </w:p>
    <w:p w14:paraId="56F71692">
      <w:pPr>
        <w:spacing w:line="240" w:lineRule="auto"/>
        <w:ind w:firstLine="640"/>
        <w:jc w:val="both"/>
      </w:pPr>
      <w:r>
        <w:rPr>
          <w:rFonts w:ascii="仿宋_GB2312" w:hAnsi="仿宋_GB2312" w:eastAsia="仿宋_GB2312"/>
          <w:b w:val="0"/>
          <w:sz w:val="32"/>
        </w:rPr>
        <w:t>九、《财政拨款“三公”经费支出决算表》</w:t>
      </w:r>
    </w:p>
    <w:p w14:paraId="40CDBE21">
      <w:pPr>
        <w:spacing w:line="240" w:lineRule="auto"/>
        <w:ind w:firstLine="640"/>
        <w:jc w:val="both"/>
      </w:pPr>
    </w:p>
    <w:p w14:paraId="025566E7">
      <w:pPr>
        <w:spacing w:line="240" w:lineRule="auto"/>
        <w:ind w:firstLine="640"/>
        <w:jc w:val="both"/>
      </w:pPr>
    </w:p>
    <w:p w14:paraId="6DB5C97C">
      <w:pPr>
        <w:spacing w:line="240" w:lineRule="auto"/>
        <w:ind w:firstLine="640"/>
        <w:jc w:val="both"/>
      </w:pPr>
    </w:p>
    <w:p w14:paraId="64B4B666">
      <w:pPr>
        <w:spacing w:line="240" w:lineRule="auto"/>
        <w:ind w:firstLine="640"/>
        <w:jc w:val="both"/>
      </w:pPr>
    </w:p>
    <w:p w14:paraId="30BDD3D4">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7"/>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45A3A1B"/>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1EF556A"/>
    <w:rsid w:val="52F92565"/>
    <w:rsid w:val="543D17CB"/>
    <w:rsid w:val="55DA564E"/>
    <w:rsid w:val="56E07045"/>
    <w:rsid w:val="583059FA"/>
    <w:rsid w:val="587E6212"/>
    <w:rsid w:val="5AFC6609"/>
    <w:rsid w:val="5F9C52A1"/>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452DF5"/>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26</Pages>
  <Words>541</Words>
  <Characters>544</Characters>
  <Lines>0</Lines>
  <Paragraphs>0</Paragraphs>
  <TotalTime>26</TotalTime>
  <ScaleCrop>false</ScaleCrop>
  <LinksUpToDate>false</LinksUpToDate>
  <CharactersWithSpaces>550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周丽君</cp:lastModifiedBy>
  <cp:lastPrinted>2024-07-22T11:58:00Z</cp:lastPrinted>
  <dcterms:modified xsi:type="dcterms:W3CDTF">2025-09-04T03:46:15Z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eyJoZGlkIjoiZjc0YWFlMzUxNjVlZTcxY2FlZTNjZDFlMzE3YzBjNDEiLCJ1c2VySWQiOiIyMDM3MTI1NTkifQ==</vt:lpwstr>
  </property>
</Properties>
</file>