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2ADFFDDE">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麦盖提县尕孜库勒乡中心卫生院</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C9EBF4F">
      <w:r>
        <w:br w:type="page"/>
      </w:r>
    </w:p>
    <w:p w14:paraId="4704F569">
      <w:pPr>
        <w:spacing w:line="640" w:lineRule="exact"/>
        <w:jc w:val="center"/>
        <w:outlineLvl w:val="1"/>
      </w:pPr>
      <w:r>
        <w:rPr>
          <w:rFonts w:ascii="黑体" w:hAnsi="黑体" w:eastAsia="黑体"/>
          <w:sz w:val="32"/>
        </w:rPr>
        <w:t>第一部分 单位概况</w:t>
      </w:r>
    </w:p>
    <w:p w14:paraId="4253EC0E">
      <w:pPr>
        <w:spacing w:line="640" w:lineRule="exact"/>
        <w:ind w:firstLine="640"/>
        <w:jc w:val="both"/>
        <w:outlineLvl w:val="2"/>
      </w:pPr>
      <w:r>
        <w:rPr>
          <w:rFonts w:ascii="黑体" w:hAnsi="黑体" w:eastAsia="黑体"/>
          <w:sz w:val="32"/>
        </w:rPr>
        <w:t>一、主要职能</w:t>
      </w:r>
    </w:p>
    <w:p w14:paraId="738A2A98">
      <w:pPr>
        <w:spacing w:line="580" w:lineRule="exact"/>
        <w:ind w:firstLine="640"/>
        <w:jc w:val="both"/>
      </w:pPr>
      <w:r>
        <w:rPr>
          <w:rFonts w:ascii="仿宋_GB2312" w:hAnsi="仿宋_GB2312" w:eastAsia="仿宋_GB2312"/>
          <w:sz w:val="32"/>
        </w:rPr>
        <w:t>1、乡镇卫生院是乡村公共卫生工作的枢纽，它在乡村承担着政府的卫生行政职能，是农村疾病控制的中心，是农村初级卫生保健的核心，是农村社区卫生服务的指导中心。</w:t>
      </w:r>
    </w:p>
    <w:p w14:paraId="37A77609">
      <w:pPr>
        <w:spacing w:line="580" w:lineRule="exact"/>
        <w:ind w:firstLine="640"/>
        <w:jc w:val="both"/>
      </w:pPr>
      <w:r>
        <w:rPr>
          <w:rFonts w:ascii="仿宋_GB2312" w:hAnsi="仿宋_GB2312" w:eastAsia="仿宋_GB2312"/>
          <w:sz w:val="32"/>
        </w:rPr>
        <w:t>2、乡镇卫生院在从事公共卫生管理与服务的同时，要切实担负起“组织药品市场监管”的职能。具体地讲，就是要督促、指导辖区内医疗机构做好药品、医疗器械的采购、使用和管理工作，做好药械质量管理和药械法律法规宣传普及工作，及时向有关单位通报药械质量管理信息和药械质量方面的各类违法违规行为。</w:t>
      </w:r>
    </w:p>
    <w:p w14:paraId="5DDCADD2">
      <w:pPr>
        <w:spacing w:line="580" w:lineRule="exact"/>
        <w:ind w:firstLine="640"/>
        <w:jc w:val="both"/>
      </w:pPr>
      <w:r>
        <w:rPr>
          <w:rFonts w:ascii="仿宋_GB2312" w:hAnsi="仿宋_GB2312" w:eastAsia="仿宋_GB2312"/>
          <w:sz w:val="32"/>
        </w:rPr>
        <w:t>3、乡镇卫生院以公共卫生服务为主，综合提供预防、保健和基本医疗等服务。</w:t>
      </w:r>
    </w:p>
    <w:p w14:paraId="117630F3">
      <w:pPr>
        <w:spacing w:line="580" w:lineRule="exact"/>
        <w:ind w:firstLine="640"/>
        <w:jc w:val="both"/>
      </w:pPr>
      <w:r>
        <w:rPr>
          <w:rFonts w:ascii="仿宋_GB2312" w:hAnsi="仿宋_GB2312" w:eastAsia="仿宋_GB2312"/>
          <w:sz w:val="32"/>
        </w:rPr>
        <w:t>4、加强农村疾病预防控制，做好传染病、地方病防治和</w:t>
      </w:r>
      <w:r>
        <w:rPr>
          <w:rFonts w:hint="eastAsia" w:ascii="仿宋_GB2312" w:hAnsi="仿宋_GB2312" w:eastAsia="仿宋_GB2312"/>
          <w:sz w:val="32"/>
          <w:lang w:eastAsia="zh-CN"/>
        </w:rPr>
        <w:t>YQ</w:t>
      </w:r>
      <w:r>
        <w:rPr>
          <w:rFonts w:ascii="仿宋_GB2312" w:hAnsi="仿宋_GB2312" w:eastAsia="仿宋_GB2312"/>
          <w:sz w:val="32"/>
        </w:rPr>
        <w:t>等农村突发公共卫生事件报告工作，重点控制严重危害农民身体健康的传染病、地方病、职业病和寄生虫病等重大疾病。</w:t>
      </w:r>
    </w:p>
    <w:p w14:paraId="5E275AEA">
      <w:pPr>
        <w:spacing w:line="580" w:lineRule="exact"/>
        <w:ind w:firstLine="640"/>
        <w:jc w:val="both"/>
      </w:pPr>
      <w:r>
        <w:rPr>
          <w:rFonts w:ascii="仿宋_GB2312" w:hAnsi="仿宋_GB2312" w:eastAsia="仿宋_GB2312"/>
          <w:sz w:val="32"/>
        </w:rPr>
        <w:t>5、认真执行儿童计划免疫。积极开展慢性非传染性疾病的防治工作。</w:t>
      </w:r>
    </w:p>
    <w:p w14:paraId="6660DECB">
      <w:pPr>
        <w:spacing w:line="580" w:lineRule="exact"/>
        <w:ind w:firstLine="640"/>
        <w:jc w:val="both"/>
      </w:pPr>
      <w:r>
        <w:rPr>
          <w:rFonts w:ascii="仿宋_GB2312" w:hAnsi="仿宋_GB2312" w:eastAsia="仿宋_GB2312"/>
          <w:sz w:val="32"/>
        </w:rPr>
        <w:t>6、做好农村孕产妇和儿童保健工作，提高住院分娩率，改善儿童营养状况。</w:t>
      </w:r>
    </w:p>
    <w:p w14:paraId="10C3C8B9">
      <w:pPr>
        <w:spacing w:line="580" w:lineRule="exact"/>
        <w:ind w:firstLine="640"/>
        <w:jc w:val="both"/>
      </w:pPr>
      <w:r>
        <w:rPr>
          <w:rFonts w:ascii="仿宋_GB2312" w:hAnsi="仿宋_GB2312" w:eastAsia="仿宋_GB2312"/>
          <w:sz w:val="32"/>
        </w:rPr>
        <w:t>7、积极做好新型农村合作医疗的服务、</w:t>
      </w:r>
      <w:r>
        <w:rPr>
          <w:rFonts w:hint="eastAsia" w:ascii="仿宋_GB2312" w:hAnsi="仿宋_GB2312" w:eastAsia="仿宋_GB2312"/>
          <w:sz w:val="32"/>
          <w:lang w:eastAsia="zh-CN"/>
        </w:rPr>
        <w:t>JHSY</w:t>
      </w:r>
      <w:r>
        <w:rPr>
          <w:rFonts w:ascii="仿宋_GB2312" w:hAnsi="仿宋_GB2312" w:eastAsia="仿宋_GB2312"/>
          <w:sz w:val="32"/>
        </w:rPr>
        <w:t>技术指导、康复等工作。</w:t>
      </w:r>
    </w:p>
    <w:p w14:paraId="3867E30F">
      <w:pPr>
        <w:spacing w:line="640" w:lineRule="exact"/>
        <w:ind w:firstLine="640"/>
        <w:jc w:val="both"/>
        <w:outlineLvl w:val="2"/>
      </w:pPr>
      <w:r>
        <w:rPr>
          <w:rFonts w:ascii="黑体" w:hAnsi="黑体" w:eastAsia="黑体"/>
          <w:sz w:val="32"/>
        </w:rPr>
        <w:t>二、机构设置及人员情况</w:t>
      </w:r>
    </w:p>
    <w:p w14:paraId="42CA878F">
      <w:pPr>
        <w:spacing w:line="580" w:lineRule="exact"/>
        <w:ind w:firstLine="640"/>
        <w:jc w:val="both"/>
      </w:pPr>
      <w:r>
        <w:rPr>
          <w:rFonts w:ascii="仿宋_GB2312" w:hAnsi="仿宋_GB2312" w:eastAsia="仿宋_GB2312"/>
          <w:sz w:val="32"/>
        </w:rPr>
        <w:t>麦盖提县尕孜库勒乡中心卫生院2024年度，实有人数39人，其中：在职人员33人，减少1人；离休人员0人，增加0人；退休人员6人,增加3人。</w:t>
      </w:r>
    </w:p>
    <w:p w14:paraId="77874E69">
      <w:pPr>
        <w:spacing w:line="580" w:lineRule="exact"/>
        <w:ind w:firstLine="640"/>
        <w:jc w:val="both"/>
      </w:pPr>
      <w:r>
        <w:rPr>
          <w:rFonts w:ascii="仿宋_GB2312" w:hAnsi="仿宋_GB2312" w:eastAsia="仿宋_GB2312"/>
          <w:sz w:val="32"/>
        </w:rPr>
        <w:t>麦盖提县尕孜库勒乡中心卫生院无下属预算单位，下设5个科室，分别是：住院部、门诊部、体检中心、防疫科、收费室。</w:t>
      </w:r>
    </w:p>
    <w:p w14:paraId="3B4460E6">
      <w:r>
        <w:br w:type="page"/>
      </w:r>
    </w:p>
    <w:p w14:paraId="45F83FDE">
      <w:pPr>
        <w:spacing w:line="240" w:lineRule="auto"/>
        <w:jc w:val="center"/>
        <w:outlineLvl w:val="1"/>
      </w:pPr>
      <w:r>
        <w:rPr>
          <w:rFonts w:ascii="黑体" w:hAnsi="黑体" w:eastAsia="黑体"/>
          <w:sz w:val="32"/>
        </w:rPr>
        <w:t>第二部分 部门决算情况说明</w:t>
      </w:r>
    </w:p>
    <w:p w14:paraId="00CAFE09">
      <w:pPr>
        <w:spacing w:line="640" w:lineRule="exact"/>
        <w:ind w:firstLine="640"/>
        <w:jc w:val="both"/>
        <w:outlineLvl w:val="2"/>
      </w:pPr>
      <w:r>
        <w:rPr>
          <w:rFonts w:ascii="黑体" w:hAnsi="黑体" w:eastAsia="黑体"/>
          <w:sz w:val="32"/>
        </w:rPr>
        <w:t>一、收入支出决算总体情况说明</w:t>
      </w:r>
    </w:p>
    <w:p w14:paraId="25619DAC">
      <w:pPr>
        <w:spacing w:line="580" w:lineRule="exact"/>
        <w:ind w:firstLine="640"/>
        <w:jc w:val="both"/>
      </w:pPr>
      <w:r>
        <w:rPr>
          <w:rFonts w:ascii="仿宋_GB2312" w:hAnsi="仿宋_GB2312" w:eastAsia="仿宋_GB2312"/>
          <w:b/>
          <w:sz w:val="32"/>
        </w:rPr>
        <w:t>2024年度收入总计1,385.74万元，</w:t>
      </w:r>
      <w:r>
        <w:rPr>
          <w:rFonts w:ascii="仿宋_GB2312" w:hAnsi="仿宋_GB2312" w:eastAsia="仿宋_GB2312"/>
          <w:b w:val="0"/>
          <w:sz w:val="32"/>
        </w:rPr>
        <w:t>其中：本年收入合计1,348.34万元，使用非财政拨款结余（含专用结余）0.00万元，年初结转和结余37.40万元。</w:t>
      </w:r>
    </w:p>
    <w:p w14:paraId="1261C99D">
      <w:pPr>
        <w:spacing w:line="580" w:lineRule="exact"/>
        <w:ind w:firstLine="640"/>
        <w:jc w:val="both"/>
      </w:pPr>
      <w:r>
        <w:rPr>
          <w:rFonts w:ascii="仿宋_GB2312" w:hAnsi="仿宋_GB2312" w:eastAsia="仿宋_GB2312"/>
          <w:b/>
          <w:sz w:val="32"/>
        </w:rPr>
        <w:t>2024年度支出总计1,385.74万元，</w:t>
      </w:r>
      <w:r>
        <w:rPr>
          <w:rFonts w:ascii="仿宋_GB2312" w:hAnsi="仿宋_GB2312" w:eastAsia="仿宋_GB2312"/>
          <w:b w:val="0"/>
          <w:sz w:val="32"/>
        </w:rPr>
        <w:t>其中：本年支出合计1,314.67万元，结余分配0.00万元，年末结转和结余71.08万元。</w:t>
      </w:r>
    </w:p>
    <w:p w14:paraId="188DDA60">
      <w:pPr>
        <w:spacing w:line="580" w:lineRule="exact"/>
        <w:ind w:firstLine="640"/>
        <w:jc w:val="both"/>
      </w:pPr>
      <w:r>
        <w:rPr>
          <w:rFonts w:ascii="仿宋_GB2312" w:hAnsi="仿宋_GB2312" w:eastAsia="仿宋_GB2312"/>
          <w:b w:val="0"/>
          <w:sz w:val="32"/>
        </w:rPr>
        <w:t>收入支出总体与上年相比，减少48.32万元，下降3.37%，主要原因是：</w:t>
      </w:r>
      <w:r>
        <w:rPr>
          <w:rFonts w:hint="eastAsia" w:ascii="仿宋_GB2312" w:hAnsi="仿宋_GB2312" w:eastAsia="仿宋_GB2312"/>
          <w:b w:val="0"/>
          <w:sz w:val="32"/>
          <w:lang w:eastAsia="zh-CN"/>
        </w:rPr>
        <w:t>本年度</w:t>
      </w:r>
      <w:r>
        <w:rPr>
          <w:rFonts w:ascii="仿宋_GB2312" w:hAnsi="仿宋_GB2312" w:eastAsia="仿宋_GB2312"/>
          <w:b w:val="0"/>
          <w:sz w:val="32"/>
        </w:rPr>
        <w:t>门诊就诊人数、住院就诊人数减少，体检人数减少，事业收入支出减少。</w:t>
      </w:r>
    </w:p>
    <w:p w14:paraId="5C062E05">
      <w:pPr>
        <w:spacing w:line="640" w:lineRule="exact"/>
        <w:ind w:firstLine="640"/>
        <w:jc w:val="both"/>
        <w:outlineLvl w:val="2"/>
      </w:pPr>
      <w:r>
        <w:rPr>
          <w:rFonts w:ascii="黑体" w:hAnsi="黑体" w:eastAsia="黑体"/>
          <w:sz w:val="32"/>
        </w:rPr>
        <w:t>二、收入决算情况说明</w:t>
      </w:r>
    </w:p>
    <w:p w14:paraId="25F62CE4">
      <w:pPr>
        <w:spacing w:line="580" w:lineRule="exact"/>
        <w:ind w:firstLine="640"/>
        <w:jc w:val="both"/>
      </w:pPr>
      <w:r>
        <w:rPr>
          <w:rFonts w:ascii="仿宋_GB2312" w:hAnsi="仿宋_GB2312" w:eastAsia="仿宋_GB2312"/>
          <w:b/>
          <w:sz w:val="32"/>
        </w:rPr>
        <w:t>本年收入1,348.34万元，</w:t>
      </w:r>
      <w:r>
        <w:rPr>
          <w:rFonts w:ascii="仿宋_GB2312" w:hAnsi="仿宋_GB2312" w:eastAsia="仿宋_GB2312"/>
          <w:b w:val="0"/>
          <w:sz w:val="32"/>
        </w:rPr>
        <w:t>其中：财政拨款收入804.86万元，占59.69%；上级补助收入0.00万元，占0.00%；事业收入543.49万元，占40.31%；经营收入0.00万元，占0.00%；附属单位上缴收入0.00万元，占0.00%；其他收入0.00万元，占0.00%。</w:t>
      </w:r>
    </w:p>
    <w:p w14:paraId="5D8BC1EB">
      <w:pPr>
        <w:spacing w:line="640" w:lineRule="exact"/>
        <w:ind w:firstLine="640"/>
        <w:jc w:val="both"/>
        <w:outlineLvl w:val="2"/>
      </w:pPr>
      <w:r>
        <w:rPr>
          <w:rFonts w:ascii="黑体" w:hAnsi="黑体" w:eastAsia="黑体"/>
          <w:sz w:val="32"/>
        </w:rPr>
        <w:t>三、支出决算情况说明</w:t>
      </w:r>
    </w:p>
    <w:p w14:paraId="75579F20">
      <w:pPr>
        <w:spacing w:line="580" w:lineRule="exact"/>
        <w:ind w:firstLine="640"/>
        <w:jc w:val="both"/>
      </w:pPr>
      <w:r>
        <w:rPr>
          <w:rFonts w:ascii="仿宋_GB2312" w:hAnsi="仿宋_GB2312" w:eastAsia="仿宋_GB2312"/>
          <w:b/>
          <w:sz w:val="32"/>
        </w:rPr>
        <w:t>本年支出1,314.67万元，</w:t>
      </w:r>
      <w:r>
        <w:rPr>
          <w:rFonts w:ascii="仿宋_GB2312" w:hAnsi="仿宋_GB2312" w:eastAsia="仿宋_GB2312"/>
          <w:b w:val="0"/>
          <w:sz w:val="32"/>
        </w:rPr>
        <w:t>其中：基本支出681.87万元，占51.87%；项目支出632.80万元，占48.13%；上缴上级支出0.00万元，占0.00%；经营支出0.00万元，占0.00%；对附属单位补助支出0.00万元，占0.00%。</w:t>
      </w:r>
    </w:p>
    <w:p w14:paraId="18B15437">
      <w:pPr>
        <w:spacing w:line="640" w:lineRule="exact"/>
        <w:ind w:firstLine="640"/>
        <w:jc w:val="both"/>
        <w:outlineLvl w:val="2"/>
      </w:pPr>
      <w:r>
        <w:rPr>
          <w:rFonts w:ascii="黑体" w:hAnsi="黑体" w:eastAsia="黑体"/>
          <w:sz w:val="32"/>
        </w:rPr>
        <w:t>四、财政拨款收入支出决算总体情况说明</w:t>
      </w:r>
    </w:p>
    <w:p w14:paraId="406450CB">
      <w:pPr>
        <w:spacing w:line="580" w:lineRule="exact"/>
        <w:ind w:firstLine="640"/>
        <w:jc w:val="both"/>
      </w:pPr>
      <w:r>
        <w:rPr>
          <w:rFonts w:ascii="仿宋_GB2312" w:hAnsi="仿宋_GB2312" w:eastAsia="仿宋_GB2312"/>
          <w:b/>
          <w:sz w:val="32"/>
        </w:rPr>
        <w:t>2024年度财政拨款收入总计804.86万元，</w:t>
      </w:r>
      <w:r>
        <w:rPr>
          <w:rFonts w:ascii="仿宋_GB2312" w:hAnsi="仿宋_GB2312" w:eastAsia="仿宋_GB2312"/>
          <w:b w:val="0"/>
          <w:sz w:val="32"/>
        </w:rPr>
        <w:t>其中：年初财政拨款结转和结余0.00万元，本年财政拨款收入804.86万元。</w:t>
      </w:r>
      <w:r>
        <w:rPr>
          <w:rFonts w:ascii="仿宋_GB2312" w:hAnsi="仿宋_GB2312" w:eastAsia="仿宋_GB2312"/>
          <w:b/>
          <w:sz w:val="32"/>
        </w:rPr>
        <w:t>财政拨款支出总计804.86万元，</w:t>
      </w:r>
      <w:r>
        <w:rPr>
          <w:rFonts w:ascii="仿宋_GB2312" w:hAnsi="仿宋_GB2312" w:eastAsia="仿宋_GB2312"/>
          <w:b w:val="0"/>
          <w:sz w:val="32"/>
        </w:rPr>
        <w:t>其中：年末财政拨款结转和结余0.00万元，本年财政拨款支出804.86万元。</w:t>
      </w:r>
    </w:p>
    <w:p w14:paraId="229BB8B3">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增加64.44万元，增长8.70%，主要原因是：一是本年增加2024年重大</w:t>
      </w:r>
      <w:bookmarkStart w:id="0" w:name="_GoBack"/>
      <w:r>
        <w:rPr>
          <w:rFonts w:ascii="仿宋_GB2312" w:hAnsi="仿宋_GB2312" w:eastAsia="仿宋_GB2312"/>
          <w:b w:val="0"/>
          <w:sz w:val="32"/>
        </w:rPr>
        <w:t>传染病</w:t>
      </w:r>
      <w:bookmarkEnd w:id="0"/>
      <w:r>
        <w:rPr>
          <w:rFonts w:ascii="仿宋_GB2312" w:hAnsi="仿宋_GB2312" w:eastAsia="仿宋_GB2312"/>
          <w:b w:val="0"/>
          <w:sz w:val="32"/>
        </w:rPr>
        <w:t>防控经费项目、2024年中央基本药物制度补助项目、中央医疗服务与保障能力提升项目经费；二是本年在职人员工资调薪，工资、社保、公积金等相关人员经费增加。</w:t>
      </w:r>
      <w:r>
        <w:rPr>
          <w:rFonts w:ascii="仿宋_GB2312" w:hAnsi="仿宋_GB2312" w:eastAsia="仿宋_GB2312"/>
          <w:b/>
          <w:sz w:val="32"/>
        </w:rPr>
        <w:t>与年初预算相比，</w:t>
      </w:r>
      <w:r>
        <w:rPr>
          <w:rFonts w:ascii="仿宋_GB2312" w:hAnsi="仿宋_GB2312" w:eastAsia="仿宋_GB2312"/>
          <w:b w:val="0"/>
          <w:sz w:val="32"/>
        </w:rPr>
        <w:t>年初预算数537.23万元，决算数804.86万元，预决算差异率49.82%，主要原因是：本年在职人员工资调薪，工资、社保、公积金等相关人员经费增加，年中追加人员经费，导致预决算存在差异。年中追加项目2024年中央基本药物制度补助项目、2024年中央基本公共卫生服务补助项目、2024年中央基本公共2024年自治区基本公共卫生服务项目，导致预决算存在差异。</w:t>
      </w:r>
    </w:p>
    <w:p w14:paraId="6DFD4F2B">
      <w:pPr>
        <w:spacing w:line="640" w:lineRule="exact"/>
        <w:ind w:firstLine="640"/>
        <w:jc w:val="both"/>
        <w:outlineLvl w:val="2"/>
      </w:pPr>
      <w:r>
        <w:rPr>
          <w:rFonts w:ascii="黑体" w:hAnsi="黑体" w:eastAsia="黑体"/>
          <w:sz w:val="32"/>
        </w:rPr>
        <w:t>五、一般公共预算财政拨款支出决算情况说明</w:t>
      </w:r>
    </w:p>
    <w:p w14:paraId="76BD8884">
      <w:pPr>
        <w:spacing w:line="640" w:lineRule="exact"/>
        <w:ind w:firstLine="640"/>
        <w:jc w:val="both"/>
        <w:outlineLvl w:val="3"/>
      </w:pPr>
      <w:r>
        <w:rPr>
          <w:rFonts w:ascii="楷体_GB2312" w:hAnsi="楷体_GB2312" w:eastAsia="楷体_GB2312"/>
          <w:b/>
          <w:sz w:val="32"/>
        </w:rPr>
        <w:t>（一）一般公共预算财政拨款支出决算总体情况</w:t>
      </w:r>
    </w:p>
    <w:p w14:paraId="1041F25B">
      <w:pPr>
        <w:spacing w:line="580" w:lineRule="exact"/>
        <w:ind w:firstLine="640"/>
        <w:jc w:val="both"/>
      </w:pPr>
      <w:r>
        <w:rPr>
          <w:rFonts w:ascii="仿宋_GB2312" w:hAnsi="仿宋_GB2312" w:eastAsia="仿宋_GB2312"/>
          <w:b/>
          <w:sz w:val="32"/>
        </w:rPr>
        <w:t>2024年度一般公共预算财政拨款支出801.76万元，</w:t>
      </w:r>
      <w:r>
        <w:rPr>
          <w:rFonts w:ascii="仿宋_GB2312" w:hAnsi="仿宋_GB2312" w:eastAsia="仿宋_GB2312"/>
          <w:b w:val="0"/>
          <w:sz w:val="32"/>
        </w:rPr>
        <w:t>占本年支出合计的60.99%。</w:t>
      </w:r>
      <w:r>
        <w:rPr>
          <w:rFonts w:ascii="仿宋_GB2312" w:hAnsi="仿宋_GB2312" w:eastAsia="仿宋_GB2312"/>
          <w:b/>
          <w:sz w:val="32"/>
        </w:rPr>
        <w:t>与上年相比，</w:t>
      </w:r>
      <w:r>
        <w:rPr>
          <w:rFonts w:ascii="仿宋_GB2312" w:hAnsi="仿宋_GB2312" w:eastAsia="仿宋_GB2312"/>
          <w:b w:val="0"/>
          <w:sz w:val="32"/>
        </w:rPr>
        <w:t>增加61.34万元，增长8.28%，主要原因是：一是本年增加2024年重大传染病防控经费项目、2024年中央基本药物制度补助项目、中央医疗服务与保障能力提升项目经费；二是本年在职人员工资调薪，工资、社保、公积金等相关人员经费增加。</w:t>
      </w:r>
      <w:r>
        <w:rPr>
          <w:rFonts w:ascii="仿宋_GB2312" w:hAnsi="仿宋_GB2312" w:eastAsia="仿宋_GB2312"/>
          <w:b/>
          <w:sz w:val="32"/>
        </w:rPr>
        <w:t>与年初预算相比,</w:t>
      </w:r>
      <w:r>
        <w:rPr>
          <w:rFonts w:ascii="仿宋_GB2312" w:hAnsi="仿宋_GB2312" w:eastAsia="仿宋_GB2312"/>
          <w:b w:val="0"/>
          <w:sz w:val="32"/>
        </w:rPr>
        <w:t>年初预算数537.23万元，决算数801.76万元，预决算差异率49.24%，主要原因是：本年在职人员工资调薪，工资、社保、公积金等相关人员经费增加，年中追加人员经费，导致预决算存在差异。年中追加2024年中央基本公共卫生服务补助项目、2024年中央基本公共卫生服务补助项目（第二批）、2024年自治区基本公共卫生服务补助项目，导致预决算存在差异。</w:t>
      </w:r>
    </w:p>
    <w:p w14:paraId="730D37FE">
      <w:pPr>
        <w:spacing w:line="640" w:lineRule="exact"/>
        <w:ind w:firstLine="640"/>
        <w:jc w:val="both"/>
        <w:outlineLvl w:val="3"/>
      </w:pPr>
      <w:r>
        <w:rPr>
          <w:rFonts w:ascii="楷体_GB2312" w:hAnsi="楷体_GB2312" w:eastAsia="楷体_GB2312"/>
          <w:b/>
          <w:sz w:val="32"/>
        </w:rPr>
        <w:t>（二）一般公共预算财政拨款支出决算结构情况</w:t>
      </w:r>
    </w:p>
    <w:p w14:paraId="48539848">
      <w:pPr>
        <w:spacing w:line="580" w:lineRule="exact"/>
        <w:ind w:firstLine="640"/>
        <w:jc w:val="both"/>
      </w:pPr>
      <w:r>
        <w:rPr>
          <w:rFonts w:ascii="仿宋_GB2312" w:hAnsi="仿宋_GB2312" w:eastAsia="仿宋_GB2312"/>
          <w:b w:val="0"/>
          <w:sz w:val="32"/>
        </w:rPr>
        <w:t>1.社会保障和就业支出(类)76.01万元,占9.48%。</w:t>
      </w:r>
    </w:p>
    <w:p w14:paraId="2EC96CEB">
      <w:pPr>
        <w:spacing w:line="580" w:lineRule="exact"/>
        <w:ind w:firstLine="640"/>
        <w:jc w:val="both"/>
      </w:pPr>
      <w:r>
        <w:rPr>
          <w:rFonts w:ascii="仿宋_GB2312" w:hAnsi="仿宋_GB2312" w:eastAsia="仿宋_GB2312"/>
          <w:b w:val="0"/>
          <w:sz w:val="32"/>
        </w:rPr>
        <w:t>2.卫生健康支出(类)725.75万元,占90.52%。</w:t>
      </w:r>
    </w:p>
    <w:p w14:paraId="31A3CF40">
      <w:pPr>
        <w:spacing w:line="640" w:lineRule="exact"/>
        <w:ind w:firstLine="640"/>
        <w:jc w:val="both"/>
        <w:outlineLvl w:val="3"/>
      </w:pPr>
      <w:r>
        <w:rPr>
          <w:rFonts w:ascii="楷体_GB2312" w:hAnsi="楷体_GB2312" w:eastAsia="楷体_GB2312"/>
          <w:b/>
          <w:sz w:val="32"/>
        </w:rPr>
        <w:t>（三）一般公共预算财政拨款支出决算具体情况</w:t>
      </w:r>
    </w:p>
    <w:p w14:paraId="03794A38">
      <w:pPr>
        <w:spacing w:line="580" w:lineRule="exact"/>
        <w:ind w:firstLine="640"/>
        <w:jc w:val="both"/>
      </w:pPr>
      <w:r>
        <w:rPr>
          <w:rFonts w:ascii="仿宋_GB2312" w:hAnsi="仿宋_GB2312" w:eastAsia="仿宋_GB2312"/>
          <w:b w:val="0"/>
          <w:sz w:val="32"/>
        </w:rPr>
        <w:t>1.社会保障和就业支出(类)行政事业单位养老支出(款)机关事业单位基本养老保险缴费支出(项):支出决算数为57.23万元，比上年决算增加6.30万元，增长12.37%,主要原因是：本年在职人员工资基数调增，养老缴费基数上涨，相应支出增加。</w:t>
      </w:r>
    </w:p>
    <w:p w14:paraId="68724CF5">
      <w:pPr>
        <w:spacing w:line="580" w:lineRule="exact"/>
        <w:ind w:firstLine="640"/>
        <w:jc w:val="both"/>
      </w:pPr>
      <w:r>
        <w:rPr>
          <w:rFonts w:ascii="仿宋_GB2312" w:hAnsi="仿宋_GB2312" w:eastAsia="仿宋_GB2312"/>
          <w:b w:val="0"/>
          <w:sz w:val="32"/>
        </w:rPr>
        <w:t>2.社会保障和就业支出(类)行政事业单位养老支出(款)机关事业单位职业年金缴费支出(项):支出决算数为18.78万元，比上年决算增加18.78万元，增长100.00%,主要原因是：本年新增退休人员较上年增加，职业年金缴费增加。</w:t>
      </w:r>
    </w:p>
    <w:p w14:paraId="77EFD81C">
      <w:pPr>
        <w:spacing w:line="580" w:lineRule="exact"/>
        <w:ind w:firstLine="640"/>
        <w:jc w:val="both"/>
      </w:pPr>
      <w:r>
        <w:rPr>
          <w:rFonts w:ascii="仿宋_GB2312" w:hAnsi="仿宋_GB2312" w:eastAsia="仿宋_GB2312"/>
          <w:b w:val="0"/>
          <w:sz w:val="32"/>
        </w:rPr>
        <w:t>3.卫生健康支出(类)公立医院(款)其他公立医院支出(项):支出决算数为2.30万元，比上年决算增加2.30万元，增长100.00%,主要原因是：本年增加中央医疗服务与保障能力提升项目经费，导致经费较上年增加。</w:t>
      </w:r>
    </w:p>
    <w:p w14:paraId="207CCAF6">
      <w:pPr>
        <w:spacing w:line="580" w:lineRule="exact"/>
        <w:ind w:firstLine="640"/>
        <w:jc w:val="both"/>
      </w:pPr>
      <w:r>
        <w:rPr>
          <w:rFonts w:ascii="仿宋_GB2312" w:hAnsi="仿宋_GB2312" w:eastAsia="仿宋_GB2312"/>
          <w:b w:val="0"/>
          <w:sz w:val="32"/>
        </w:rPr>
        <w:t>4.卫生健康支出(类)基层医疗卫生机构(款)乡镇卫生院(项):支出决算数为487.51万元，比上年决算增加21.80万元，增长4.68%,主要原因是：本年在职人员工资调薪，工资等相关人员经费增加。</w:t>
      </w:r>
    </w:p>
    <w:p w14:paraId="10F2308F">
      <w:pPr>
        <w:spacing w:line="580" w:lineRule="exact"/>
        <w:ind w:firstLine="640"/>
        <w:jc w:val="both"/>
      </w:pPr>
      <w:r>
        <w:rPr>
          <w:rFonts w:ascii="仿宋_GB2312" w:hAnsi="仿宋_GB2312" w:eastAsia="仿宋_GB2312"/>
          <w:b w:val="0"/>
          <w:sz w:val="32"/>
        </w:rPr>
        <w:t>5.卫生健康支出(类)基层医疗卫生机构(款)其他基层医疗卫生机构支出(项):支出决算数为35.27万元，比上年决算增加14.81万元，增长72.39%,主要原因是：本年增加2024年中央基本药物制度补助项目资金。</w:t>
      </w:r>
    </w:p>
    <w:p w14:paraId="4E595354">
      <w:pPr>
        <w:spacing w:line="580" w:lineRule="exact"/>
        <w:ind w:firstLine="640"/>
        <w:jc w:val="both"/>
      </w:pPr>
      <w:r>
        <w:rPr>
          <w:rFonts w:ascii="仿宋_GB2312" w:hAnsi="仿宋_GB2312" w:eastAsia="仿宋_GB2312"/>
          <w:b w:val="0"/>
          <w:sz w:val="32"/>
        </w:rPr>
        <w:t>6.卫生健康支出(类)公共卫生(款)基本公共卫生服务(项):支出决算数为199.19万元，比上年决算减少4.13万元，下降2.03%,主要原因是：本年减少2024年中央基本公共卫生服务补助项目，导致经费较上年减少。</w:t>
      </w:r>
    </w:p>
    <w:p w14:paraId="74C5C22C">
      <w:pPr>
        <w:spacing w:line="580" w:lineRule="exact"/>
        <w:ind w:firstLine="640"/>
        <w:jc w:val="both"/>
      </w:pPr>
      <w:r>
        <w:rPr>
          <w:rFonts w:ascii="仿宋_GB2312" w:hAnsi="仿宋_GB2312" w:eastAsia="仿宋_GB2312"/>
          <w:b w:val="0"/>
          <w:sz w:val="32"/>
        </w:rPr>
        <w:t>7.卫生健康支出(类)公共卫生(款)重大公共卫生服务(项):支出决算数为1.48万元，比上年决算增加1.48万元，增长100.00%,主要原因是：本年增加2024年重大传染病防控经费项目，导致经费较上年增加。</w:t>
      </w:r>
    </w:p>
    <w:p w14:paraId="0444D03C">
      <w:pPr>
        <w:spacing w:line="640" w:lineRule="exact"/>
        <w:ind w:firstLine="640"/>
        <w:jc w:val="both"/>
        <w:outlineLvl w:val="2"/>
      </w:pPr>
      <w:r>
        <w:rPr>
          <w:rFonts w:ascii="黑体" w:hAnsi="黑体" w:eastAsia="黑体"/>
          <w:sz w:val="32"/>
        </w:rPr>
        <w:t>六、一般公共预算财政拨款基本支出决算情况说明</w:t>
      </w:r>
    </w:p>
    <w:p w14:paraId="6C31866D">
      <w:pPr>
        <w:spacing w:line="580" w:lineRule="exact"/>
        <w:ind w:firstLine="640"/>
        <w:jc w:val="both"/>
      </w:pPr>
      <w:r>
        <w:rPr>
          <w:rFonts w:ascii="仿宋_GB2312" w:hAnsi="仿宋_GB2312" w:eastAsia="仿宋_GB2312"/>
          <w:b w:val="0"/>
          <w:sz w:val="32"/>
        </w:rPr>
        <w:t>2024年度一般公共预算财政拨款基本支出563.52万元，其中：</w:t>
      </w:r>
      <w:r>
        <w:rPr>
          <w:rFonts w:ascii="仿宋_GB2312" w:hAnsi="仿宋_GB2312" w:eastAsia="仿宋_GB2312"/>
          <w:b/>
          <w:sz w:val="32"/>
        </w:rPr>
        <w:t>人员经费563.52万元，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w:t>
      </w:r>
    </w:p>
    <w:p w14:paraId="2D31A983">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6DE3E91A">
      <w:pPr>
        <w:spacing w:line="640" w:lineRule="exact"/>
        <w:ind w:firstLine="640"/>
        <w:jc w:val="both"/>
        <w:outlineLvl w:val="2"/>
      </w:pPr>
      <w:r>
        <w:rPr>
          <w:rFonts w:ascii="黑体" w:hAnsi="黑体" w:eastAsia="黑体"/>
          <w:sz w:val="32"/>
        </w:rPr>
        <w:t>七、政府性基金预算财政拨款收入支出决算情况说明</w:t>
      </w:r>
    </w:p>
    <w:p w14:paraId="77CFEDED">
      <w:pPr>
        <w:spacing w:line="580" w:lineRule="exact"/>
        <w:ind w:firstLine="640"/>
        <w:jc w:val="both"/>
      </w:pPr>
      <w:r>
        <w:rPr>
          <w:rFonts w:ascii="仿宋_GB2312" w:hAnsi="仿宋_GB2312" w:eastAsia="仿宋_GB2312"/>
          <w:b/>
          <w:sz w:val="32"/>
        </w:rPr>
        <w:t>2024年度政府性基金预算财政拨款收入总计3.09万元，</w:t>
      </w:r>
      <w:r>
        <w:rPr>
          <w:rFonts w:ascii="仿宋_GB2312" w:hAnsi="仿宋_GB2312" w:eastAsia="仿宋_GB2312"/>
          <w:b w:val="0"/>
          <w:sz w:val="32"/>
        </w:rPr>
        <w:t>其中：年初结转和结余0.00万元，本年收入3.09万元。</w:t>
      </w:r>
      <w:r>
        <w:rPr>
          <w:rFonts w:ascii="仿宋_GB2312" w:hAnsi="仿宋_GB2312" w:eastAsia="仿宋_GB2312"/>
          <w:b/>
          <w:sz w:val="32"/>
        </w:rPr>
        <w:t>政府性基金预算财政拨款支出总计3.09万元，</w:t>
      </w:r>
      <w:r>
        <w:rPr>
          <w:rFonts w:ascii="仿宋_GB2312" w:hAnsi="仿宋_GB2312" w:eastAsia="仿宋_GB2312"/>
          <w:b w:val="0"/>
          <w:sz w:val="32"/>
        </w:rPr>
        <w:t>其中：年末结转和结余0.00万元，本年支出3.09万元。</w:t>
      </w:r>
    </w:p>
    <w:p w14:paraId="4AD6B96D">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增加3.09万元，增长100.00%，主要原因是：本年增加老年健康与医养结合服务项目经费，导致经费较上年增加。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年初预算数0.00万元，决算数3.09万元，预决算差异率100.00%，主要原因是：年中追加老年健康与医养结合服务项目，导致预决算存在差异。</w:t>
      </w:r>
    </w:p>
    <w:p w14:paraId="20E0C7F8">
      <w:pPr>
        <w:spacing w:line="580" w:lineRule="exact"/>
        <w:ind w:firstLine="640"/>
        <w:jc w:val="both"/>
      </w:pPr>
      <w:r>
        <w:rPr>
          <w:rFonts w:ascii="仿宋_GB2312" w:hAnsi="仿宋_GB2312" w:eastAsia="仿宋_GB2312"/>
          <w:b w:val="0"/>
          <w:sz w:val="32"/>
        </w:rPr>
        <w:t>政府性基金预算财政拨款支出3.09万元。</w:t>
      </w:r>
    </w:p>
    <w:p w14:paraId="0A07E5CD">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2.30万元，比上年决算增加2.30万元，增长100.00%,主要原因是：本年增加老年健康与医养结合服务项目经费，导致经费较上年增加。</w:t>
      </w:r>
    </w:p>
    <w:p w14:paraId="3ED6F0E1">
      <w:pPr>
        <w:spacing w:line="580" w:lineRule="exact"/>
        <w:ind w:firstLine="640"/>
        <w:jc w:val="both"/>
      </w:pPr>
      <w:r>
        <w:rPr>
          <w:rFonts w:ascii="仿宋_GB2312" w:hAnsi="仿宋_GB2312" w:eastAsia="仿宋_GB2312"/>
          <w:b w:val="0"/>
          <w:sz w:val="32"/>
        </w:rPr>
        <w:t>2.其他支出(类)彩票公益金安排的支出(款)用于城乡医疗救助的彩票公益金支出(项):支出决算数为0.79万元，比上年决算增加0.79万元，增长100.00%,主要原因是：本年增加自治区老年听力障碍测听筛查项目经费，导致经费较上年增加。</w:t>
      </w:r>
    </w:p>
    <w:p w14:paraId="69606B02">
      <w:pPr>
        <w:spacing w:line="640" w:lineRule="exact"/>
        <w:ind w:firstLine="640"/>
        <w:jc w:val="both"/>
        <w:outlineLvl w:val="2"/>
      </w:pPr>
      <w:r>
        <w:rPr>
          <w:rFonts w:ascii="黑体" w:hAnsi="黑体" w:eastAsia="黑体"/>
          <w:sz w:val="32"/>
        </w:rPr>
        <w:t>八、国有资本经营预算财政拨款收入支出决算情况说明</w:t>
      </w:r>
    </w:p>
    <w:p w14:paraId="09887527">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D1152F6">
      <w:pPr>
        <w:spacing w:line="640" w:lineRule="exact"/>
        <w:ind w:firstLine="640"/>
        <w:jc w:val="both"/>
        <w:outlineLvl w:val="2"/>
      </w:pPr>
      <w:r>
        <w:rPr>
          <w:rFonts w:ascii="黑体" w:hAnsi="黑体" w:eastAsia="黑体"/>
          <w:sz w:val="32"/>
        </w:rPr>
        <w:t>九、财政拨款“三公”经费支出决算情况说明</w:t>
      </w:r>
    </w:p>
    <w:p w14:paraId="36B0A937">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1E4BB46B">
      <w:pPr>
        <w:spacing w:line="580" w:lineRule="exact"/>
        <w:ind w:firstLine="640"/>
        <w:jc w:val="both"/>
      </w:pPr>
      <w:r>
        <w:rPr>
          <w:rFonts w:ascii="仿宋_GB2312" w:hAnsi="仿宋_GB2312" w:eastAsia="仿宋_GB2312"/>
          <w:b/>
          <w:sz w:val="32"/>
        </w:rPr>
        <w:t>具体情况如下：</w:t>
      </w:r>
    </w:p>
    <w:p w14:paraId="6EA65B2F">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22FFB6C">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辆，与公务用车保有量差异原因是：车辆为我单位救护车，未使用财政拨款公务用车运行维护费支付，由事业收入经费保障。</w:t>
      </w:r>
    </w:p>
    <w:p w14:paraId="1E4CC741">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48513CA">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18844418">
      <w:pPr>
        <w:spacing w:line="640" w:lineRule="exact"/>
        <w:ind w:firstLine="640"/>
        <w:jc w:val="both"/>
        <w:outlineLvl w:val="2"/>
      </w:pPr>
      <w:r>
        <w:rPr>
          <w:rFonts w:ascii="黑体" w:hAnsi="黑体" w:eastAsia="黑体"/>
          <w:sz w:val="32"/>
        </w:rPr>
        <w:t>十、其他重要事项的情况说明</w:t>
      </w:r>
    </w:p>
    <w:p w14:paraId="273A3DA9">
      <w:pPr>
        <w:spacing w:line="640" w:lineRule="exact"/>
        <w:ind w:firstLine="640"/>
        <w:jc w:val="both"/>
        <w:outlineLvl w:val="3"/>
      </w:pPr>
      <w:r>
        <w:rPr>
          <w:rFonts w:ascii="楷体_GB2312" w:hAnsi="楷体_GB2312" w:eastAsia="楷体_GB2312"/>
          <w:b/>
          <w:sz w:val="32"/>
        </w:rPr>
        <w:t>（一）机关运行经费及公用经费支出情况</w:t>
      </w:r>
    </w:p>
    <w:p w14:paraId="7EC2C02A">
      <w:pPr>
        <w:spacing w:line="580" w:lineRule="exact"/>
        <w:ind w:firstLine="640"/>
        <w:jc w:val="both"/>
      </w:pPr>
      <w:r>
        <w:rPr>
          <w:rFonts w:ascii="仿宋_GB2312" w:hAnsi="仿宋_GB2312" w:eastAsia="仿宋_GB2312"/>
          <w:b w:val="0"/>
          <w:sz w:val="32"/>
        </w:rPr>
        <w:t>2024年度麦盖提县尕孜库勒乡中心卫生院（事业单位）公用经费支出0.00万元，比上年增加0.00万元，增长0.00%，主要原因是：2023年与2024年均未安排公用经费支出。</w:t>
      </w:r>
    </w:p>
    <w:p w14:paraId="4A0893F1">
      <w:pPr>
        <w:spacing w:line="640" w:lineRule="exact"/>
        <w:ind w:firstLine="640"/>
        <w:jc w:val="both"/>
        <w:outlineLvl w:val="3"/>
      </w:pPr>
      <w:r>
        <w:rPr>
          <w:rFonts w:ascii="楷体_GB2312" w:hAnsi="楷体_GB2312" w:eastAsia="楷体_GB2312"/>
          <w:b/>
          <w:sz w:val="32"/>
        </w:rPr>
        <w:t>（二）政府采购情况</w:t>
      </w:r>
    </w:p>
    <w:p w14:paraId="08C9DE8D">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6C1D1630">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6562676B">
      <w:pPr>
        <w:spacing w:line="640" w:lineRule="exact"/>
        <w:ind w:firstLine="640"/>
        <w:jc w:val="both"/>
        <w:outlineLvl w:val="3"/>
      </w:pPr>
      <w:r>
        <w:rPr>
          <w:rFonts w:ascii="楷体_GB2312" w:hAnsi="楷体_GB2312" w:eastAsia="楷体_GB2312"/>
          <w:b/>
          <w:sz w:val="32"/>
        </w:rPr>
        <w:t>（三）国有资产占用情况说明</w:t>
      </w:r>
    </w:p>
    <w:p w14:paraId="15B9BDDE">
      <w:pPr>
        <w:spacing w:line="580" w:lineRule="exact"/>
        <w:ind w:firstLine="640"/>
        <w:jc w:val="both"/>
      </w:pPr>
      <w:r>
        <w:rPr>
          <w:rFonts w:ascii="仿宋_GB2312" w:hAnsi="仿宋_GB2312" w:eastAsia="仿宋_GB2312"/>
          <w:b w:val="0"/>
          <w:sz w:val="32"/>
        </w:rPr>
        <w:t>截至2024年12月31日，房屋7,218.49平方米，价值913.72万元。车辆1辆，价值13.30万元，其中：副部（省）级及以上领导用车0辆、主要负责人用车0辆、机要通信用车0辆、应急保障用车0辆、执法执勤用车0辆、特种专业技术用车1辆、离退休干部服务用车0辆、其他用车0辆，其他用车主要是：本单位无其他用车。单价100万元（含）以上设备（不含车辆）0台（套）。</w:t>
      </w:r>
    </w:p>
    <w:p w14:paraId="4BE3DCC4">
      <w:pPr>
        <w:spacing w:line="640" w:lineRule="exact"/>
        <w:ind w:firstLine="640"/>
        <w:jc w:val="both"/>
        <w:outlineLvl w:val="2"/>
      </w:pPr>
      <w:r>
        <w:rPr>
          <w:rFonts w:ascii="黑体" w:hAnsi="黑体" w:eastAsia="黑体"/>
          <w:sz w:val="32"/>
        </w:rPr>
        <w:t>十一、预算绩效的情况说明</w:t>
      </w:r>
    </w:p>
    <w:p w14:paraId="5D1AB10C">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我单位无预算绩效项目自评表。发现的问题及原因：我单位无预算绩效项目自评表。下一步改进措施：我单位无预算绩效项目自评表。</w:t>
      </w:r>
    </w:p>
    <w:p w14:paraId="418C3CC9">
      <w:r>
        <w:br w:type="page"/>
      </w:r>
    </w:p>
    <w:p w14:paraId="240A0201">
      <w:pPr>
        <w:spacing w:line="640" w:lineRule="exact"/>
        <w:ind w:firstLine="640"/>
        <w:jc w:val="both"/>
        <w:outlineLvl w:val="2"/>
      </w:pPr>
      <w:r>
        <w:rPr>
          <w:rFonts w:ascii="黑体" w:hAnsi="黑体" w:eastAsia="黑体"/>
          <w:sz w:val="32"/>
        </w:rPr>
        <w:t>十二、其他需说明的事项</w:t>
      </w:r>
    </w:p>
    <w:p w14:paraId="0DB65A4F">
      <w:pPr>
        <w:spacing w:line="580" w:lineRule="exact"/>
        <w:ind w:firstLine="640"/>
        <w:jc w:val="both"/>
      </w:pPr>
      <w:r>
        <w:rPr>
          <w:rFonts w:ascii="仿宋_GB2312" w:hAnsi="仿宋_GB2312" w:eastAsia="仿宋_GB2312"/>
          <w:b w:val="0"/>
          <w:sz w:val="32"/>
        </w:rPr>
        <w:t>本单位2024年度无政府采购支出，授予中小企业合同金额0.00万元。</w:t>
      </w:r>
    </w:p>
    <w:p w14:paraId="744626CC">
      <w:pPr>
        <w:spacing w:line="580" w:lineRule="exact"/>
        <w:ind w:firstLine="640"/>
        <w:jc w:val="both"/>
      </w:pPr>
      <w:r>
        <w:rPr>
          <w:rFonts w:ascii="仿宋_GB2312" w:hAnsi="仿宋_GB2312" w:eastAsia="仿宋_GB2312"/>
          <w:b w:val="0"/>
          <w:sz w:val="32"/>
        </w:rPr>
        <w:t>本年度本单位整体绩效自评表由卫生健康委员会编报并公开。</w:t>
      </w:r>
    </w:p>
    <w:p w14:paraId="1ACF818E">
      <w:r>
        <w:br w:type="page"/>
      </w:r>
    </w:p>
    <w:p w14:paraId="35FFE3EE">
      <w:pPr>
        <w:spacing w:line="240" w:lineRule="auto"/>
        <w:jc w:val="center"/>
        <w:outlineLvl w:val="1"/>
      </w:pPr>
      <w:r>
        <w:rPr>
          <w:rFonts w:ascii="黑体" w:hAnsi="黑体" w:eastAsia="黑体"/>
          <w:sz w:val="32"/>
        </w:rPr>
        <w:t>第三部分 专业名词解释</w:t>
      </w:r>
    </w:p>
    <w:p w14:paraId="70F913F6">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C9E586E">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CE5D0A8">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CD67151">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5877C70">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47542E9">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C28CBDA">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B26E3DF">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5333994">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98DD933">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63A54A8">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5E71503">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11CF374">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F6E86A9">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84C4704">
      <w:r>
        <w:br w:type="page"/>
      </w:r>
    </w:p>
    <w:p w14:paraId="77A6ADB2">
      <w:pPr>
        <w:spacing w:line="240" w:lineRule="auto"/>
        <w:jc w:val="center"/>
        <w:outlineLvl w:val="1"/>
      </w:pPr>
      <w:r>
        <w:rPr>
          <w:rFonts w:ascii="黑体" w:hAnsi="黑体" w:eastAsia="黑体"/>
          <w:sz w:val="32"/>
        </w:rPr>
        <w:t>第四部分 部门决算报表（见附表）</w:t>
      </w:r>
    </w:p>
    <w:p w14:paraId="5361A332">
      <w:pPr>
        <w:spacing w:line="240" w:lineRule="auto"/>
        <w:ind w:firstLine="640"/>
        <w:jc w:val="both"/>
      </w:pPr>
      <w:r>
        <w:rPr>
          <w:rFonts w:ascii="仿宋_GB2312" w:hAnsi="仿宋_GB2312" w:eastAsia="仿宋_GB2312"/>
          <w:b w:val="0"/>
          <w:sz w:val="32"/>
        </w:rPr>
        <w:t>一、《收入支出决算总表》</w:t>
      </w:r>
    </w:p>
    <w:p w14:paraId="383B5C15">
      <w:pPr>
        <w:spacing w:line="240" w:lineRule="auto"/>
        <w:ind w:firstLine="640"/>
        <w:jc w:val="both"/>
      </w:pPr>
      <w:r>
        <w:rPr>
          <w:rFonts w:ascii="仿宋_GB2312" w:hAnsi="仿宋_GB2312" w:eastAsia="仿宋_GB2312"/>
          <w:b w:val="0"/>
          <w:sz w:val="32"/>
        </w:rPr>
        <w:t>二、《收入决算表》</w:t>
      </w:r>
    </w:p>
    <w:p w14:paraId="06BE16FE">
      <w:pPr>
        <w:spacing w:line="240" w:lineRule="auto"/>
        <w:ind w:firstLine="640"/>
        <w:jc w:val="both"/>
      </w:pPr>
      <w:r>
        <w:rPr>
          <w:rFonts w:ascii="仿宋_GB2312" w:hAnsi="仿宋_GB2312" w:eastAsia="仿宋_GB2312"/>
          <w:b w:val="0"/>
          <w:sz w:val="32"/>
        </w:rPr>
        <w:t>三、《支出决算表》</w:t>
      </w:r>
    </w:p>
    <w:p w14:paraId="5E7F2D81">
      <w:pPr>
        <w:spacing w:line="240" w:lineRule="auto"/>
        <w:ind w:firstLine="640"/>
        <w:jc w:val="both"/>
      </w:pPr>
      <w:r>
        <w:rPr>
          <w:rFonts w:ascii="仿宋_GB2312" w:hAnsi="仿宋_GB2312" w:eastAsia="仿宋_GB2312"/>
          <w:b w:val="0"/>
          <w:sz w:val="32"/>
        </w:rPr>
        <w:t>四、《财政拨款收入支出决算总表》</w:t>
      </w:r>
    </w:p>
    <w:p w14:paraId="3400E77F">
      <w:pPr>
        <w:spacing w:line="240" w:lineRule="auto"/>
        <w:ind w:firstLine="640"/>
        <w:jc w:val="both"/>
      </w:pPr>
      <w:r>
        <w:rPr>
          <w:rFonts w:ascii="仿宋_GB2312" w:hAnsi="仿宋_GB2312" w:eastAsia="仿宋_GB2312"/>
          <w:b w:val="0"/>
          <w:sz w:val="32"/>
        </w:rPr>
        <w:t>五、《一般公共预算财政拨款支出决算表》</w:t>
      </w:r>
    </w:p>
    <w:p w14:paraId="65284AD3">
      <w:pPr>
        <w:spacing w:line="240" w:lineRule="auto"/>
        <w:ind w:firstLine="640"/>
        <w:jc w:val="both"/>
      </w:pPr>
      <w:r>
        <w:rPr>
          <w:rFonts w:ascii="仿宋_GB2312" w:hAnsi="仿宋_GB2312" w:eastAsia="仿宋_GB2312"/>
          <w:b w:val="0"/>
          <w:sz w:val="32"/>
        </w:rPr>
        <w:t>六、《一般公共预算财政拨款基本支出决算表》</w:t>
      </w:r>
    </w:p>
    <w:p w14:paraId="13170DD6">
      <w:pPr>
        <w:spacing w:line="240" w:lineRule="auto"/>
        <w:ind w:firstLine="640"/>
        <w:jc w:val="both"/>
      </w:pPr>
      <w:r>
        <w:rPr>
          <w:rFonts w:ascii="仿宋_GB2312" w:hAnsi="仿宋_GB2312" w:eastAsia="仿宋_GB2312"/>
          <w:b w:val="0"/>
          <w:sz w:val="32"/>
        </w:rPr>
        <w:t>七、《政府性基金预算财政拨款收入支出决算表》</w:t>
      </w:r>
    </w:p>
    <w:p w14:paraId="1303CA22">
      <w:pPr>
        <w:spacing w:line="240" w:lineRule="auto"/>
        <w:ind w:firstLine="640"/>
        <w:jc w:val="both"/>
      </w:pPr>
      <w:r>
        <w:rPr>
          <w:rFonts w:ascii="仿宋_GB2312" w:hAnsi="仿宋_GB2312" w:eastAsia="仿宋_GB2312"/>
          <w:b w:val="0"/>
          <w:sz w:val="32"/>
        </w:rPr>
        <w:t>八、《国有资本经营预算财政拨款收入支出决算表》</w:t>
      </w:r>
    </w:p>
    <w:p w14:paraId="4A30BB89">
      <w:pPr>
        <w:spacing w:line="240" w:lineRule="auto"/>
        <w:ind w:firstLine="640"/>
        <w:jc w:val="both"/>
      </w:pPr>
      <w:r>
        <w:rPr>
          <w:rFonts w:ascii="仿宋_GB2312" w:hAnsi="仿宋_GB2312" w:eastAsia="仿宋_GB2312"/>
          <w:b w:val="0"/>
          <w:sz w:val="32"/>
        </w:rPr>
        <w:t>九、《财政拨款“三公”经费支出决算表》</w:t>
      </w:r>
    </w:p>
    <w:p w14:paraId="5A149047">
      <w:pPr>
        <w:spacing w:line="240" w:lineRule="auto"/>
        <w:ind w:firstLine="640"/>
        <w:jc w:val="both"/>
      </w:pPr>
    </w:p>
    <w:p w14:paraId="29F0F962">
      <w:pPr>
        <w:spacing w:line="240" w:lineRule="auto"/>
        <w:ind w:firstLine="640"/>
        <w:jc w:val="both"/>
      </w:pPr>
    </w:p>
    <w:p w14:paraId="43B2A9EA">
      <w:pPr>
        <w:spacing w:line="240" w:lineRule="auto"/>
        <w:ind w:firstLine="640"/>
        <w:jc w:val="both"/>
      </w:pPr>
    </w:p>
    <w:p w14:paraId="6BD87666">
      <w:pPr>
        <w:spacing w:line="240" w:lineRule="auto"/>
        <w:ind w:firstLine="640"/>
        <w:jc w:val="both"/>
      </w:pPr>
    </w:p>
    <w:p w14:paraId="07AFB0F6">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E0387B2-FDB7-4C5D-9C89-C38A33B5F13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angSong_GB2312">
    <w:altName w:val="仿宋_GB2312"/>
    <w:panose1 w:val="020B0604020202020204"/>
    <w:charset w:val="86"/>
    <w:family w:val="modern"/>
    <w:pitch w:val="default"/>
    <w:sig w:usb0="00000000" w:usb1="00000000" w:usb2="00000010" w:usb3="00000000" w:csb0="00040000" w:csb1="00000000"/>
  </w:font>
  <w:font w:name="仿宋_GB2312">
    <w:panose1 w:val="02010609030101010101"/>
    <w:charset w:val="86"/>
    <w:family w:val="auto"/>
    <w:pitch w:val="default"/>
    <w:sig w:usb0="00000001" w:usb1="080E0000" w:usb2="00000000" w:usb3="00000000" w:csb0="00040000" w:csb1="00000000"/>
    <w:embedRegular r:id="rId2" w:fontKey="{A87096B7-D31D-43CF-9F24-367EDC650C95}"/>
  </w:font>
  <w:font w:name="楷体_GB2312">
    <w:panose1 w:val="02010609030101010101"/>
    <w:charset w:val="86"/>
    <w:family w:val="auto"/>
    <w:pitch w:val="default"/>
    <w:sig w:usb0="00000001" w:usb1="080E0000" w:usb2="00000000" w:usb3="00000000" w:csb0="00040000" w:csb1="00000000"/>
    <w:embedRegular r:id="rId3" w:fontKey="{03F0F62D-395D-4FD2-8498-4F8D5C90FD70}"/>
  </w:font>
  <w:font w:name="方正小标宋_GBK">
    <w:panose1 w:val="02000000000000000000"/>
    <w:charset w:val="86"/>
    <w:family w:val="script"/>
    <w:pitch w:val="default"/>
    <w:sig w:usb0="A00002BF" w:usb1="38CF7CFA" w:usb2="00082016" w:usb3="00000000" w:csb0="00040001" w:csb1="00000000"/>
    <w:embedRegular r:id="rId4" w:fontKey="{AD0443C7-2004-425B-826D-6BE600571F8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4D573E"/>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5974</Words>
  <Characters>6720</Characters>
  <Lines>0</Lines>
  <Paragraphs>0</Paragraphs>
  <TotalTime>0</TotalTime>
  <ScaleCrop>false</ScaleCrop>
  <LinksUpToDate>false</LinksUpToDate>
  <CharactersWithSpaces>6730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2025-08-29T05:03:41Z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eyJoZGlkIjoiNTBiYjFiYzY0OWM2ODlhYjA1NDAwODJkOGMwZGNkYTMiLCJ1c2VySWQiOiIyNTk4NTcxMjUifQ==</vt:lpwstr>
  </property>
</Properties>
</file>