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7CF5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5EE947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43C94A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91D74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42C3CF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BDECD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麦盖提县技工学校第一分校2024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425A94A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55C737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FB3420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E55C91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3814E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DB9C75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C6FA8E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501ABB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1654F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31021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B0B0A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2A48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54F6379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46D5B4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08C5740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38B1FB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7B4B9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89A43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EADBE6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618063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2C2A89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A1C9AD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A425F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C66A87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27A34E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AD837E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4E8CD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656DFB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ACBB6B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20B1F5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30CFD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3FEBF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28A17E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69395D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4AA3E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38DF5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0455F7">
      <w:pPr>
        <w:rPr>
          <w:highlight w:val="none"/>
        </w:rPr>
      </w:pPr>
      <w:r>
        <w:rPr>
          <w:highlight w:val="none"/>
        </w:rPr>
        <w:br w:type="page"/>
      </w:r>
    </w:p>
    <w:p w14:paraId="3CD0D615">
      <w:pPr>
        <w:spacing w:line="640" w:lineRule="exact"/>
        <w:jc w:val="center"/>
        <w:outlineLvl w:val="1"/>
        <w:rPr>
          <w:highlight w:val="none"/>
        </w:rPr>
      </w:pPr>
      <w:r>
        <w:rPr>
          <w:rFonts w:ascii="黑体" w:hAnsi="黑体" w:eastAsia="黑体"/>
          <w:sz w:val="32"/>
          <w:highlight w:val="none"/>
        </w:rPr>
        <w:t>第一部分 单位概况</w:t>
      </w:r>
    </w:p>
    <w:p w14:paraId="1D2291A9">
      <w:pPr>
        <w:spacing w:line="640" w:lineRule="exact"/>
        <w:ind w:firstLine="640"/>
        <w:jc w:val="both"/>
        <w:outlineLvl w:val="2"/>
        <w:rPr>
          <w:highlight w:val="none"/>
        </w:rPr>
      </w:pPr>
      <w:r>
        <w:rPr>
          <w:rFonts w:ascii="黑体" w:hAnsi="黑体" w:eastAsia="黑体"/>
          <w:sz w:val="32"/>
          <w:highlight w:val="none"/>
        </w:rPr>
        <w:t>一、主要职能</w:t>
      </w:r>
    </w:p>
    <w:p w14:paraId="7B11BD71">
      <w:pPr>
        <w:spacing w:line="580" w:lineRule="exact"/>
        <w:ind w:firstLine="640"/>
        <w:jc w:val="both"/>
        <w:rPr>
          <w:highlight w:val="none"/>
        </w:rPr>
      </w:pPr>
      <w:r>
        <w:rPr>
          <w:rFonts w:ascii="仿宋_GB2312" w:hAnsi="仿宋_GB2312" w:eastAsia="仿宋_GB2312"/>
          <w:sz w:val="32"/>
          <w:highlight w:val="none"/>
        </w:rPr>
        <w:t>主要面向有就业意愿的初高中毕业生、高校毕业生、农民工、新型职业农民、企业在岗职工、待岗职工、退役军人、失业人员、灵活就业人员等各类群体广泛开展短期职业技能和创业培训。</w:t>
      </w:r>
    </w:p>
    <w:p w14:paraId="33F88E44">
      <w:pPr>
        <w:spacing w:line="640" w:lineRule="exact"/>
        <w:ind w:firstLine="640"/>
        <w:jc w:val="both"/>
        <w:outlineLvl w:val="2"/>
        <w:rPr>
          <w:highlight w:val="none"/>
        </w:rPr>
      </w:pPr>
      <w:r>
        <w:rPr>
          <w:rFonts w:ascii="黑体" w:hAnsi="黑体" w:eastAsia="黑体"/>
          <w:sz w:val="32"/>
          <w:highlight w:val="none"/>
        </w:rPr>
        <w:t>二、机构设置及人员情况</w:t>
      </w:r>
    </w:p>
    <w:p w14:paraId="3C03561E">
      <w:pPr>
        <w:spacing w:line="580" w:lineRule="exact"/>
        <w:ind w:firstLine="640"/>
        <w:jc w:val="both"/>
        <w:rPr>
          <w:highlight w:val="none"/>
        </w:rPr>
      </w:pPr>
      <w:r>
        <w:rPr>
          <w:rFonts w:ascii="仿宋_GB2312" w:hAnsi="仿宋_GB2312" w:eastAsia="仿宋_GB2312"/>
          <w:sz w:val="32"/>
          <w:highlight w:val="none"/>
        </w:rPr>
        <w:t>麦盖提县技工学校第一分校2024年度，实有人数35人，其中：在职人员34人，增加34人；离休人员0人，增加0人；退休人员1人,增加1人。</w:t>
      </w:r>
    </w:p>
    <w:p w14:paraId="41D0E683">
      <w:pPr>
        <w:spacing w:line="580" w:lineRule="exact"/>
        <w:ind w:firstLine="640"/>
        <w:jc w:val="both"/>
        <w:rPr>
          <w:highlight w:val="none"/>
        </w:rPr>
      </w:pPr>
      <w:r>
        <w:rPr>
          <w:rFonts w:ascii="仿宋_GB2312" w:hAnsi="仿宋_GB2312" w:eastAsia="仿宋_GB2312"/>
          <w:sz w:val="32"/>
          <w:highlight w:val="none"/>
        </w:rPr>
        <w:t>麦盖提县技工学校第一分校无下属预算单位，下设5个科室，分别是：办公室、政教室、教务室、总务室、保卫室。</w:t>
      </w:r>
    </w:p>
    <w:p w14:paraId="11C6FC51">
      <w:pPr>
        <w:rPr>
          <w:highlight w:val="none"/>
        </w:rPr>
      </w:pPr>
      <w:r>
        <w:rPr>
          <w:highlight w:val="none"/>
        </w:rPr>
        <w:br w:type="page"/>
      </w:r>
    </w:p>
    <w:p w14:paraId="0843D695">
      <w:pPr>
        <w:spacing w:line="240" w:lineRule="auto"/>
        <w:jc w:val="center"/>
        <w:outlineLvl w:val="1"/>
        <w:rPr>
          <w:highlight w:val="none"/>
        </w:rPr>
      </w:pPr>
      <w:r>
        <w:rPr>
          <w:rFonts w:ascii="黑体" w:hAnsi="黑体" w:eastAsia="黑体"/>
          <w:sz w:val="32"/>
          <w:highlight w:val="none"/>
        </w:rPr>
        <w:t>第二部分 部门决算情况说明</w:t>
      </w:r>
    </w:p>
    <w:p w14:paraId="185068DE">
      <w:pPr>
        <w:spacing w:line="640" w:lineRule="exact"/>
        <w:ind w:firstLine="640"/>
        <w:jc w:val="both"/>
        <w:outlineLvl w:val="2"/>
        <w:rPr>
          <w:highlight w:val="none"/>
        </w:rPr>
      </w:pPr>
      <w:r>
        <w:rPr>
          <w:rFonts w:ascii="黑体" w:hAnsi="黑体" w:eastAsia="黑体"/>
          <w:sz w:val="32"/>
          <w:highlight w:val="none"/>
        </w:rPr>
        <w:t>一、收入支出决算总体情况说明</w:t>
      </w:r>
    </w:p>
    <w:p w14:paraId="657F7AF4">
      <w:pPr>
        <w:spacing w:line="580" w:lineRule="exact"/>
        <w:ind w:firstLine="640"/>
        <w:jc w:val="both"/>
        <w:rPr>
          <w:highlight w:val="none"/>
        </w:rPr>
      </w:pPr>
      <w:r>
        <w:rPr>
          <w:rFonts w:ascii="仿宋_GB2312" w:hAnsi="仿宋_GB2312" w:eastAsia="仿宋_GB2312"/>
          <w:b/>
          <w:sz w:val="32"/>
          <w:highlight w:val="none"/>
        </w:rPr>
        <w:t>2024年度收入总计567.46万元，</w:t>
      </w:r>
      <w:r>
        <w:rPr>
          <w:rFonts w:ascii="仿宋_GB2312" w:hAnsi="仿宋_GB2312" w:eastAsia="仿宋_GB2312"/>
          <w:b w:val="0"/>
          <w:sz w:val="32"/>
          <w:highlight w:val="none"/>
        </w:rPr>
        <w:t>其中：本年收入合计567.46万元，使用非财政拨款结余（含专用结余）0.00万元，年初结转和结余0.00万元。</w:t>
      </w:r>
    </w:p>
    <w:p w14:paraId="7CE8AFB4">
      <w:pPr>
        <w:spacing w:line="580" w:lineRule="exact"/>
        <w:ind w:firstLine="640"/>
        <w:jc w:val="both"/>
        <w:rPr>
          <w:highlight w:val="none"/>
        </w:rPr>
      </w:pPr>
      <w:r>
        <w:rPr>
          <w:rFonts w:ascii="仿宋_GB2312" w:hAnsi="仿宋_GB2312" w:eastAsia="仿宋_GB2312"/>
          <w:b/>
          <w:sz w:val="32"/>
          <w:highlight w:val="none"/>
        </w:rPr>
        <w:t>2024年度支出总计567.46万元，</w:t>
      </w:r>
      <w:r>
        <w:rPr>
          <w:rFonts w:ascii="仿宋_GB2312" w:hAnsi="仿宋_GB2312" w:eastAsia="仿宋_GB2312"/>
          <w:b w:val="0"/>
          <w:sz w:val="32"/>
          <w:highlight w:val="none"/>
        </w:rPr>
        <w:t>其中：本年支出合计567.46万元，结余分配0.00万元，年末结转和结余0.00万元。</w:t>
      </w:r>
    </w:p>
    <w:p w14:paraId="0CB50D8D">
      <w:pPr>
        <w:spacing w:line="580" w:lineRule="exact"/>
        <w:ind w:firstLine="640"/>
        <w:jc w:val="both"/>
        <w:rPr>
          <w:highlight w:val="none"/>
        </w:rPr>
      </w:pPr>
      <w:r>
        <w:rPr>
          <w:rFonts w:ascii="仿宋_GB2312" w:hAnsi="仿宋_GB2312" w:eastAsia="仿宋_GB2312"/>
          <w:b w:val="0"/>
          <w:sz w:val="32"/>
          <w:highlight w:val="none"/>
        </w:rPr>
        <w:t>收入支出总体与上年相比，增加567.46万元，增长100.00%，主要原因是：我单位为本年新增单位，无上年对比数据。</w:t>
      </w:r>
    </w:p>
    <w:p w14:paraId="52855EC7">
      <w:pPr>
        <w:spacing w:line="640" w:lineRule="exact"/>
        <w:ind w:firstLine="640"/>
        <w:jc w:val="both"/>
        <w:outlineLvl w:val="2"/>
        <w:rPr>
          <w:highlight w:val="none"/>
        </w:rPr>
      </w:pPr>
      <w:r>
        <w:rPr>
          <w:rFonts w:ascii="黑体" w:hAnsi="黑体" w:eastAsia="黑体"/>
          <w:sz w:val="32"/>
          <w:highlight w:val="none"/>
        </w:rPr>
        <w:t>二、收入决算情况说明</w:t>
      </w:r>
    </w:p>
    <w:p w14:paraId="09645FE8">
      <w:pPr>
        <w:spacing w:line="580" w:lineRule="exact"/>
        <w:ind w:firstLine="640"/>
        <w:jc w:val="both"/>
        <w:rPr>
          <w:highlight w:val="none"/>
        </w:rPr>
      </w:pPr>
      <w:r>
        <w:rPr>
          <w:rFonts w:ascii="仿宋_GB2312" w:hAnsi="仿宋_GB2312" w:eastAsia="仿宋_GB2312"/>
          <w:b/>
          <w:sz w:val="32"/>
          <w:highlight w:val="none"/>
        </w:rPr>
        <w:t>本年收入567.46万元，</w:t>
      </w:r>
      <w:r>
        <w:rPr>
          <w:rFonts w:ascii="仿宋_GB2312" w:hAnsi="仿宋_GB2312" w:eastAsia="仿宋_GB2312"/>
          <w:b w:val="0"/>
          <w:sz w:val="32"/>
          <w:highlight w:val="none"/>
        </w:rPr>
        <w:t>其中：财政拨款收入567.46万元，占100.00%；上级补助收入0.00万元，占0.00%；事业收入0.00万元，占0.00%；经营收入0.00万元，占0.00%；附属单位上缴收入0.00万元，占0.00%；其他收入0.00万元，占0.00%。</w:t>
      </w:r>
    </w:p>
    <w:p w14:paraId="37DF596A">
      <w:pPr>
        <w:spacing w:line="640" w:lineRule="exact"/>
        <w:ind w:firstLine="640"/>
        <w:jc w:val="both"/>
        <w:outlineLvl w:val="2"/>
        <w:rPr>
          <w:highlight w:val="none"/>
        </w:rPr>
      </w:pPr>
      <w:r>
        <w:rPr>
          <w:rFonts w:ascii="黑体" w:hAnsi="黑体" w:eastAsia="黑体"/>
          <w:sz w:val="32"/>
          <w:highlight w:val="none"/>
        </w:rPr>
        <w:t>三、支出决算情况说明</w:t>
      </w:r>
    </w:p>
    <w:p w14:paraId="1BE2E605">
      <w:pPr>
        <w:spacing w:line="580" w:lineRule="exact"/>
        <w:ind w:firstLine="640"/>
        <w:jc w:val="both"/>
        <w:rPr>
          <w:highlight w:val="none"/>
        </w:rPr>
      </w:pPr>
      <w:r>
        <w:rPr>
          <w:rFonts w:ascii="仿宋_GB2312" w:hAnsi="仿宋_GB2312" w:eastAsia="仿宋_GB2312"/>
          <w:b/>
          <w:sz w:val="32"/>
          <w:highlight w:val="none"/>
        </w:rPr>
        <w:t>本年支出567.46万元，</w:t>
      </w:r>
      <w:r>
        <w:rPr>
          <w:rFonts w:ascii="仿宋_GB2312" w:hAnsi="仿宋_GB2312" w:eastAsia="仿宋_GB2312"/>
          <w:b w:val="0"/>
          <w:sz w:val="32"/>
          <w:highlight w:val="none"/>
        </w:rPr>
        <w:t>其中：基本支出559.87万元，占98.66%；项目支出7.59万元，占1.34%；上缴上级支出0.00万元，占0.00%；经营支出0.00万元，占0.00%；对附属单位补助支出0.00万元，占0.00%。</w:t>
      </w:r>
    </w:p>
    <w:p w14:paraId="4FD4A39C">
      <w:pPr>
        <w:spacing w:line="640" w:lineRule="exact"/>
        <w:ind w:firstLine="640"/>
        <w:jc w:val="both"/>
        <w:outlineLvl w:val="2"/>
        <w:rPr>
          <w:highlight w:val="none"/>
        </w:rPr>
      </w:pPr>
      <w:r>
        <w:rPr>
          <w:rFonts w:ascii="黑体" w:hAnsi="黑体" w:eastAsia="黑体"/>
          <w:sz w:val="32"/>
          <w:highlight w:val="none"/>
        </w:rPr>
        <w:t>四、财政拨款收入支出决算总体情况说明</w:t>
      </w:r>
    </w:p>
    <w:p w14:paraId="69B6DA50">
      <w:pPr>
        <w:spacing w:line="580" w:lineRule="exact"/>
        <w:ind w:firstLine="640"/>
        <w:jc w:val="both"/>
        <w:rPr>
          <w:highlight w:val="none"/>
        </w:rPr>
      </w:pPr>
      <w:r>
        <w:rPr>
          <w:rFonts w:ascii="仿宋_GB2312" w:hAnsi="仿宋_GB2312" w:eastAsia="仿宋_GB2312"/>
          <w:b/>
          <w:sz w:val="32"/>
          <w:highlight w:val="none"/>
        </w:rPr>
        <w:t>2024年度财政拨款收入总计567.46万元，</w:t>
      </w:r>
      <w:r>
        <w:rPr>
          <w:rFonts w:ascii="仿宋_GB2312" w:hAnsi="仿宋_GB2312" w:eastAsia="仿宋_GB2312"/>
          <w:b w:val="0"/>
          <w:sz w:val="32"/>
          <w:highlight w:val="none"/>
        </w:rPr>
        <w:t>其中：年初财政拨款结转和结余0.00万元，本年财政拨款收入567.46万元。</w:t>
      </w:r>
      <w:r>
        <w:rPr>
          <w:rFonts w:ascii="仿宋_GB2312" w:hAnsi="仿宋_GB2312" w:eastAsia="仿宋_GB2312"/>
          <w:b/>
          <w:sz w:val="32"/>
          <w:highlight w:val="none"/>
        </w:rPr>
        <w:t>财政拨款支出总计567.46万元，</w:t>
      </w:r>
      <w:r>
        <w:rPr>
          <w:rFonts w:ascii="仿宋_GB2312" w:hAnsi="仿宋_GB2312" w:eastAsia="仿宋_GB2312"/>
          <w:b w:val="0"/>
          <w:sz w:val="32"/>
          <w:highlight w:val="none"/>
        </w:rPr>
        <w:t>其中：年末财政拨款结转和结余0.00万元，本年财政拨款支出567.46万元。</w:t>
      </w:r>
    </w:p>
    <w:p w14:paraId="4363DF5A">
      <w:pPr>
        <w:spacing w:line="580" w:lineRule="exact"/>
        <w:ind w:firstLine="640"/>
        <w:jc w:val="both"/>
        <w:rPr>
          <w:highlight w:val="none"/>
        </w:rPr>
      </w:pPr>
      <w:r>
        <w:rPr>
          <w:rFonts w:ascii="仿宋_GB2312" w:hAnsi="仿宋_GB2312" w:eastAsia="仿宋_GB2312"/>
          <w:b/>
          <w:sz w:val="32"/>
          <w:highlight w:val="none"/>
        </w:rPr>
        <w:t>财政拨款收入支出总体与上年相比，</w:t>
      </w:r>
      <w:r>
        <w:rPr>
          <w:rFonts w:ascii="仿宋_GB2312" w:hAnsi="仿宋_GB2312" w:eastAsia="仿宋_GB2312"/>
          <w:b w:val="0"/>
          <w:sz w:val="32"/>
          <w:highlight w:val="none"/>
        </w:rPr>
        <w:t>增加567.46万元，增长100.00%，主要原因是：我单位为本年新增单位，无上年对比数据。</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年初预算数502.86万元，决算数567.46万元，预决算差异率12.85%，主要原因是：年中追加人员工资、社保、公积金基数调增部分资金，导致预决算存在差异。</w:t>
      </w:r>
    </w:p>
    <w:p w14:paraId="66E3FE69">
      <w:pPr>
        <w:spacing w:line="640" w:lineRule="exact"/>
        <w:ind w:firstLine="640"/>
        <w:jc w:val="both"/>
        <w:outlineLvl w:val="2"/>
        <w:rPr>
          <w:highlight w:val="none"/>
        </w:rPr>
      </w:pPr>
      <w:r>
        <w:rPr>
          <w:rFonts w:ascii="黑体" w:hAnsi="黑体" w:eastAsia="黑体"/>
          <w:sz w:val="32"/>
          <w:highlight w:val="none"/>
        </w:rPr>
        <w:t>五、一般公共预算财政拨款支出决算情况说明</w:t>
      </w:r>
    </w:p>
    <w:p w14:paraId="62787E34">
      <w:pPr>
        <w:spacing w:line="640" w:lineRule="exact"/>
        <w:ind w:firstLine="640"/>
        <w:jc w:val="both"/>
        <w:outlineLvl w:val="3"/>
        <w:rPr>
          <w:highlight w:val="none"/>
        </w:rPr>
      </w:pPr>
      <w:r>
        <w:rPr>
          <w:rFonts w:ascii="楷体_GB2312" w:hAnsi="楷体_GB2312" w:eastAsia="楷体_GB2312"/>
          <w:b/>
          <w:sz w:val="32"/>
          <w:highlight w:val="none"/>
        </w:rPr>
        <w:t>（一）一般公共预算财政拨款支出决算总体情况</w:t>
      </w:r>
    </w:p>
    <w:p w14:paraId="551A1CFE">
      <w:pPr>
        <w:spacing w:line="580" w:lineRule="exact"/>
        <w:ind w:firstLine="640"/>
        <w:jc w:val="both"/>
        <w:rPr>
          <w:highlight w:val="none"/>
        </w:rPr>
      </w:pPr>
      <w:r>
        <w:rPr>
          <w:rFonts w:ascii="仿宋_GB2312" w:hAnsi="仿宋_GB2312" w:eastAsia="仿宋_GB2312"/>
          <w:b/>
          <w:sz w:val="32"/>
          <w:highlight w:val="none"/>
        </w:rPr>
        <w:t>2024年度一般公共预算财政拨款支出567.46万元，</w:t>
      </w:r>
      <w:r>
        <w:rPr>
          <w:rFonts w:ascii="仿宋_GB2312" w:hAnsi="仿宋_GB2312" w:eastAsia="仿宋_GB2312"/>
          <w:b w:val="0"/>
          <w:sz w:val="32"/>
          <w:highlight w:val="none"/>
        </w:rPr>
        <w:t>占本年支出合计的100.00%。</w:t>
      </w:r>
      <w:r>
        <w:rPr>
          <w:rFonts w:ascii="仿宋_GB2312" w:hAnsi="仿宋_GB2312" w:eastAsia="仿宋_GB2312"/>
          <w:b/>
          <w:sz w:val="32"/>
          <w:highlight w:val="none"/>
        </w:rPr>
        <w:t>与上年相比，</w:t>
      </w:r>
      <w:r>
        <w:rPr>
          <w:rFonts w:ascii="仿宋_GB2312" w:hAnsi="仿宋_GB2312" w:eastAsia="仿宋_GB2312"/>
          <w:b w:val="0"/>
          <w:sz w:val="32"/>
          <w:highlight w:val="none"/>
        </w:rPr>
        <w:t>增加567.46万元，增长100.00%，主要原因是：我单位为本年新增单位，无上年对比数据。</w:t>
      </w:r>
      <w:r>
        <w:rPr>
          <w:rFonts w:ascii="仿宋_GB2312" w:hAnsi="仿宋_GB2312" w:eastAsia="仿宋_GB2312"/>
          <w:b/>
          <w:sz w:val="32"/>
          <w:highlight w:val="none"/>
        </w:rPr>
        <w:t>与年初预算相比,</w:t>
      </w:r>
      <w:r>
        <w:rPr>
          <w:rFonts w:ascii="仿宋_GB2312" w:hAnsi="仿宋_GB2312" w:eastAsia="仿宋_GB2312"/>
          <w:b w:val="0"/>
          <w:sz w:val="32"/>
          <w:highlight w:val="none"/>
        </w:rPr>
        <w:t>年初预算数502.86万元，决算数567.46万元，预决算差异率12.85%，主要原因是：年中追加人员工资、社保、公积金基数调增部分资金，导致预决算存在差异。</w:t>
      </w:r>
    </w:p>
    <w:p w14:paraId="6F5DAD8C">
      <w:pPr>
        <w:spacing w:line="640" w:lineRule="exact"/>
        <w:ind w:firstLine="640"/>
        <w:jc w:val="both"/>
        <w:outlineLvl w:val="3"/>
        <w:rPr>
          <w:highlight w:val="none"/>
        </w:rPr>
      </w:pPr>
      <w:r>
        <w:rPr>
          <w:rFonts w:ascii="楷体_GB2312" w:hAnsi="楷体_GB2312" w:eastAsia="楷体_GB2312"/>
          <w:b/>
          <w:sz w:val="32"/>
          <w:highlight w:val="none"/>
        </w:rPr>
        <w:t>（二）一般公共预算财政拨款支出决算结构情况</w:t>
      </w:r>
    </w:p>
    <w:p w14:paraId="27E53DA4">
      <w:pPr>
        <w:spacing w:line="580" w:lineRule="exact"/>
        <w:ind w:firstLine="640"/>
        <w:jc w:val="both"/>
        <w:rPr>
          <w:highlight w:val="none"/>
        </w:rPr>
      </w:pPr>
      <w:r>
        <w:rPr>
          <w:rFonts w:ascii="仿宋_GB2312" w:hAnsi="仿宋_GB2312" w:eastAsia="仿宋_GB2312"/>
          <w:b w:val="0"/>
          <w:sz w:val="32"/>
          <w:highlight w:val="none"/>
        </w:rPr>
        <w:t>1.教育支出(类)447.77万元,占78.91%。</w:t>
      </w:r>
    </w:p>
    <w:p w14:paraId="2F95A932">
      <w:pPr>
        <w:spacing w:line="580" w:lineRule="exact"/>
        <w:ind w:firstLine="640"/>
        <w:jc w:val="both"/>
        <w:rPr>
          <w:highlight w:val="none"/>
        </w:rPr>
      </w:pPr>
      <w:r>
        <w:rPr>
          <w:rFonts w:ascii="仿宋_GB2312" w:hAnsi="仿宋_GB2312" w:eastAsia="仿宋_GB2312"/>
          <w:b w:val="0"/>
          <w:sz w:val="32"/>
          <w:highlight w:val="none"/>
        </w:rPr>
        <w:t>2.社会保障和就业支出(类)54.90万元,占9.67%。</w:t>
      </w:r>
    </w:p>
    <w:p w14:paraId="7D7E1F9B">
      <w:pPr>
        <w:spacing w:line="580" w:lineRule="exact"/>
        <w:ind w:firstLine="640"/>
        <w:jc w:val="both"/>
        <w:rPr>
          <w:highlight w:val="none"/>
        </w:rPr>
      </w:pPr>
      <w:r>
        <w:rPr>
          <w:rFonts w:ascii="仿宋_GB2312" w:hAnsi="仿宋_GB2312" w:eastAsia="仿宋_GB2312"/>
          <w:b w:val="0"/>
          <w:sz w:val="32"/>
          <w:highlight w:val="none"/>
        </w:rPr>
        <w:t>3.卫生健康支出(类)22.63万元,占3.99%。</w:t>
      </w:r>
    </w:p>
    <w:p w14:paraId="10A09D95">
      <w:pPr>
        <w:spacing w:line="580" w:lineRule="exact"/>
        <w:ind w:firstLine="640"/>
        <w:jc w:val="both"/>
        <w:rPr>
          <w:highlight w:val="none"/>
        </w:rPr>
      </w:pPr>
      <w:r>
        <w:rPr>
          <w:rFonts w:ascii="仿宋_GB2312" w:hAnsi="仿宋_GB2312" w:eastAsia="仿宋_GB2312"/>
          <w:b w:val="0"/>
          <w:sz w:val="32"/>
          <w:highlight w:val="none"/>
        </w:rPr>
        <w:t>4.住房保障支出(类)42.15万元,占7.43%。</w:t>
      </w:r>
    </w:p>
    <w:p w14:paraId="0BBC55D7">
      <w:pPr>
        <w:spacing w:line="640" w:lineRule="exact"/>
        <w:ind w:firstLine="640"/>
        <w:jc w:val="both"/>
        <w:outlineLvl w:val="3"/>
        <w:rPr>
          <w:highlight w:val="none"/>
        </w:rPr>
      </w:pPr>
      <w:r>
        <w:rPr>
          <w:rFonts w:ascii="楷体_GB2312" w:hAnsi="楷体_GB2312" w:eastAsia="楷体_GB2312"/>
          <w:b/>
          <w:sz w:val="32"/>
          <w:highlight w:val="none"/>
        </w:rPr>
        <w:t>（三）一般公共预算财政拨款支出决算具体情况</w:t>
      </w:r>
    </w:p>
    <w:p w14:paraId="60868800">
      <w:pPr>
        <w:spacing w:line="580" w:lineRule="exact"/>
        <w:ind w:firstLine="640"/>
        <w:jc w:val="both"/>
        <w:rPr>
          <w:highlight w:val="none"/>
        </w:rPr>
      </w:pPr>
      <w:r>
        <w:rPr>
          <w:rFonts w:ascii="仿宋_GB2312" w:hAnsi="仿宋_GB2312" w:eastAsia="仿宋_GB2312"/>
          <w:b w:val="0"/>
          <w:sz w:val="32"/>
          <w:highlight w:val="none"/>
        </w:rPr>
        <w:t>1.教育支出(类)职业教育(款)其他职业教育支出(项):支出决算数为447.77万元，比上年决算增加447.77万元，增长100.00%,主要原因是：我单位为本年新增单位，无上年对比数据。</w:t>
      </w:r>
    </w:p>
    <w:p w14:paraId="39E1BEA2">
      <w:pPr>
        <w:spacing w:line="580" w:lineRule="exact"/>
        <w:ind w:firstLine="640"/>
        <w:jc w:val="both"/>
        <w:rPr>
          <w:highlight w:val="none"/>
        </w:rPr>
      </w:pPr>
      <w:r>
        <w:rPr>
          <w:rFonts w:ascii="仿宋_GB2312" w:hAnsi="仿宋_GB2312" w:eastAsia="仿宋_GB2312"/>
          <w:b w:val="0"/>
          <w:sz w:val="32"/>
          <w:highlight w:val="none"/>
        </w:rPr>
        <w:t>2.社会保障和就业支出(类)行政事业单位养老支出(款)事业单位离退休(项):支出决算数为1.65万元，比上年决算增加1.65万元，增长100.00%,主要原因是：我单位为本年新增单位，无上年对比数据。</w:t>
      </w:r>
    </w:p>
    <w:p w14:paraId="12E712B1">
      <w:pPr>
        <w:spacing w:line="580" w:lineRule="exact"/>
        <w:ind w:firstLine="640"/>
        <w:jc w:val="both"/>
        <w:rPr>
          <w:highlight w:val="none"/>
        </w:rPr>
      </w:pPr>
      <w:r>
        <w:rPr>
          <w:rFonts w:ascii="仿宋_GB2312" w:hAnsi="仿宋_GB2312" w:eastAsia="仿宋_GB2312"/>
          <w:b w:val="0"/>
          <w:sz w:val="32"/>
          <w:highlight w:val="none"/>
        </w:rPr>
        <w:t>3.社会保障和就业支出(类)行政事业单位养老支出(款)机关事业单位基本养老保险缴费支出(项):支出决算数为53.25万元，比上年决算增加53.25万元，增长100.00%,主要原因是：我单位为本年新增单位，无上年对比数据。</w:t>
      </w:r>
    </w:p>
    <w:p w14:paraId="6D4CCB1F">
      <w:pPr>
        <w:spacing w:line="580" w:lineRule="exact"/>
        <w:ind w:firstLine="640"/>
        <w:jc w:val="both"/>
        <w:rPr>
          <w:highlight w:val="none"/>
        </w:rPr>
      </w:pPr>
      <w:r>
        <w:rPr>
          <w:rFonts w:ascii="仿宋_GB2312" w:hAnsi="仿宋_GB2312" w:eastAsia="仿宋_GB2312"/>
          <w:b w:val="0"/>
          <w:sz w:val="32"/>
          <w:highlight w:val="none"/>
        </w:rPr>
        <w:t>4.卫生健康支出(类)行政事业单位医疗(款)事业单位医疗(项):支出决算数为22.63万元，比上年决算增加22.63万元，增长100.00%,主要原因是：我单位为本年新增单位，无上年对比数据。</w:t>
      </w:r>
    </w:p>
    <w:p w14:paraId="16564CC5">
      <w:pPr>
        <w:spacing w:line="580" w:lineRule="exact"/>
        <w:ind w:firstLine="640"/>
        <w:jc w:val="both"/>
        <w:rPr>
          <w:highlight w:val="none"/>
        </w:rPr>
      </w:pPr>
      <w:r>
        <w:rPr>
          <w:rFonts w:ascii="仿宋_GB2312" w:hAnsi="仿宋_GB2312" w:eastAsia="仿宋_GB2312"/>
          <w:b w:val="0"/>
          <w:sz w:val="32"/>
          <w:highlight w:val="none"/>
        </w:rPr>
        <w:t>5.住房保障支出(类)住房改革支出(款)住房公积金(项):支出决算数为42.15万元，比上年决算增加42.15万元，增长100.00%,主要原因是：我单位为本年新增单位，无上年对比数据。</w:t>
      </w:r>
    </w:p>
    <w:p w14:paraId="01A83599">
      <w:pPr>
        <w:spacing w:line="640" w:lineRule="exact"/>
        <w:ind w:firstLine="640"/>
        <w:jc w:val="both"/>
        <w:outlineLvl w:val="2"/>
        <w:rPr>
          <w:highlight w:val="none"/>
        </w:rPr>
      </w:pPr>
      <w:r>
        <w:rPr>
          <w:rFonts w:ascii="黑体" w:hAnsi="黑体" w:eastAsia="黑体"/>
          <w:sz w:val="32"/>
          <w:highlight w:val="none"/>
        </w:rPr>
        <w:t>六、一般公共预算财政拨款基本支出决算情况说明</w:t>
      </w:r>
    </w:p>
    <w:p w14:paraId="19CA5597">
      <w:pPr>
        <w:spacing w:line="580" w:lineRule="exact"/>
        <w:ind w:firstLine="640"/>
        <w:jc w:val="both"/>
        <w:rPr>
          <w:highlight w:val="none"/>
        </w:rPr>
      </w:pPr>
      <w:r>
        <w:rPr>
          <w:rFonts w:ascii="仿宋_GB2312" w:hAnsi="仿宋_GB2312" w:eastAsia="仿宋_GB2312"/>
          <w:b w:val="0"/>
          <w:sz w:val="32"/>
          <w:highlight w:val="none"/>
        </w:rPr>
        <w:t>2024年度一般公共预算财政拨款基本支出559.87万元，其中：</w:t>
      </w:r>
      <w:r>
        <w:rPr>
          <w:rFonts w:ascii="仿宋_GB2312" w:hAnsi="仿宋_GB2312" w:eastAsia="仿宋_GB2312"/>
          <w:b/>
          <w:sz w:val="32"/>
          <w:highlight w:val="none"/>
        </w:rPr>
        <w:t>人员经费512.43万元，</w:t>
      </w:r>
      <w:r>
        <w:rPr>
          <w:rFonts w:ascii="仿宋_GB2312" w:hAnsi="仿宋_GB2312" w:eastAsia="仿宋_GB2312"/>
          <w:b w:val="0"/>
          <w:sz w:val="32"/>
          <w:highlight w:val="none"/>
        </w:rPr>
        <w:t>包括：基本工资、津贴补贴、奖金、绩效工资、机关事业单位基本养老保险缴费、职工基本医疗保险缴费、其他社会保障缴费、住房公积金、退休费。</w:t>
      </w:r>
    </w:p>
    <w:p w14:paraId="4061D564">
      <w:pPr>
        <w:spacing w:line="580" w:lineRule="exact"/>
        <w:ind w:firstLine="640"/>
        <w:jc w:val="both"/>
        <w:rPr>
          <w:highlight w:val="none"/>
        </w:rPr>
      </w:pPr>
      <w:r>
        <w:rPr>
          <w:rFonts w:ascii="仿宋_GB2312" w:hAnsi="仿宋_GB2312" w:eastAsia="仿宋_GB2312"/>
          <w:b/>
          <w:sz w:val="32"/>
          <w:highlight w:val="none"/>
        </w:rPr>
        <w:t>公用经费47.44万元，</w:t>
      </w:r>
      <w:r>
        <w:rPr>
          <w:rFonts w:ascii="仿宋_GB2312" w:hAnsi="仿宋_GB2312" w:eastAsia="仿宋_GB2312"/>
          <w:b w:val="0"/>
          <w:sz w:val="32"/>
          <w:highlight w:val="none"/>
        </w:rPr>
        <w:t>包括：办公费、水费、电费、邮电费、取暖费、差旅费、维修（护）费、其他商品和服务支出、办公设备购置。</w:t>
      </w:r>
    </w:p>
    <w:p w14:paraId="1532FAFF">
      <w:pPr>
        <w:spacing w:line="640" w:lineRule="exact"/>
        <w:ind w:firstLine="640"/>
        <w:jc w:val="both"/>
        <w:outlineLvl w:val="2"/>
        <w:rPr>
          <w:highlight w:val="none"/>
        </w:rPr>
      </w:pPr>
      <w:r>
        <w:rPr>
          <w:rFonts w:ascii="黑体" w:hAnsi="黑体" w:eastAsia="黑体"/>
          <w:sz w:val="32"/>
          <w:highlight w:val="none"/>
        </w:rPr>
        <w:t>七、政府性基金预算财政拨款收入支出决算情况说明</w:t>
      </w:r>
    </w:p>
    <w:p w14:paraId="6DF632D2">
      <w:pPr>
        <w:spacing w:line="580" w:lineRule="exact"/>
        <w:ind w:firstLine="640"/>
        <w:jc w:val="both"/>
        <w:rPr>
          <w:highlight w:val="none"/>
        </w:rPr>
      </w:pPr>
      <w:r>
        <w:rPr>
          <w:rFonts w:ascii="仿宋_GB2312" w:hAnsi="仿宋_GB2312" w:eastAsia="仿宋_GB2312"/>
          <w:b w:val="0"/>
          <w:sz w:val="32"/>
          <w:highlight w:val="none"/>
        </w:rPr>
        <w:t>本单位本年度无政府性基金预算财政拨款收入、支出及结转和结余，政府性基金预算财政拨款收入支出决算表为空表。</w:t>
      </w:r>
    </w:p>
    <w:p w14:paraId="5131852C">
      <w:pPr>
        <w:spacing w:line="640" w:lineRule="exact"/>
        <w:ind w:firstLine="640"/>
        <w:jc w:val="both"/>
        <w:outlineLvl w:val="2"/>
        <w:rPr>
          <w:highlight w:val="none"/>
        </w:rPr>
      </w:pPr>
      <w:r>
        <w:rPr>
          <w:rFonts w:ascii="黑体" w:hAnsi="黑体" w:eastAsia="黑体"/>
          <w:sz w:val="32"/>
          <w:highlight w:val="none"/>
        </w:rPr>
        <w:t>八、国有资本经营预算财政拨款收入支出决算情况说明</w:t>
      </w:r>
    </w:p>
    <w:p w14:paraId="58950DC9">
      <w:pPr>
        <w:spacing w:line="580" w:lineRule="exact"/>
        <w:ind w:firstLine="640"/>
        <w:jc w:val="both"/>
        <w:rPr>
          <w:highlight w:val="none"/>
        </w:rPr>
      </w:pPr>
      <w:r>
        <w:rPr>
          <w:rFonts w:ascii="仿宋_GB2312" w:hAnsi="仿宋_GB2312" w:eastAsia="仿宋_GB2312"/>
          <w:b w:val="0"/>
          <w:sz w:val="32"/>
          <w:highlight w:val="none"/>
        </w:rPr>
        <w:t>本单位本年度无国有资本经营预算财政拨款收入、支出及结转和结余，国有资本经营预算财政拨款收入支出决算表为空表。</w:t>
      </w:r>
    </w:p>
    <w:p w14:paraId="6DD423AB">
      <w:pPr>
        <w:spacing w:line="640" w:lineRule="exact"/>
        <w:ind w:firstLine="640"/>
        <w:jc w:val="both"/>
        <w:outlineLvl w:val="2"/>
        <w:rPr>
          <w:highlight w:val="none"/>
        </w:rPr>
      </w:pPr>
      <w:r>
        <w:rPr>
          <w:rFonts w:ascii="黑体" w:hAnsi="黑体" w:eastAsia="黑体"/>
          <w:sz w:val="32"/>
          <w:highlight w:val="none"/>
        </w:rPr>
        <w:t>九、财政拨款“三公”经费支出决算情况说明</w:t>
      </w:r>
    </w:p>
    <w:p w14:paraId="3F31AE24">
      <w:pPr>
        <w:spacing w:line="580" w:lineRule="exact"/>
        <w:ind w:firstLine="640"/>
        <w:jc w:val="both"/>
        <w:rPr>
          <w:highlight w:val="none"/>
        </w:rPr>
      </w:pPr>
      <w:r>
        <w:rPr>
          <w:rFonts w:ascii="仿宋_GB2312" w:hAnsi="仿宋_GB2312" w:eastAsia="仿宋_GB2312"/>
          <w:b/>
          <w:sz w:val="32"/>
          <w:highlight w:val="none"/>
        </w:rPr>
        <w:t>2024年度财政拨款“三公”经费支出0.00万元，</w:t>
      </w:r>
      <w:r>
        <w:rPr>
          <w:rFonts w:ascii="仿宋_GB2312" w:hAnsi="仿宋_GB2312" w:eastAsia="仿宋_GB2312"/>
          <w:b w:val="0"/>
          <w:sz w:val="32"/>
          <w:highlight w:val="none"/>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1C9224BD">
      <w:pPr>
        <w:spacing w:line="580" w:lineRule="exact"/>
        <w:ind w:firstLine="640"/>
        <w:jc w:val="both"/>
        <w:rPr>
          <w:highlight w:val="none"/>
        </w:rPr>
      </w:pPr>
      <w:r>
        <w:rPr>
          <w:rFonts w:ascii="仿宋_GB2312" w:hAnsi="仿宋_GB2312" w:eastAsia="仿宋_GB2312"/>
          <w:b/>
          <w:sz w:val="32"/>
          <w:highlight w:val="none"/>
        </w:rPr>
        <w:t>具体情况如下：</w:t>
      </w:r>
    </w:p>
    <w:p w14:paraId="13B3A3E6">
      <w:pPr>
        <w:spacing w:line="580" w:lineRule="exact"/>
        <w:ind w:firstLine="640"/>
        <w:jc w:val="both"/>
        <w:rPr>
          <w:highlight w:val="none"/>
        </w:rPr>
      </w:pPr>
      <w:r>
        <w:rPr>
          <w:rFonts w:ascii="仿宋_GB2312" w:hAnsi="仿宋_GB2312" w:eastAsia="仿宋_GB2312"/>
          <w:b w:val="0"/>
          <w:sz w:val="32"/>
          <w:highlight w:val="none"/>
        </w:rPr>
        <w:t>因公出国（境）费支出0.00万元，开支内容包括本单位无因公出国（境）费。单位全年安排的因公出国（境）团组0个，因公出国（境）0人次。</w:t>
      </w:r>
    </w:p>
    <w:p w14:paraId="3F6297C4">
      <w:pPr>
        <w:spacing w:line="580" w:lineRule="exact"/>
        <w:ind w:firstLine="640"/>
        <w:jc w:val="both"/>
        <w:rPr>
          <w:highlight w:val="none"/>
        </w:rPr>
      </w:pPr>
      <w:r>
        <w:rPr>
          <w:rFonts w:ascii="仿宋_GB2312" w:hAnsi="仿宋_GB2312" w:eastAsia="仿宋_GB2312"/>
          <w:b w:val="0"/>
          <w:sz w:val="32"/>
          <w:highlight w:val="none"/>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2478896">
      <w:pPr>
        <w:spacing w:line="580" w:lineRule="exact"/>
        <w:ind w:firstLine="640"/>
        <w:jc w:val="both"/>
        <w:rPr>
          <w:highlight w:val="none"/>
        </w:rPr>
      </w:pPr>
      <w:r>
        <w:rPr>
          <w:rFonts w:ascii="仿宋_GB2312" w:hAnsi="仿宋_GB2312" w:eastAsia="仿宋_GB2312"/>
          <w:b w:val="0"/>
          <w:sz w:val="32"/>
          <w:highlight w:val="none"/>
        </w:rPr>
        <w:t>公务接待费0.00万元，开支内容包括本单位无公务接待费。单位全年安排的国内公务接待0批次，0人次。</w:t>
      </w:r>
    </w:p>
    <w:p w14:paraId="1781B219">
      <w:pPr>
        <w:spacing w:line="580" w:lineRule="exact"/>
        <w:ind w:firstLine="640"/>
        <w:jc w:val="both"/>
        <w:rPr>
          <w:highlight w:val="none"/>
        </w:rPr>
      </w:pPr>
      <w:r>
        <w:rPr>
          <w:rFonts w:ascii="仿宋_GB2312" w:hAnsi="仿宋_GB2312" w:eastAsia="仿宋_GB2312"/>
          <w:b/>
          <w:sz w:val="32"/>
          <w:highlight w:val="none"/>
        </w:rPr>
        <w:t>与全年预算相比，</w:t>
      </w:r>
      <w:r>
        <w:rPr>
          <w:rFonts w:ascii="仿宋_GB2312" w:hAnsi="仿宋_GB2312" w:eastAsia="仿宋_GB2312"/>
          <w:b w:val="0"/>
          <w:sz w:val="32"/>
          <w:highlight w:val="none"/>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C9567E8">
      <w:pPr>
        <w:spacing w:line="640" w:lineRule="exact"/>
        <w:ind w:firstLine="640"/>
        <w:jc w:val="both"/>
        <w:outlineLvl w:val="2"/>
        <w:rPr>
          <w:highlight w:val="none"/>
        </w:rPr>
      </w:pPr>
      <w:r>
        <w:rPr>
          <w:rFonts w:ascii="黑体" w:hAnsi="黑体" w:eastAsia="黑体"/>
          <w:sz w:val="32"/>
          <w:highlight w:val="none"/>
        </w:rPr>
        <w:t>十、其他重要事项的情况说明</w:t>
      </w:r>
    </w:p>
    <w:p w14:paraId="3D485D35">
      <w:pPr>
        <w:spacing w:line="640" w:lineRule="exact"/>
        <w:ind w:firstLine="640"/>
        <w:jc w:val="both"/>
        <w:outlineLvl w:val="3"/>
        <w:rPr>
          <w:highlight w:val="none"/>
        </w:rPr>
      </w:pPr>
      <w:r>
        <w:rPr>
          <w:rFonts w:ascii="楷体_GB2312" w:hAnsi="楷体_GB2312" w:eastAsia="楷体_GB2312"/>
          <w:b/>
          <w:sz w:val="32"/>
          <w:highlight w:val="none"/>
        </w:rPr>
        <w:t>（一）机关运行经费及公用经费支出情况</w:t>
      </w:r>
    </w:p>
    <w:p w14:paraId="581198B1">
      <w:pPr>
        <w:spacing w:line="580" w:lineRule="exact"/>
        <w:ind w:firstLine="640"/>
        <w:jc w:val="both"/>
        <w:rPr>
          <w:highlight w:val="none"/>
        </w:rPr>
      </w:pPr>
      <w:r>
        <w:rPr>
          <w:rFonts w:ascii="仿宋_GB2312" w:hAnsi="仿宋_GB2312" w:eastAsia="仿宋_GB2312"/>
          <w:b w:val="0"/>
          <w:sz w:val="32"/>
          <w:highlight w:val="none"/>
        </w:rPr>
        <w:t>2024年度麦盖提县技工学校第一分校（事业单位）公用经费支出47.44万元，比上年增加47.44万元，增长100.00%，主要原因是：我单位为本年新增单位，无上年对比数据。</w:t>
      </w:r>
    </w:p>
    <w:p w14:paraId="403ABA05">
      <w:pPr>
        <w:spacing w:line="640" w:lineRule="exact"/>
        <w:ind w:firstLine="640"/>
        <w:jc w:val="both"/>
        <w:outlineLvl w:val="3"/>
        <w:rPr>
          <w:highlight w:val="none"/>
        </w:rPr>
      </w:pPr>
      <w:r>
        <w:rPr>
          <w:rFonts w:ascii="楷体_GB2312" w:hAnsi="楷体_GB2312" w:eastAsia="楷体_GB2312"/>
          <w:b/>
          <w:sz w:val="32"/>
          <w:highlight w:val="none"/>
        </w:rPr>
        <w:t>（二）政府采购情况</w:t>
      </w:r>
    </w:p>
    <w:p w14:paraId="47F6C195">
      <w:pPr>
        <w:spacing w:line="580" w:lineRule="exact"/>
        <w:ind w:firstLine="640"/>
        <w:jc w:val="both"/>
        <w:rPr>
          <w:highlight w:val="none"/>
        </w:rPr>
      </w:pPr>
      <w:r>
        <w:rPr>
          <w:rFonts w:ascii="仿宋_GB2312" w:hAnsi="仿宋_GB2312" w:eastAsia="仿宋_GB2312"/>
          <w:b w:val="0"/>
          <w:sz w:val="32"/>
          <w:highlight w:val="none"/>
        </w:rPr>
        <w:t>2024年度政府采购支出总额0.00万元，其中：政府采购货物支出0.00万元、政府采购工程支出0.00万元、政府采购服务支出0.00万元。</w:t>
      </w:r>
    </w:p>
    <w:p w14:paraId="0A7671EC">
      <w:pPr>
        <w:spacing w:line="580" w:lineRule="exact"/>
        <w:ind w:firstLine="640"/>
        <w:jc w:val="both"/>
        <w:rPr>
          <w:highlight w:val="none"/>
        </w:rPr>
      </w:pPr>
      <w:r>
        <w:rPr>
          <w:rFonts w:ascii="仿宋_GB2312" w:hAnsi="仿宋_GB2312" w:eastAsia="仿宋_GB2312"/>
          <w:b w:val="0"/>
          <w:sz w:val="32"/>
          <w:highlight w:val="none"/>
        </w:rPr>
        <w:t>授予中小企业合同金额0.00万元，占政府采购支出总额的0.00%，其中：授予小微企业合同金额0.00万元，占政府采购支出总额的0.00%。</w:t>
      </w:r>
    </w:p>
    <w:p w14:paraId="362D688D">
      <w:pPr>
        <w:spacing w:line="640" w:lineRule="exact"/>
        <w:ind w:firstLine="640"/>
        <w:jc w:val="both"/>
        <w:outlineLvl w:val="3"/>
        <w:rPr>
          <w:highlight w:val="none"/>
        </w:rPr>
      </w:pPr>
      <w:r>
        <w:rPr>
          <w:rFonts w:ascii="楷体_GB2312" w:hAnsi="楷体_GB2312" w:eastAsia="楷体_GB2312"/>
          <w:b/>
          <w:sz w:val="32"/>
          <w:highlight w:val="none"/>
        </w:rPr>
        <w:t>（三）国有资产占用情况说明</w:t>
      </w:r>
    </w:p>
    <w:p w14:paraId="78C853E1">
      <w:pPr>
        <w:spacing w:line="580" w:lineRule="exact"/>
        <w:ind w:firstLine="640"/>
        <w:jc w:val="both"/>
        <w:rPr>
          <w:highlight w:val="none"/>
        </w:rPr>
      </w:pPr>
      <w:r>
        <w:rPr>
          <w:rFonts w:ascii="仿宋_GB2312" w:hAnsi="仿宋_GB2312" w:eastAsia="仿宋_GB2312"/>
          <w:b w:val="0"/>
          <w:sz w:val="32"/>
          <w:highlight w:val="none"/>
        </w:rPr>
        <w:t>截至2024年12月31日，房屋66,789.44平方米，价值11,920.75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C512558">
      <w:pPr>
        <w:spacing w:line="640" w:lineRule="exact"/>
        <w:ind w:firstLine="640"/>
        <w:jc w:val="both"/>
        <w:outlineLvl w:val="2"/>
        <w:rPr>
          <w:highlight w:val="none"/>
        </w:rPr>
      </w:pPr>
      <w:r>
        <w:rPr>
          <w:rFonts w:ascii="黑体" w:hAnsi="黑体" w:eastAsia="黑体"/>
          <w:sz w:val="32"/>
          <w:highlight w:val="none"/>
        </w:rPr>
        <w:t>十一、预算绩效的情况说明</w:t>
      </w:r>
    </w:p>
    <w:p w14:paraId="24733881">
      <w:pPr>
        <w:spacing w:line="580" w:lineRule="exact"/>
        <w:ind w:firstLine="640"/>
        <w:jc w:val="both"/>
        <w:rPr>
          <w:highlight w:val="none"/>
        </w:rPr>
      </w:pPr>
      <w:r>
        <w:rPr>
          <w:rFonts w:ascii="仿宋_GB2312" w:hAnsi="仿宋_GB2312" w:eastAsia="仿宋_GB2312"/>
          <w:b w:val="0"/>
          <w:sz w:val="32"/>
          <w:highlight w:val="none"/>
        </w:rPr>
        <w:t>根据预算绩效管理要求，本单位2024年度预算绩效管理形成整体支出绩效自评表1个，全年预算总额569.45万元，实际执行总额567.46万元；预算绩效评价项目0个，全年预算数0.00万元，全年执行数0.00万元。预算绩效管理取得的成效：我单位无预算绩效项目自评表。发现的问题及原因：我单位无预算绩效项目自评表。下一步改进措施：我单位无预算绩效项目自评表。具体附整体支出绩效自评表。</w:t>
      </w:r>
    </w:p>
    <w:p w14:paraId="62FA7C4E">
      <w:pPr>
        <w:rPr>
          <w:highlight w:val="none"/>
        </w:rPr>
      </w:pPr>
      <w:r>
        <w:rPr>
          <w:highlight w:val="none"/>
        </w:rP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BBA3892">
        <w:tblPrEx>
          <w:tblCellMar>
            <w:top w:w="0" w:type="dxa"/>
            <w:left w:w="108" w:type="dxa"/>
            <w:bottom w:w="0" w:type="dxa"/>
            <w:right w:w="108" w:type="dxa"/>
          </w:tblCellMar>
        </w:tblPrEx>
        <w:tc>
          <w:tcPr>
            <w:tcW w:w="8847" w:type="dxa"/>
            <w:gridSpan w:val="9"/>
            <w:vAlign w:val="center"/>
          </w:tcPr>
          <w:p w14:paraId="1FAC51B5">
            <w:pPr>
              <w:jc w:val="center"/>
              <w:rPr>
                <w:highlight w:val="none"/>
              </w:rPr>
            </w:pPr>
            <w:r>
              <w:rPr>
                <w:rFonts w:ascii="宋体" w:hAnsi="宋体" w:eastAsia="宋体"/>
                <w:sz w:val="24"/>
                <w:highlight w:val="none"/>
              </w:rPr>
              <w:t>单位整体支出绩效自评表</w:t>
            </w:r>
          </w:p>
        </w:tc>
      </w:tr>
      <w:tr w14:paraId="7CAC24DC">
        <w:tblPrEx>
          <w:tblCellMar>
            <w:top w:w="0" w:type="dxa"/>
            <w:left w:w="108" w:type="dxa"/>
            <w:bottom w:w="0" w:type="dxa"/>
            <w:right w:w="108" w:type="dxa"/>
          </w:tblCellMar>
        </w:tblPrEx>
        <w:tc>
          <w:tcPr>
            <w:tcW w:w="8847" w:type="dxa"/>
            <w:gridSpan w:val="9"/>
            <w:vAlign w:val="center"/>
          </w:tcPr>
          <w:p w14:paraId="10F06493">
            <w:pPr>
              <w:jc w:val="center"/>
              <w:rPr>
                <w:highlight w:val="none"/>
              </w:rPr>
            </w:pPr>
            <w:r>
              <w:rPr>
                <w:rFonts w:ascii="宋体" w:hAnsi="宋体" w:eastAsia="宋体"/>
                <w:sz w:val="24"/>
                <w:highlight w:val="none"/>
              </w:rPr>
              <w:t>（2024年度）</w:t>
            </w:r>
          </w:p>
        </w:tc>
      </w:tr>
      <w:tr w14:paraId="1392F0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E4E50">
            <w:pPr>
              <w:jc w:val="center"/>
              <w:rPr>
                <w:highlight w:val="none"/>
              </w:rPr>
            </w:pPr>
            <w:r>
              <w:rPr>
                <w:rFonts w:ascii="宋体" w:hAnsi="宋体" w:eastAsia="宋体"/>
                <w:sz w:val="16"/>
                <w:highlight w:val="none"/>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F6F617">
            <w:pPr>
              <w:jc w:val="center"/>
              <w:rPr>
                <w:highlight w:val="none"/>
              </w:rPr>
            </w:pPr>
            <w:r>
              <w:rPr>
                <w:rFonts w:ascii="宋体" w:hAnsi="宋体" w:eastAsia="宋体"/>
                <w:sz w:val="16"/>
                <w:highlight w:val="none"/>
              </w:rPr>
              <w:t>麦盖提县技工学校第一分校</w:t>
            </w:r>
          </w:p>
        </w:tc>
      </w:tr>
      <w:tr w14:paraId="39A6D9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F3D1A">
            <w:pPr>
              <w:jc w:val="center"/>
              <w:rPr>
                <w:highlight w:val="none"/>
              </w:rPr>
            </w:pPr>
            <w:r>
              <w:rPr>
                <w:rFonts w:ascii="宋体" w:hAnsi="宋体" w:eastAsia="宋体"/>
                <w:sz w:val="16"/>
                <w:highlight w:val="none"/>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2CB7">
            <w:pPr>
              <w:jc w:val="center"/>
              <w:rPr>
                <w:highlight w:val="none"/>
              </w:rPr>
            </w:pPr>
            <w:r>
              <w:rPr>
                <w:rFonts w:ascii="宋体" w:hAnsi="宋体" w:eastAsia="宋体"/>
                <w:sz w:val="16"/>
                <w:highlight w:val="none"/>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B5211">
            <w:pPr>
              <w:jc w:val="center"/>
              <w:rPr>
                <w:highlight w:val="none"/>
              </w:rPr>
            </w:pPr>
            <w:r>
              <w:rPr>
                <w:rFonts w:ascii="宋体" w:hAnsi="宋体" w:eastAsia="宋体"/>
                <w:sz w:val="16"/>
                <w:highlight w:val="none"/>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CEBC7">
            <w:pPr>
              <w:jc w:val="center"/>
              <w:rPr>
                <w:highlight w:val="none"/>
              </w:rPr>
            </w:pPr>
            <w:r>
              <w:rPr>
                <w:rFonts w:ascii="宋体" w:hAnsi="宋体" w:eastAsia="宋体"/>
                <w:sz w:val="16"/>
                <w:highlight w:val="none"/>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D653A">
            <w:pPr>
              <w:jc w:val="center"/>
              <w:rPr>
                <w:highlight w:val="none"/>
              </w:rPr>
            </w:pPr>
            <w:r>
              <w:rPr>
                <w:rFonts w:ascii="宋体" w:hAnsi="宋体" w:eastAsia="宋体"/>
                <w:sz w:val="16"/>
                <w:highlight w:val="none"/>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46DEC">
            <w:pPr>
              <w:jc w:val="center"/>
              <w:rPr>
                <w:highlight w:val="none"/>
              </w:rPr>
            </w:pPr>
            <w:r>
              <w:rPr>
                <w:rFonts w:ascii="宋体" w:hAnsi="宋体" w:eastAsia="宋体"/>
                <w:sz w:val="16"/>
                <w:highlight w:val="none"/>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AAD1E">
            <w:pPr>
              <w:jc w:val="center"/>
              <w:rPr>
                <w:highlight w:val="none"/>
              </w:rPr>
            </w:pPr>
            <w:r>
              <w:rPr>
                <w:rFonts w:ascii="宋体" w:hAnsi="宋体" w:eastAsia="宋体"/>
                <w:sz w:val="16"/>
                <w:highlight w:val="none"/>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B5874">
            <w:pPr>
              <w:jc w:val="center"/>
              <w:rPr>
                <w:highlight w:val="none"/>
              </w:rPr>
            </w:pPr>
            <w:r>
              <w:rPr>
                <w:rFonts w:ascii="宋体" w:hAnsi="宋体" w:eastAsia="宋体"/>
                <w:sz w:val="16"/>
                <w:highlight w:val="none"/>
              </w:rPr>
              <w:t>得分</w:t>
            </w:r>
          </w:p>
        </w:tc>
      </w:tr>
      <w:tr w14:paraId="19408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AD7C5">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6F288">
            <w:pPr>
              <w:jc w:val="center"/>
              <w:rPr>
                <w:highlight w:val="none"/>
              </w:rPr>
            </w:pPr>
            <w:r>
              <w:rPr>
                <w:rFonts w:ascii="宋体" w:hAnsi="宋体" w:eastAsia="宋体"/>
                <w:sz w:val="16"/>
                <w:highlight w:val="none"/>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78BCD">
            <w:pPr>
              <w:jc w:val="center"/>
              <w:rPr>
                <w:highlight w:val="none"/>
              </w:rPr>
            </w:pPr>
            <w:r>
              <w:rPr>
                <w:rFonts w:ascii="宋体" w:hAnsi="宋体" w:eastAsia="宋体"/>
                <w:sz w:val="16"/>
                <w:highlight w:val="none"/>
              </w:rPr>
              <w:t>502.85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FF5A8">
            <w:pPr>
              <w:jc w:val="center"/>
              <w:rPr>
                <w:highlight w:val="none"/>
              </w:rPr>
            </w:pPr>
            <w:r>
              <w:rPr>
                <w:rFonts w:ascii="宋体" w:hAnsi="宋体" w:eastAsia="宋体"/>
                <w:sz w:val="16"/>
                <w:highlight w:val="none"/>
              </w:rPr>
              <w:t>569.45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F9DE9">
            <w:pPr>
              <w:jc w:val="center"/>
              <w:rPr>
                <w:highlight w:val="none"/>
              </w:rPr>
            </w:pPr>
            <w:r>
              <w:rPr>
                <w:rFonts w:ascii="宋体" w:hAnsi="宋体" w:eastAsia="宋体"/>
                <w:sz w:val="16"/>
                <w:highlight w:val="none"/>
              </w:rPr>
              <w:t>567.46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AF156">
            <w:pPr>
              <w:jc w:val="center"/>
              <w:rPr>
                <w:highlight w:val="none"/>
              </w:rPr>
            </w:pPr>
            <w:r>
              <w:rPr>
                <w:rFonts w:ascii="宋体" w:hAnsi="宋体" w:eastAsia="宋体"/>
                <w:sz w:val="16"/>
                <w:highlight w:val="none"/>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7C158">
            <w:pPr>
              <w:jc w:val="center"/>
              <w:rPr>
                <w:highlight w:val="none"/>
              </w:rPr>
            </w:pPr>
            <w:r>
              <w:rPr>
                <w:rFonts w:ascii="宋体" w:hAnsi="宋体" w:eastAsia="宋体"/>
                <w:sz w:val="16"/>
                <w:highlight w:val="none"/>
              </w:rPr>
              <w:t>99.65%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FFB28">
            <w:pPr>
              <w:jc w:val="center"/>
              <w:rPr>
                <w:highlight w:val="none"/>
              </w:rPr>
            </w:pPr>
            <w:r>
              <w:rPr>
                <w:rFonts w:ascii="宋体" w:hAnsi="宋体" w:eastAsia="宋体"/>
                <w:sz w:val="16"/>
                <w:highlight w:val="none"/>
              </w:rPr>
              <w:t>9.97</w:t>
            </w:r>
          </w:p>
        </w:tc>
      </w:tr>
      <w:tr w14:paraId="03264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1E7A7">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0BFC5">
            <w:pPr>
              <w:jc w:val="center"/>
              <w:rPr>
                <w:highlight w:val="none"/>
              </w:rPr>
            </w:pPr>
            <w:r>
              <w:rPr>
                <w:rFonts w:ascii="宋体" w:hAnsi="宋体" w:eastAsia="宋体"/>
                <w:sz w:val="16"/>
                <w:highlight w:val="none"/>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F636E">
            <w:pPr>
              <w:jc w:val="center"/>
              <w:rPr>
                <w:highlight w:val="none"/>
              </w:rPr>
            </w:pPr>
            <w:r>
              <w:rPr>
                <w:rFonts w:ascii="宋体" w:hAnsi="宋体" w:eastAsia="宋体"/>
                <w:sz w:val="16"/>
                <w:highlight w:val="none"/>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2CDD">
            <w:pPr>
              <w:jc w:val="center"/>
              <w:rPr>
                <w:highlight w:val="none"/>
              </w:rPr>
            </w:pPr>
            <w:r>
              <w:rPr>
                <w:rFonts w:ascii="宋体" w:hAnsi="宋体" w:eastAsia="宋体"/>
                <w:sz w:val="16"/>
                <w:highlight w:val="none"/>
              </w:rPr>
              <w:t>22.99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54A91">
            <w:pPr>
              <w:jc w:val="center"/>
              <w:rPr>
                <w:highlight w:val="none"/>
              </w:rPr>
            </w:pPr>
            <w:r>
              <w:rPr>
                <w:rFonts w:ascii="宋体" w:hAnsi="宋体" w:eastAsia="宋体"/>
                <w:sz w:val="16"/>
                <w:highlight w:val="none"/>
              </w:rPr>
              <w:t>22.99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1A4AD">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E920C">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261C">
            <w:pPr>
              <w:jc w:val="center"/>
              <w:rPr>
                <w:highlight w:val="none"/>
              </w:rPr>
            </w:pPr>
            <w:r>
              <w:rPr>
                <w:rFonts w:ascii="宋体" w:hAnsi="宋体" w:eastAsia="宋体"/>
                <w:sz w:val="16"/>
                <w:highlight w:val="none"/>
              </w:rPr>
              <w:t>—</w:t>
            </w:r>
          </w:p>
        </w:tc>
      </w:tr>
      <w:tr w14:paraId="6AF819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9FA01">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B84C5">
            <w:pPr>
              <w:jc w:val="center"/>
              <w:rPr>
                <w:highlight w:val="none"/>
              </w:rPr>
            </w:pPr>
            <w:r>
              <w:rPr>
                <w:rFonts w:ascii="宋体" w:hAnsi="宋体" w:eastAsia="宋体"/>
                <w:sz w:val="16"/>
                <w:highlight w:val="none"/>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E91F7">
            <w:pPr>
              <w:jc w:val="center"/>
              <w:rPr>
                <w:highlight w:val="none"/>
              </w:rPr>
            </w:pPr>
            <w:r>
              <w:rPr>
                <w:rFonts w:ascii="宋体" w:hAnsi="宋体" w:eastAsia="宋体"/>
                <w:sz w:val="16"/>
                <w:highlight w:val="none"/>
              </w:rPr>
              <w:t>502.85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CC090">
            <w:pPr>
              <w:jc w:val="center"/>
              <w:rPr>
                <w:highlight w:val="none"/>
              </w:rPr>
            </w:pPr>
            <w:r>
              <w:rPr>
                <w:rFonts w:ascii="宋体" w:hAnsi="宋体" w:eastAsia="宋体"/>
                <w:sz w:val="16"/>
                <w:highlight w:val="none"/>
              </w:rPr>
              <w:t>546.46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3FFB7">
            <w:pPr>
              <w:jc w:val="center"/>
              <w:rPr>
                <w:highlight w:val="none"/>
              </w:rPr>
            </w:pPr>
            <w:r>
              <w:rPr>
                <w:rFonts w:ascii="宋体" w:hAnsi="宋体" w:eastAsia="宋体"/>
                <w:sz w:val="16"/>
                <w:highlight w:val="none"/>
              </w:rPr>
              <w:t>544.47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8D563">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DBD49">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9C7AE">
            <w:pPr>
              <w:jc w:val="center"/>
              <w:rPr>
                <w:highlight w:val="none"/>
              </w:rPr>
            </w:pPr>
            <w:r>
              <w:rPr>
                <w:rFonts w:ascii="宋体" w:hAnsi="宋体" w:eastAsia="宋体"/>
                <w:sz w:val="16"/>
                <w:highlight w:val="none"/>
              </w:rPr>
              <w:t>—</w:t>
            </w:r>
          </w:p>
        </w:tc>
      </w:tr>
      <w:tr w14:paraId="3D207C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2185F">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D467D">
            <w:pPr>
              <w:jc w:val="center"/>
              <w:rPr>
                <w:highlight w:val="none"/>
              </w:rPr>
            </w:pPr>
            <w:r>
              <w:rPr>
                <w:rFonts w:ascii="宋体" w:hAnsi="宋体" w:eastAsia="宋体"/>
                <w:sz w:val="16"/>
                <w:highlight w:val="none"/>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CBF3E">
            <w:pPr>
              <w:jc w:val="center"/>
              <w:rPr>
                <w:highlight w:val="none"/>
              </w:rPr>
            </w:pPr>
            <w:r>
              <w:rPr>
                <w:rFonts w:ascii="宋体" w:hAnsi="宋体" w:eastAsia="宋体"/>
                <w:sz w:val="16"/>
                <w:highlight w:val="none"/>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C8354">
            <w:pPr>
              <w:jc w:val="center"/>
              <w:rPr>
                <w:highlight w:val="none"/>
              </w:rPr>
            </w:pPr>
            <w:r>
              <w:rPr>
                <w:rFonts w:ascii="宋体" w:hAnsi="宋体" w:eastAsia="宋体"/>
                <w:sz w:val="16"/>
                <w:highlight w:val="none"/>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D3B04">
            <w:pPr>
              <w:jc w:val="center"/>
              <w:rPr>
                <w:highlight w:val="none"/>
              </w:rPr>
            </w:pPr>
            <w:r>
              <w:rPr>
                <w:rFonts w:ascii="宋体" w:hAnsi="宋体" w:eastAsia="宋体"/>
                <w:sz w:val="16"/>
                <w:highlight w:val="none"/>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11B14">
            <w:pPr>
              <w:jc w:val="center"/>
              <w:rPr>
                <w:highlight w:val="none"/>
              </w:rPr>
            </w:pPr>
            <w:r>
              <w:rPr>
                <w:rFonts w:ascii="宋体" w:hAnsi="宋体" w:eastAsia="宋体"/>
                <w:sz w:val="16"/>
                <w:highlight w:val="none"/>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11D13">
            <w:pPr>
              <w:jc w:val="center"/>
              <w:rPr>
                <w:highlight w:val="none"/>
              </w:rPr>
            </w:pPr>
            <w:r>
              <w:rPr>
                <w:rFonts w:ascii="宋体" w:hAnsi="宋体" w:eastAsia="宋体"/>
                <w:sz w:val="16"/>
                <w:highlight w:val="none"/>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E11C">
            <w:pPr>
              <w:jc w:val="center"/>
              <w:rPr>
                <w:highlight w:val="none"/>
              </w:rPr>
            </w:pPr>
            <w:r>
              <w:rPr>
                <w:rFonts w:ascii="宋体" w:hAnsi="宋体" w:eastAsia="宋体"/>
                <w:sz w:val="16"/>
                <w:highlight w:val="none"/>
              </w:rPr>
              <w:t>—</w:t>
            </w:r>
          </w:p>
        </w:tc>
      </w:tr>
      <w:tr w14:paraId="104609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D80AA">
            <w:pPr>
              <w:jc w:val="center"/>
              <w:rPr>
                <w:highlight w:val="none"/>
              </w:rPr>
            </w:pPr>
            <w:r>
              <w:rPr>
                <w:rFonts w:ascii="宋体" w:hAnsi="宋体" w:eastAsia="宋体"/>
                <w:sz w:val="16"/>
                <w:highlight w:val="none"/>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0C8149">
            <w:pPr>
              <w:jc w:val="center"/>
              <w:rPr>
                <w:highlight w:val="none"/>
              </w:rPr>
            </w:pPr>
            <w:r>
              <w:rPr>
                <w:rFonts w:ascii="宋体" w:hAnsi="宋体" w:eastAsia="宋体"/>
                <w:sz w:val="16"/>
                <w:highlight w:val="none"/>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9B3BCF">
            <w:pPr>
              <w:jc w:val="center"/>
              <w:rPr>
                <w:rFonts w:hint="eastAsia" w:eastAsia="宋体"/>
                <w:highlight w:val="none"/>
                <w:lang w:eastAsia="zh-CN"/>
              </w:rPr>
            </w:pPr>
            <w:r>
              <w:rPr>
                <w:rFonts w:hint="eastAsia" w:ascii="宋体" w:hAnsi="宋体"/>
                <w:sz w:val="16"/>
                <w:highlight w:val="none"/>
                <w:lang w:eastAsia="zh-CN"/>
              </w:rPr>
              <w:t>实际完成情况</w:t>
            </w:r>
          </w:p>
        </w:tc>
      </w:tr>
      <w:tr w14:paraId="0F6F5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E2BF3">
            <w:pPr>
              <w:rPr>
                <w:highlight w:val="none"/>
              </w:rPr>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36FAF7">
            <w:pPr>
              <w:jc w:val="both"/>
              <w:rPr>
                <w:highlight w:val="none"/>
              </w:rPr>
            </w:pPr>
            <w:r>
              <w:rPr>
                <w:rFonts w:ascii="宋体" w:hAnsi="宋体" w:eastAsia="宋体"/>
                <w:sz w:val="16"/>
                <w:highlight w:val="none"/>
              </w:rPr>
              <w:t>1.主要面向未升学、未就业的初高中毕业生及劳动力等招生，开展学制教育，完成学业后发放学业证书和职业资格证书“双证书”；</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2.面向有就业意愿的初高中毕业生及劳动力、高校毕业生、农民工、新型职业农民、企业在岗职工、待岗职工、退役军人、失业人员、灵活就业人员等各类群体广泛开展短期职业技能和创业培训；</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3.完成县委、县政府交办的其他事项。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1EFA0E">
            <w:pPr>
              <w:jc w:val="both"/>
              <w:rPr>
                <w:highlight w:val="none"/>
              </w:rPr>
            </w:pPr>
            <w:r>
              <w:rPr>
                <w:rFonts w:ascii="宋体" w:hAnsi="宋体" w:eastAsia="宋体"/>
                <w:sz w:val="16"/>
                <w:highlight w:val="none"/>
              </w:rPr>
              <w:t>截止自评日，我单位已完成：</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1.主要面向未升学、未就业的初高中毕业生及劳动力等招生，开展学制教育，完成学业后发放学业证书和职业资格证书“双证书”，开展各类培训人次为7000人；</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2.面向有就业意愿的初高中毕业生、高校毕业生、农民工、新型职业农民、企业在岗职工、待岗职工、退役军人、失业人员、灵活就业人员等各类群体广泛开展短期职业技能和创业培训，校企合作企业数量为4家，参加培训人员就业率为85%；</w:t>
            </w:r>
            <w:r>
              <w:rPr>
                <w:rFonts w:ascii="宋体" w:hAnsi="宋体" w:eastAsia="宋体"/>
                <w:sz w:val="16"/>
                <w:highlight w:val="none"/>
              </w:rPr>
              <w:br w:type="textWrapping"/>
            </w:r>
            <w:r>
              <w:rPr>
                <w:rFonts w:ascii="宋体" w:hAnsi="宋体" w:eastAsia="宋体"/>
                <w:sz w:val="16"/>
                <w:highlight w:val="none"/>
              </w:rPr>
              <w:br w:type="textWrapping"/>
            </w:r>
            <w:r>
              <w:rPr>
                <w:rFonts w:ascii="宋体" w:hAnsi="宋体" w:eastAsia="宋体"/>
                <w:sz w:val="16"/>
                <w:highlight w:val="none"/>
              </w:rPr>
              <w:t>3.校园安全工作保障率为100%，教师普通话证书持有率为95%。</w:t>
            </w:r>
          </w:p>
        </w:tc>
      </w:tr>
      <w:tr w14:paraId="3B5CF2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BA965">
            <w:pPr>
              <w:jc w:val="center"/>
              <w:rPr>
                <w:highlight w:val="none"/>
              </w:rPr>
            </w:pPr>
            <w:r>
              <w:rPr>
                <w:rFonts w:ascii="宋体" w:hAnsi="宋体" w:eastAsia="宋体"/>
                <w:sz w:val="16"/>
                <w:highlight w:val="none"/>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13DE">
            <w:pPr>
              <w:jc w:val="center"/>
              <w:rPr>
                <w:highlight w:val="none"/>
              </w:rPr>
            </w:pPr>
            <w:r>
              <w:rPr>
                <w:rFonts w:ascii="宋体" w:hAnsi="宋体" w:eastAsia="宋体"/>
                <w:sz w:val="16"/>
                <w:highlight w:val="none"/>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7B793">
            <w:pPr>
              <w:jc w:val="center"/>
              <w:rPr>
                <w:highlight w:val="none"/>
              </w:rPr>
            </w:pPr>
            <w:r>
              <w:rPr>
                <w:rFonts w:ascii="宋体" w:hAnsi="宋体" w:eastAsia="宋体"/>
                <w:sz w:val="16"/>
                <w:highlight w:val="none"/>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73D71">
            <w:pPr>
              <w:jc w:val="center"/>
              <w:rPr>
                <w:highlight w:val="none"/>
              </w:rPr>
            </w:pPr>
            <w:r>
              <w:rPr>
                <w:rFonts w:ascii="宋体" w:hAnsi="宋体" w:eastAsia="宋体"/>
                <w:sz w:val="16"/>
                <w:highlight w:val="none"/>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2D068">
            <w:pPr>
              <w:jc w:val="center"/>
              <w:rPr>
                <w:highlight w:val="none"/>
              </w:rPr>
            </w:pPr>
            <w:r>
              <w:rPr>
                <w:rFonts w:ascii="宋体" w:hAnsi="宋体" w:eastAsia="宋体"/>
                <w:sz w:val="16"/>
                <w:highlight w:val="none"/>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2D655">
            <w:pPr>
              <w:jc w:val="center"/>
              <w:rPr>
                <w:highlight w:val="none"/>
              </w:rPr>
            </w:pPr>
            <w:r>
              <w:rPr>
                <w:rFonts w:ascii="宋体" w:hAnsi="宋体" w:eastAsia="宋体"/>
                <w:sz w:val="16"/>
                <w:highlight w:val="none"/>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0FF81">
            <w:pPr>
              <w:jc w:val="center"/>
              <w:rPr>
                <w:highlight w:val="none"/>
              </w:rPr>
            </w:pPr>
            <w:r>
              <w:rPr>
                <w:rFonts w:ascii="宋体" w:hAnsi="宋体" w:eastAsia="宋体"/>
                <w:sz w:val="16"/>
                <w:highlight w:val="none"/>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15291">
            <w:pPr>
              <w:jc w:val="center"/>
              <w:rPr>
                <w:highlight w:val="none"/>
              </w:rPr>
            </w:pPr>
            <w:r>
              <w:rPr>
                <w:rFonts w:ascii="宋体" w:hAnsi="宋体" w:eastAsia="宋体"/>
                <w:sz w:val="16"/>
                <w:highlight w:val="none"/>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C9803">
            <w:pPr>
              <w:jc w:val="center"/>
              <w:rPr>
                <w:highlight w:val="none"/>
              </w:rPr>
            </w:pPr>
            <w:r>
              <w:rPr>
                <w:rFonts w:ascii="宋体" w:hAnsi="宋体" w:eastAsia="宋体"/>
                <w:sz w:val="16"/>
                <w:highlight w:val="none"/>
              </w:rPr>
              <w:t>得分</w:t>
            </w:r>
          </w:p>
        </w:tc>
      </w:tr>
      <w:tr w14:paraId="52E3FB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75E04">
            <w:pPr>
              <w:jc w:val="center"/>
              <w:rPr>
                <w:highlight w:val="none"/>
              </w:rPr>
            </w:pPr>
            <w:r>
              <w:rPr>
                <w:rFonts w:ascii="宋体" w:hAnsi="宋体" w:eastAsia="宋体"/>
                <w:sz w:val="16"/>
                <w:highlight w:val="none"/>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A01F1">
            <w:pPr>
              <w:jc w:val="center"/>
              <w:rPr>
                <w:highlight w:val="none"/>
              </w:rPr>
            </w:pPr>
            <w:r>
              <w:rPr>
                <w:rFonts w:ascii="宋体" w:hAnsi="宋体" w:eastAsia="宋体"/>
                <w:sz w:val="16"/>
                <w:highlight w:val="none"/>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BD496">
            <w:pPr>
              <w:jc w:val="center"/>
              <w:rPr>
                <w:highlight w:val="none"/>
              </w:rPr>
            </w:pPr>
            <w:r>
              <w:rPr>
                <w:rFonts w:ascii="宋体" w:hAnsi="宋体" w:eastAsia="宋体"/>
                <w:sz w:val="16"/>
                <w:highlight w:val="none"/>
              </w:rPr>
              <w:t>开展各类培训人次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C90E8">
            <w:pPr>
              <w:jc w:val="center"/>
              <w:rPr>
                <w:highlight w:val="none"/>
              </w:rPr>
            </w:pPr>
            <w:r>
              <w:rPr>
                <w:rFonts w:ascii="宋体" w:hAnsi="宋体" w:eastAsia="宋体"/>
                <w:sz w:val="16"/>
                <w:highlight w:val="none"/>
              </w:rPr>
              <w:t>&gt;=7000人次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917F9">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1D5B2">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777BB">
            <w:pPr>
              <w:jc w:val="center"/>
              <w:rPr>
                <w:highlight w:val="none"/>
              </w:rPr>
            </w:pPr>
            <w:r>
              <w:rPr>
                <w:rFonts w:ascii="宋体" w:hAnsi="宋体" w:eastAsia="宋体"/>
                <w:sz w:val="16"/>
                <w:highlight w:val="none"/>
              </w:rPr>
              <w:t>7000人次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6C89E">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050C7">
            <w:pPr>
              <w:jc w:val="center"/>
              <w:rPr>
                <w:highlight w:val="none"/>
              </w:rPr>
            </w:pPr>
            <w:r>
              <w:rPr>
                <w:rFonts w:ascii="宋体" w:hAnsi="宋体" w:eastAsia="宋体"/>
                <w:sz w:val="16"/>
                <w:highlight w:val="none"/>
              </w:rPr>
              <w:t>18</w:t>
            </w:r>
          </w:p>
        </w:tc>
      </w:tr>
      <w:tr w14:paraId="22D82B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2B264">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840FE9">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775FD">
            <w:pPr>
              <w:jc w:val="center"/>
              <w:rPr>
                <w:highlight w:val="none"/>
              </w:rPr>
            </w:pPr>
            <w:r>
              <w:rPr>
                <w:rFonts w:ascii="宋体" w:hAnsi="宋体" w:eastAsia="宋体"/>
                <w:sz w:val="16"/>
                <w:highlight w:val="none"/>
              </w:rPr>
              <w:t>校企合作企业数量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78FBF">
            <w:pPr>
              <w:jc w:val="center"/>
              <w:rPr>
                <w:highlight w:val="none"/>
              </w:rPr>
            </w:pPr>
            <w:r>
              <w:rPr>
                <w:rFonts w:ascii="宋体" w:hAnsi="宋体" w:eastAsia="宋体"/>
                <w:sz w:val="16"/>
                <w:highlight w:val="none"/>
              </w:rPr>
              <w:t>&gt;=4家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0924F">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B8B9A">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5CB4">
            <w:pPr>
              <w:jc w:val="center"/>
              <w:rPr>
                <w:highlight w:val="none"/>
              </w:rPr>
            </w:pPr>
            <w:r>
              <w:rPr>
                <w:rFonts w:ascii="宋体" w:hAnsi="宋体" w:eastAsia="宋体"/>
                <w:sz w:val="16"/>
                <w:highlight w:val="none"/>
              </w:rPr>
              <w: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855A1">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DDB5">
            <w:pPr>
              <w:jc w:val="center"/>
              <w:rPr>
                <w:highlight w:val="none"/>
              </w:rPr>
            </w:pPr>
            <w:r>
              <w:rPr>
                <w:rFonts w:ascii="宋体" w:hAnsi="宋体" w:eastAsia="宋体"/>
                <w:sz w:val="16"/>
                <w:highlight w:val="none"/>
              </w:rPr>
              <w:t>18</w:t>
            </w:r>
          </w:p>
        </w:tc>
      </w:tr>
      <w:tr w14:paraId="734C77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61B54">
            <w:pPr>
              <w:rPr>
                <w:highlight w:val="none"/>
              </w:rPr>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C0475">
            <w:pPr>
              <w:jc w:val="center"/>
              <w:rPr>
                <w:highlight w:val="none"/>
              </w:rPr>
            </w:pPr>
            <w:r>
              <w:rPr>
                <w:rFonts w:ascii="宋体" w:hAnsi="宋体" w:eastAsia="宋体"/>
                <w:sz w:val="16"/>
                <w:highlight w:val="none"/>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4FEE5">
            <w:pPr>
              <w:jc w:val="center"/>
              <w:rPr>
                <w:highlight w:val="none"/>
              </w:rPr>
            </w:pPr>
            <w:r>
              <w:rPr>
                <w:rFonts w:ascii="宋体" w:hAnsi="宋体" w:eastAsia="宋体"/>
                <w:sz w:val="16"/>
                <w:highlight w:val="none"/>
              </w:rPr>
              <w:t>校园安全工作保障率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0E020">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D9171">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4F707">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A3E9B">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0B6E2">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92F3F">
            <w:pPr>
              <w:jc w:val="center"/>
              <w:rPr>
                <w:highlight w:val="none"/>
              </w:rPr>
            </w:pPr>
            <w:r>
              <w:rPr>
                <w:rFonts w:ascii="宋体" w:hAnsi="宋体" w:eastAsia="宋体"/>
                <w:sz w:val="16"/>
                <w:highlight w:val="none"/>
              </w:rPr>
              <w:t>18</w:t>
            </w:r>
          </w:p>
        </w:tc>
      </w:tr>
      <w:tr w14:paraId="47D1A9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3F2F5">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0F42E">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2A703">
            <w:pPr>
              <w:jc w:val="center"/>
              <w:rPr>
                <w:highlight w:val="none"/>
              </w:rPr>
            </w:pPr>
            <w:r>
              <w:rPr>
                <w:rFonts w:ascii="宋体" w:hAnsi="宋体" w:eastAsia="宋体"/>
                <w:sz w:val="16"/>
                <w:highlight w:val="none"/>
              </w:rPr>
              <w:t>教师普通话证书持有率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9B93B">
            <w:pPr>
              <w:jc w:val="center"/>
              <w:rPr>
                <w:highlight w:val="none"/>
              </w:rPr>
            </w:pPr>
            <w:r>
              <w:rPr>
                <w:rFonts w:ascii="宋体" w:hAnsi="宋体" w:eastAsia="宋体"/>
                <w:sz w:val="16"/>
                <w:highlight w:val="none"/>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149C1">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EE37D">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EA601">
            <w:pPr>
              <w:jc w:val="center"/>
              <w:rPr>
                <w:highlight w:val="none"/>
              </w:rPr>
            </w:pPr>
            <w:r>
              <w:rPr>
                <w:rFonts w:ascii="宋体" w:hAnsi="宋体" w:eastAsia="宋体"/>
                <w:sz w:val="16"/>
                <w:highlight w:val="none"/>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60E9B">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FED0B">
            <w:pPr>
              <w:jc w:val="center"/>
              <w:rPr>
                <w:highlight w:val="none"/>
              </w:rPr>
            </w:pPr>
            <w:r>
              <w:rPr>
                <w:rFonts w:ascii="宋体" w:hAnsi="宋体" w:eastAsia="宋体"/>
                <w:sz w:val="16"/>
                <w:highlight w:val="none"/>
              </w:rPr>
              <w:t>18</w:t>
            </w:r>
          </w:p>
        </w:tc>
      </w:tr>
      <w:tr w14:paraId="545D3F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71BC2">
            <w:pPr>
              <w:rPr>
                <w:highlight w:val="none"/>
              </w:rPr>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A91A0">
            <w:pPr>
              <w:rPr>
                <w:highlight w:val="none"/>
              </w:rP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1871C">
            <w:pPr>
              <w:jc w:val="center"/>
              <w:rPr>
                <w:highlight w:val="none"/>
              </w:rPr>
            </w:pPr>
            <w:r>
              <w:rPr>
                <w:rFonts w:ascii="宋体" w:hAnsi="宋体" w:eastAsia="宋体"/>
                <w:sz w:val="16"/>
                <w:highlight w:val="none"/>
              </w:rPr>
              <w:t>参加培训人员就业率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D4817">
            <w:pPr>
              <w:jc w:val="center"/>
              <w:rPr>
                <w:highlight w:val="none"/>
              </w:rPr>
            </w:pPr>
            <w:r>
              <w:rPr>
                <w:rFonts w:ascii="宋体" w:hAnsi="宋体" w:eastAsia="宋体"/>
                <w:sz w:val="16"/>
                <w:highlight w:val="none"/>
              </w:rPr>
              <w:t>&gt;=85%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1EAA3">
            <w:pPr>
              <w:jc w:val="center"/>
              <w:rPr>
                <w:highlight w:val="none"/>
              </w:rPr>
            </w:pPr>
            <w:r>
              <w:rPr>
                <w:rFonts w:ascii="宋体" w:hAnsi="宋体" w:eastAsia="宋体"/>
                <w:sz w:val="16"/>
                <w:highlight w:val="none"/>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ED2E4">
            <w:pPr>
              <w:jc w:val="center"/>
              <w:rPr>
                <w:highlight w:val="none"/>
              </w:rPr>
            </w:pPr>
            <w:r>
              <w:rPr>
                <w:rFonts w:ascii="宋体" w:hAnsi="宋体" w:eastAsia="宋体"/>
                <w:sz w:val="16"/>
                <w:highlight w:val="none"/>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45B45">
            <w:pPr>
              <w:jc w:val="center"/>
              <w:rPr>
                <w:highlight w:val="none"/>
              </w:rPr>
            </w:pPr>
            <w:r>
              <w:rPr>
                <w:rFonts w:ascii="宋体" w:hAnsi="宋体" w:eastAsia="宋体"/>
                <w:sz w:val="16"/>
                <w:highlight w:val="none"/>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851C8">
            <w:pPr>
              <w:jc w:val="center"/>
              <w:rPr>
                <w:highlight w:val="none"/>
              </w:rPr>
            </w:pPr>
            <w:r>
              <w:rPr>
                <w:rFonts w:ascii="宋体" w:hAnsi="宋体" w:eastAsia="宋体"/>
                <w:sz w:val="16"/>
                <w:highlight w:val="none"/>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2F47A">
            <w:pPr>
              <w:jc w:val="center"/>
              <w:rPr>
                <w:highlight w:val="none"/>
              </w:rPr>
            </w:pPr>
            <w:r>
              <w:rPr>
                <w:rFonts w:ascii="宋体" w:hAnsi="宋体" w:eastAsia="宋体"/>
                <w:sz w:val="16"/>
                <w:highlight w:val="none"/>
              </w:rPr>
              <w:t>18</w:t>
            </w:r>
          </w:p>
        </w:tc>
      </w:tr>
    </w:tbl>
    <w:p w14:paraId="68939FD7">
      <w:pPr>
        <w:rPr>
          <w:highlight w:val="none"/>
        </w:rPr>
      </w:pPr>
      <w:r>
        <w:rPr>
          <w:highlight w:val="none"/>
        </w:rPr>
        <w:br w:type="page"/>
      </w:r>
    </w:p>
    <w:p w14:paraId="48B97E53">
      <w:pPr>
        <w:spacing w:line="640" w:lineRule="exact"/>
        <w:ind w:firstLine="640"/>
        <w:jc w:val="both"/>
        <w:outlineLvl w:val="2"/>
        <w:rPr>
          <w:highlight w:val="none"/>
        </w:rPr>
      </w:pPr>
      <w:r>
        <w:rPr>
          <w:rFonts w:ascii="黑体" w:hAnsi="黑体" w:eastAsia="黑体"/>
          <w:sz w:val="32"/>
          <w:highlight w:val="none"/>
        </w:rPr>
        <w:t>十二、其他需说明的事项</w:t>
      </w:r>
    </w:p>
    <w:p w14:paraId="57D57837">
      <w:pPr>
        <w:spacing w:line="580" w:lineRule="exact"/>
        <w:ind w:firstLine="640"/>
        <w:jc w:val="both"/>
        <w:rPr>
          <w:highlight w:val="none"/>
        </w:rPr>
      </w:pPr>
      <w:r>
        <w:rPr>
          <w:rFonts w:ascii="仿宋_GB2312" w:hAnsi="仿宋_GB2312" w:eastAsia="仿宋_GB2312"/>
          <w:b w:val="0"/>
          <w:sz w:val="32"/>
          <w:highlight w:val="none"/>
        </w:rPr>
        <w:t>本单位2024年度无政府采购支出，授予中小企业合同金额0.00万元。</w:t>
      </w:r>
    </w:p>
    <w:p w14:paraId="496F1B64">
      <w:pPr>
        <w:rPr>
          <w:highlight w:val="none"/>
        </w:rPr>
      </w:pPr>
      <w:r>
        <w:rPr>
          <w:highlight w:val="none"/>
        </w:rPr>
        <w:br w:type="page"/>
      </w:r>
    </w:p>
    <w:p w14:paraId="485D41AC">
      <w:pPr>
        <w:spacing w:line="240" w:lineRule="auto"/>
        <w:jc w:val="center"/>
        <w:outlineLvl w:val="1"/>
        <w:rPr>
          <w:highlight w:val="none"/>
        </w:rPr>
      </w:pPr>
      <w:r>
        <w:rPr>
          <w:rFonts w:ascii="黑体" w:hAnsi="黑体" w:eastAsia="黑体"/>
          <w:sz w:val="32"/>
          <w:highlight w:val="none"/>
        </w:rPr>
        <w:t>第三部分 专业名词解释</w:t>
      </w:r>
    </w:p>
    <w:p w14:paraId="1EBF716F">
      <w:pPr>
        <w:spacing w:line="240" w:lineRule="auto"/>
        <w:ind w:firstLine="640"/>
        <w:jc w:val="both"/>
        <w:rPr>
          <w:highlight w:val="none"/>
        </w:rPr>
      </w:pPr>
      <w:r>
        <w:rPr>
          <w:rFonts w:ascii="仿宋_GB2312" w:hAnsi="仿宋_GB2312" w:eastAsia="仿宋_GB2312"/>
          <w:b/>
          <w:sz w:val="32"/>
          <w:highlight w:val="none"/>
        </w:rPr>
        <w:t>一、财政拨款收入：</w:t>
      </w:r>
      <w:r>
        <w:rPr>
          <w:rFonts w:ascii="仿宋_GB2312" w:hAnsi="仿宋_GB2312" w:eastAsia="仿宋_GB2312"/>
          <w:b w:val="0"/>
          <w:sz w:val="32"/>
          <w:highlight w:val="none"/>
        </w:rPr>
        <w:t>指同级财政当年拨付的资金。</w:t>
      </w:r>
    </w:p>
    <w:p w14:paraId="18325C84">
      <w:pPr>
        <w:spacing w:line="240" w:lineRule="auto"/>
        <w:ind w:firstLine="640"/>
        <w:jc w:val="both"/>
        <w:rPr>
          <w:highlight w:val="none"/>
        </w:rPr>
      </w:pPr>
      <w:r>
        <w:rPr>
          <w:rFonts w:ascii="仿宋_GB2312" w:hAnsi="仿宋_GB2312" w:eastAsia="仿宋_GB2312"/>
          <w:b/>
          <w:sz w:val="32"/>
          <w:highlight w:val="none"/>
        </w:rPr>
        <w:t>二、上级补助收入：</w:t>
      </w:r>
      <w:r>
        <w:rPr>
          <w:rFonts w:ascii="仿宋_GB2312" w:hAnsi="仿宋_GB2312" w:eastAsia="仿宋_GB2312"/>
          <w:b w:val="0"/>
          <w:sz w:val="32"/>
          <w:highlight w:val="none"/>
        </w:rPr>
        <w:t>指事业单位从主管部门和上级单位取得的非财政补助收入。</w:t>
      </w:r>
    </w:p>
    <w:p w14:paraId="1A28A1B6">
      <w:pPr>
        <w:spacing w:line="240" w:lineRule="auto"/>
        <w:ind w:firstLine="640"/>
        <w:jc w:val="both"/>
        <w:rPr>
          <w:highlight w:val="none"/>
        </w:rPr>
      </w:pPr>
      <w:r>
        <w:rPr>
          <w:rFonts w:ascii="仿宋_GB2312" w:hAnsi="仿宋_GB2312" w:eastAsia="仿宋_GB2312"/>
          <w:b/>
          <w:sz w:val="32"/>
          <w:highlight w:val="none"/>
        </w:rPr>
        <w:t>三、事业收入：</w:t>
      </w:r>
      <w:r>
        <w:rPr>
          <w:rFonts w:ascii="仿宋_GB2312" w:hAnsi="仿宋_GB2312" w:eastAsia="仿宋_GB2312"/>
          <w:b w:val="0"/>
          <w:sz w:val="32"/>
          <w:highlight w:val="none"/>
        </w:rPr>
        <w:t>指事业单位开展专业业务活动及其辅助活动所取得的收入。</w:t>
      </w:r>
    </w:p>
    <w:p w14:paraId="5864B397">
      <w:pPr>
        <w:spacing w:line="240" w:lineRule="auto"/>
        <w:ind w:firstLine="640"/>
        <w:jc w:val="both"/>
        <w:rPr>
          <w:highlight w:val="none"/>
        </w:rPr>
      </w:pPr>
      <w:r>
        <w:rPr>
          <w:rFonts w:ascii="仿宋_GB2312" w:hAnsi="仿宋_GB2312" w:eastAsia="仿宋_GB2312"/>
          <w:b/>
          <w:sz w:val="32"/>
          <w:highlight w:val="none"/>
        </w:rPr>
        <w:t>四、经营收入：</w:t>
      </w:r>
      <w:r>
        <w:rPr>
          <w:rFonts w:ascii="仿宋_GB2312" w:hAnsi="仿宋_GB2312" w:eastAsia="仿宋_GB2312"/>
          <w:b w:val="0"/>
          <w:sz w:val="32"/>
          <w:highlight w:val="none"/>
        </w:rPr>
        <w:t>指事业单位在专业业务活动及其辅助活动之外开展非独立核算经营活动取得的收入。</w:t>
      </w:r>
    </w:p>
    <w:p w14:paraId="5A7DFEE5">
      <w:pPr>
        <w:spacing w:line="240" w:lineRule="auto"/>
        <w:ind w:firstLine="640"/>
        <w:jc w:val="both"/>
        <w:rPr>
          <w:highlight w:val="none"/>
        </w:rPr>
      </w:pPr>
      <w:r>
        <w:rPr>
          <w:rFonts w:ascii="仿宋_GB2312" w:hAnsi="仿宋_GB2312" w:eastAsia="仿宋_GB2312"/>
          <w:b/>
          <w:sz w:val="32"/>
          <w:highlight w:val="none"/>
        </w:rPr>
        <w:t>五、附属单位上缴收入：</w:t>
      </w:r>
      <w:r>
        <w:rPr>
          <w:rFonts w:ascii="仿宋_GB2312" w:hAnsi="仿宋_GB2312" w:eastAsia="仿宋_GB2312"/>
          <w:b w:val="0"/>
          <w:sz w:val="32"/>
          <w:highlight w:val="none"/>
        </w:rPr>
        <w:t>指事业单位附属的独立核算单位按有关规定上缴的收入。</w:t>
      </w:r>
    </w:p>
    <w:p w14:paraId="32A636D4">
      <w:pPr>
        <w:spacing w:line="240" w:lineRule="auto"/>
        <w:ind w:firstLine="640"/>
        <w:jc w:val="both"/>
        <w:rPr>
          <w:highlight w:val="none"/>
        </w:rPr>
      </w:pPr>
      <w:r>
        <w:rPr>
          <w:rFonts w:ascii="仿宋_GB2312" w:hAnsi="仿宋_GB2312" w:eastAsia="仿宋_GB2312"/>
          <w:b/>
          <w:sz w:val="32"/>
          <w:highlight w:val="none"/>
        </w:rPr>
        <w:t>六、其他收入：</w:t>
      </w:r>
      <w:r>
        <w:rPr>
          <w:rFonts w:ascii="仿宋_GB2312" w:hAnsi="仿宋_GB2312" w:eastAsia="仿宋_GB2312"/>
          <w:b w:val="0"/>
          <w:sz w:val="32"/>
          <w:highlight w:val="none"/>
        </w:rPr>
        <w:t>指除上述“财政拨款收入”、“事业收入”、“经营收入”、“附属单位上缴收入”等之外取得的收入。</w:t>
      </w:r>
    </w:p>
    <w:p w14:paraId="1B421B58">
      <w:pPr>
        <w:spacing w:line="240" w:lineRule="auto"/>
        <w:ind w:firstLine="640"/>
        <w:jc w:val="both"/>
        <w:rPr>
          <w:highlight w:val="none"/>
        </w:rPr>
      </w:pPr>
      <w:r>
        <w:rPr>
          <w:rFonts w:ascii="仿宋_GB2312" w:hAnsi="仿宋_GB2312" w:eastAsia="仿宋_GB2312"/>
          <w:b/>
          <w:sz w:val="32"/>
          <w:highlight w:val="none"/>
        </w:rPr>
        <w:t>七、年初结转和结余：</w:t>
      </w:r>
      <w:r>
        <w:rPr>
          <w:rFonts w:ascii="仿宋_GB2312" w:hAnsi="仿宋_GB2312" w:eastAsia="仿宋_GB2312"/>
          <w:b w:val="0"/>
          <w:sz w:val="32"/>
          <w:highlight w:val="none"/>
        </w:rPr>
        <w:t>指以前年度支出预算因客观条件变化未执行完毕、结转到本年度按有关规定继续使用的资金，既包括财政拨款结转和结余，也包括事业收入、经营收入、其他收入的结转和结余。</w:t>
      </w:r>
    </w:p>
    <w:p w14:paraId="0C422543">
      <w:pPr>
        <w:spacing w:line="240" w:lineRule="auto"/>
        <w:ind w:firstLine="640"/>
        <w:jc w:val="both"/>
        <w:rPr>
          <w:highlight w:val="none"/>
        </w:rPr>
      </w:pPr>
      <w:r>
        <w:rPr>
          <w:rFonts w:ascii="仿宋_GB2312" w:hAnsi="仿宋_GB2312" w:eastAsia="仿宋_GB2312"/>
          <w:b/>
          <w:sz w:val="32"/>
          <w:highlight w:val="none"/>
        </w:rPr>
        <w:t>八、年末结转和结余：</w:t>
      </w:r>
      <w:r>
        <w:rPr>
          <w:rFonts w:ascii="仿宋_GB2312" w:hAnsi="仿宋_GB2312" w:eastAsia="仿宋_GB2312"/>
          <w:b w:val="0"/>
          <w:sz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C32032">
      <w:pPr>
        <w:spacing w:line="240" w:lineRule="auto"/>
        <w:ind w:firstLine="640"/>
        <w:jc w:val="both"/>
        <w:rPr>
          <w:highlight w:val="none"/>
        </w:rPr>
      </w:pPr>
      <w:r>
        <w:rPr>
          <w:rFonts w:ascii="仿宋_GB2312" w:hAnsi="仿宋_GB2312" w:eastAsia="仿宋_GB2312"/>
          <w:b/>
          <w:sz w:val="32"/>
          <w:highlight w:val="none"/>
        </w:rPr>
        <w:t>九、基本支出：</w:t>
      </w:r>
      <w:r>
        <w:rPr>
          <w:rFonts w:ascii="仿宋_GB2312" w:hAnsi="仿宋_GB2312" w:eastAsia="仿宋_GB2312"/>
          <w:b w:val="0"/>
          <w:sz w:val="32"/>
          <w:highlight w:val="none"/>
        </w:rPr>
        <w:t>指为保障机构正常运转、完成日常工作任务而发生的人员支出和公用支出。</w:t>
      </w:r>
    </w:p>
    <w:p w14:paraId="73F2EC77">
      <w:pPr>
        <w:spacing w:line="240" w:lineRule="auto"/>
        <w:ind w:firstLine="640"/>
        <w:jc w:val="both"/>
        <w:rPr>
          <w:highlight w:val="none"/>
        </w:rPr>
      </w:pPr>
      <w:r>
        <w:rPr>
          <w:rFonts w:ascii="仿宋_GB2312" w:hAnsi="仿宋_GB2312" w:eastAsia="仿宋_GB2312"/>
          <w:b/>
          <w:sz w:val="32"/>
          <w:highlight w:val="none"/>
        </w:rPr>
        <w:t>十、项目支出：</w:t>
      </w:r>
      <w:r>
        <w:rPr>
          <w:rFonts w:ascii="仿宋_GB2312" w:hAnsi="仿宋_GB2312" w:eastAsia="仿宋_GB2312"/>
          <w:b w:val="0"/>
          <w:sz w:val="32"/>
          <w:highlight w:val="none"/>
        </w:rPr>
        <w:t>指在基本支出之外为完成特定行政任务和事业发展目标所发生的支出。</w:t>
      </w:r>
    </w:p>
    <w:p w14:paraId="48E5EA52">
      <w:pPr>
        <w:spacing w:line="240" w:lineRule="auto"/>
        <w:ind w:firstLine="640"/>
        <w:jc w:val="both"/>
        <w:rPr>
          <w:highlight w:val="none"/>
        </w:rPr>
      </w:pPr>
      <w:r>
        <w:rPr>
          <w:rFonts w:ascii="仿宋_GB2312" w:hAnsi="仿宋_GB2312" w:eastAsia="仿宋_GB2312"/>
          <w:b/>
          <w:sz w:val="32"/>
          <w:highlight w:val="none"/>
        </w:rPr>
        <w:t>十一、经营支出：</w:t>
      </w:r>
      <w:r>
        <w:rPr>
          <w:rFonts w:ascii="仿宋_GB2312" w:hAnsi="仿宋_GB2312" w:eastAsia="仿宋_GB2312"/>
          <w:b w:val="0"/>
          <w:sz w:val="32"/>
          <w:highlight w:val="none"/>
        </w:rPr>
        <w:t>指事业单位在专业业务活动及其辅助活动之外开展非独立核算经营活动发生的支出。</w:t>
      </w:r>
    </w:p>
    <w:p w14:paraId="209D0FE3">
      <w:pPr>
        <w:spacing w:line="240" w:lineRule="auto"/>
        <w:ind w:firstLine="640"/>
        <w:jc w:val="both"/>
        <w:rPr>
          <w:highlight w:val="none"/>
        </w:rPr>
      </w:pPr>
      <w:r>
        <w:rPr>
          <w:rFonts w:ascii="仿宋_GB2312" w:hAnsi="仿宋_GB2312" w:eastAsia="仿宋_GB2312"/>
          <w:b/>
          <w:sz w:val="32"/>
          <w:highlight w:val="none"/>
        </w:rPr>
        <w:t>十二、对附属单位补助支出：</w:t>
      </w:r>
      <w:r>
        <w:rPr>
          <w:rFonts w:ascii="仿宋_GB2312" w:hAnsi="仿宋_GB2312" w:eastAsia="仿宋_GB2312"/>
          <w:b w:val="0"/>
          <w:sz w:val="32"/>
          <w:highlight w:val="none"/>
        </w:rPr>
        <w:t>指事业单位发生的用非财政预算资金对附属单位的补助支出。</w:t>
      </w:r>
    </w:p>
    <w:p w14:paraId="3A3B64BC">
      <w:pPr>
        <w:spacing w:line="240" w:lineRule="auto"/>
        <w:ind w:firstLine="640"/>
        <w:jc w:val="both"/>
        <w:rPr>
          <w:highlight w:val="none"/>
        </w:rPr>
      </w:pPr>
      <w:r>
        <w:rPr>
          <w:rFonts w:ascii="仿宋_GB2312" w:hAnsi="仿宋_GB2312" w:eastAsia="仿宋_GB2312"/>
          <w:b/>
          <w:sz w:val="32"/>
          <w:highlight w:val="none"/>
        </w:rPr>
        <w:t>十三、“三公”经费：</w:t>
      </w:r>
      <w:r>
        <w:rPr>
          <w:rFonts w:ascii="仿宋_GB2312" w:hAnsi="仿宋_GB2312" w:eastAsia="仿宋_GB2312"/>
          <w:b w:val="0"/>
          <w:sz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F88843">
      <w:pPr>
        <w:spacing w:line="240" w:lineRule="auto"/>
        <w:ind w:firstLine="640"/>
        <w:jc w:val="both"/>
        <w:rPr>
          <w:highlight w:val="none"/>
        </w:rPr>
      </w:pPr>
      <w:r>
        <w:rPr>
          <w:rFonts w:ascii="仿宋_GB2312" w:hAnsi="仿宋_GB2312" w:eastAsia="仿宋_GB2312"/>
          <w:b/>
          <w:sz w:val="32"/>
          <w:highlight w:val="none"/>
        </w:rPr>
        <w:t>十四、机关运行经费：</w:t>
      </w:r>
      <w:r>
        <w:rPr>
          <w:rFonts w:ascii="仿宋_GB2312" w:hAnsi="仿宋_GB2312" w:eastAsia="仿宋_GB2312"/>
          <w:b w:val="0"/>
          <w:sz w:val="32"/>
          <w:highlight w:val="none"/>
        </w:rPr>
        <w:t>行政单位和参照公务员法管理的事业单位财政拨款基本支出中的公用经费支出。</w:t>
      </w:r>
    </w:p>
    <w:p w14:paraId="01D34FDD">
      <w:pPr>
        <w:rPr>
          <w:highlight w:val="none"/>
        </w:rPr>
      </w:pPr>
      <w:r>
        <w:rPr>
          <w:highlight w:val="none"/>
        </w:rPr>
        <w:br w:type="page"/>
      </w:r>
    </w:p>
    <w:p w14:paraId="75934389">
      <w:pPr>
        <w:spacing w:line="240" w:lineRule="auto"/>
        <w:jc w:val="center"/>
        <w:outlineLvl w:val="1"/>
        <w:rPr>
          <w:highlight w:val="none"/>
        </w:rPr>
      </w:pPr>
      <w:r>
        <w:rPr>
          <w:rFonts w:ascii="黑体" w:hAnsi="黑体" w:eastAsia="黑体"/>
          <w:sz w:val="32"/>
          <w:highlight w:val="none"/>
        </w:rPr>
        <w:t>第四部分 部门决算报表（见附表）</w:t>
      </w:r>
    </w:p>
    <w:p w14:paraId="5ACEB4E2">
      <w:pPr>
        <w:spacing w:line="240" w:lineRule="auto"/>
        <w:ind w:firstLine="640"/>
        <w:jc w:val="both"/>
        <w:rPr>
          <w:highlight w:val="none"/>
        </w:rPr>
      </w:pPr>
      <w:r>
        <w:rPr>
          <w:rFonts w:ascii="仿宋_GB2312" w:hAnsi="仿宋_GB2312" w:eastAsia="仿宋_GB2312"/>
          <w:b w:val="0"/>
          <w:sz w:val="32"/>
          <w:highlight w:val="none"/>
        </w:rPr>
        <w:t>一、《收入支出决算总表》</w:t>
      </w:r>
    </w:p>
    <w:p w14:paraId="09E4FE36">
      <w:pPr>
        <w:spacing w:line="240" w:lineRule="auto"/>
        <w:ind w:firstLine="640"/>
        <w:jc w:val="both"/>
        <w:rPr>
          <w:highlight w:val="none"/>
        </w:rPr>
      </w:pPr>
      <w:r>
        <w:rPr>
          <w:rFonts w:ascii="仿宋_GB2312" w:hAnsi="仿宋_GB2312" w:eastAsia="仿宋_GB2312"/>
          <w:b w:val="0"/>
          <w:sz w:val="32"/>
          <w:highlight w:val="none"/>
        </w:rPr>
        <w:t>二、《收入决算表》</w:t>
      </w:r>
    </w:p>
    <w:p w14:paraId="4CD37B1A">
      <w:pPr>
        <w:spacing w:line="240" w:lineRule="auto"/>
        <w:ind w:firstLine="640"/>
        <w:jc w:val="both"/>
        <w:rPr>
          <w:highlight w:val="none"/>
        </w:rPr>
      </w:pPr>
      <w:r>
        <w:rPr>
          <w:rFonts w:ascii="仿宋_GB2312" w:hAnsi="仿宋_GB2312" w:eastAsia="仿宋_GB2312"/>
          <w:b w:val="0"/>
          <w:sz w:val="32"/>
          <w:highlight w:val="none"/>
        </w:rPr>
        <w:t>三、《支出决算表》</w:t>
      </w:r>
    </w:p>
    <w:p w14:paraId="5ACF06B5">
      <w:pPr>
        <w:spacing w:line="240" w:lineRule="auto"/>
        <w:ind w:firstLine="640"/>
        <w:jc w:val="both"/>
        <w:rPr>
          <w:highlight w:val="none"/>
        </w:rPr>
      </w:pPr>
      <w:r>
        <w:rPr>
          <w:rFonts w:ascii="仿宋_GB2312" w:hAnsi="仿宋_GB2312" w:eastAsia="仿宋_GB2312"/>
          <w:b w:val="0"/>
          <w:sz w:val="32"/>
          <w:highlight w:val="none"/>
        </w:rPr>
        <w:t>四、《财政拨款收入支出决算总表》</w:t>
      </w:r>
    </w:p>
    <w:p w14:paraId="05A59A21">
      <w:pPr>
        <w:spacing w:line="240" w:lineRule="auto"/>
        <w:ind w:firstLine="640"/>
        <w:jc w:val="both"/>
        <w:rPr>
          <w:highlight w:val="none"/>
        </w:rPr>
      </w:pPr>
      <w:r>
        <w:rPr>
          <w:rFonts w:ascii="仿宋_GB2312" w:hAnsi="仿宋_GB2312" w:eastAsia="仿宋_GB2312"/>
          <w:b w:val="0"/>
          <w:sz w:val="32"/>
          <w:highlight w:val="none"/>
        </w:rPr>
        <w:t>五、《一般公共预算财政拨款支出决算表》</w:t>
      </w:r>
    </w:p>
    <w:p w14:paraId="024C5F7D">
      <w:pPr>
        <w:spacing w:line="240" w:lineRule="auto"/>
        <w:ind w:firstLine="640"/>
        <w:jc w:val="both"/>
        <w:rPr>
          <w:highlight w:val="none"/>
        </w:rPr>
      </w:pPr>
      <w:r>
        <w:rPr>
          <w:rFonts w:ascii="仿宋_GB2312" w:hAnsi="仿宋_GB2312" w:eastAsia="仿宋_GB2312"/>
          <w:b w:val="0"/>
          <w:sz w:val="32"/>
          <w:highlight w:val="none"/>
        </w:rPr>
        <w:t>六、《一般公共预算财政拨款基本支出决算表》</w:t>
      </w:r>
    </w:p>
    <w:p w14:paraId="404125B1">
      <w:pPr>
        <w:spacing w:line="240" w:lineRule="auto"/>
        <w:ind w:firstLine="640"/>
        <w:jc w:val="both"/>
        <w:rPr>
          <w:highlight w:val="none"/>
        </w:rPr>
      </w:pPr>
      <w:r>
        <w:rPr>
          <w:rFonts w:ascii="仿宋_GB2312" w:hAnsi="仿宋_GB2312" w:eastAsia="仿宋_GB2312"/>
          <w:b w:val="0"/>
          <w:sz w:val="32"/>
          <w:highlight w:val="none"/>
        </w:rPr>
        <w:t>七、《政府性基金预算财政拨款收入支出决算表》</w:t>
      </w:r>
    </w:p>
    <w:p w14:paraId="4D00594B">
      <w:pPr>
        <w:spacing w:line="240" w:lineRule="auto"/>
        <w:ind w:firstLine="640"/>
        <w:jc w:val="both"/>
        <w:rPr>
          <w:highlight w:val="none"/>
        </w:rPr>
      </w:pPr>
      <w:r>
        <w:rPr>
          <w:rFonts w:ascii="仿宋_GB2312" w:hAnsi="仿宋_GB2312" w:eastAsia="仿宋_GB2312"/>
          <w:b w:val="0"/>
          <w:sz w:val="32"/>
          <w:highlight w:val="none"/>
        </w:rPr>
        <w:t>八、《国有资本经营预算财政拨款收入支出决算表》</w:t>
      </w:r>
    </w:p>
    <w:p w14:paraId="09816953">
      <w:pPr>
        <w:spacing w:line="240" w:lineRule="auto"/>
        <w:ind w:firstLine="640"/>
        <w:jc w:val="both"/>
        <w:rPr>
          <w:highlight w:val="none"/>
        </w:rPr>
      </w:pPr>
      <w:r>
        <w:rPr>
          <w:rFonts w:ascii="仿宋_GB2312" w:hAnsi="仿宋_GB2312" w:eastAsia="仿宋_GB2312"/>
          <w:b w:val="0"/>
          <w:sz w:val="32"/>
          <w:highlight w:val="none"/>
        </w:rPr>
        <w:t>九、《财政拨款“三公”经费支出决算表》</w:t>
      </w:r>
    </w:p>
    <w:p w14:paraId="5D1D7953">
      <w:pPr>
        <w:spacing w:line="240" w:lineRule="auto"/>
        <w:ind w:firstLine="640"/>
        <w:jc w:val="both"/>
        <w:rPr>
          <w:highlight w:val="none"/>
        </w:rPr>
      </w:pPr>
    </w:p>
    <w:p w14:paraId="683949E9">
      <w:pPr>
        <w:spacing w:line="240" w:lineRule="auto"/>
        <w:ind w:firstLine="640"/>
        <w:jc w:val="both"/>
        <w:rPr>
          <w:highlight w:val="none"/>
        </w:rPr>
      </w:pPr>
    </w:p>
    <w:p w14:paraId="142B02CC">
      <w:pPr>
        <w:spacing w:line="240" w:lineRule="auto"/>
        <w:ind w:firstLine="640"/>
        <w:jc w:val="both"/>
        <w:rPr>
          <w:highlight w:val="none"/>
        </w:rPr>
      </w:pPr>
    </w:p>
    <w:p w14:paraId="7618C6CC">
      <w:pPr>
        <w:spacing w:line="240" w:lineRule="auto"/>
        <w:ind w:firstLine="640"/>
        <w:jc w:val="both"/>
        <w:rPr>
          <w:highlight w:val="none"/>
        </w:rPr>
      </w:pPr>
    </w:p>
    <w:p w14:paraId="1C904ACE">
      <w:pPr>
        <w:spacing w:line="240" w:lineRule="auto"/>
        <w:ind w:firstLine="640"/>
        <w:jc w:val="both"/>
        <w:rPr>
          <w:highlight w:val="none"/>
        </w:rPr>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1BB9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652FF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2652FF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1C7C02"/>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6D762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135C8F"/>
    <w:rsid w:val="5D663F31"/>
    <w:rsid w:val="5FA17648"/>
    <w:rsid w:val="5FD320BD"/>
    <w:rsid w:val="60DE4D57"/>
    <w:rsid w:val="613409CB"/>
    <w:rsid w:val="61A46A97"/>
    <w:rsid w:val="62DD7D21"/>
    <w:rsid w:val="65D97752"/>
    <w:rsid w:val="6646601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AF48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5457</Words>
  <Characters>6216</Characters>
  <Lines>0</Lines>
  <Paragraphs>0</Paragraphs>
  <TotalTime>14</TotalTime>
  <ScaleCrop>false</ScaleCrop>
  <LinksUpToDate>false</LinksUpToDate>
  <CharactersWithSpaces>6226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2025-09-03T08:37:00Z</cp:lastPrinted>
  <dcterms:modified xsi:type="dcterms:W3CDTF">2025-09-04T03:44:18Z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eyJoZGlkIjoiMzc5YzliYjYzZTBjZTI0ZjM2YzcyYjVmNzM5MGU2MjMifQ==</vt:lpwstr>
  </property>
</Properties>
</file>