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5D07AF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麦盖提县爱国卫生运动服务中心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91BAEFB">
      <w:r>
        <w:br w:type="page"/>
      </w:r>
    </w:p>
    <w:p w14:paraId="02E939E4">
      <w:pPr>
        <w:spacing w:line="640" w:lineRule="exact"/>
        <w:jc w:val="center"/>
        <w:outlineLvl w:val="1"/>
      </w:pPr>
      <w:r>
        <w:rPr>
          <w:rFonts w:ascii="黑体" w:hAnsi="黑体" w:eastAsia="黑体"/>
          <w:sz w:val="32"/>
        </w:rPr>
        <w:t>第一部分 单位概况</w:t>
      </w:r>
    </w:p>
    <w:p w14:paraId="2FC2BF24">
      <w:pPr>
        <w:spacing w:line="640" w:lineRule="exact"/>
        <w:ind w:firstLine="640"/>
        <w:jc w:val="both"/>
        <w:outlineLvl w:val="2"/>
      </w:pPr>
      <w:r>
        <w:rPr>
          <w:rFonts w:ascii="黑体" w:hAnsi="黑体" w:eastAsia="黑体"/>
          <w:sz w:val="32"/>
        </w:rPr>
        <w:t>一、主要职能</w:t>
      </w:r>
    </w:p>
    <w:p w14:paraId="54EFC3DF">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国家爱国卫生工作的方针、政策和法规。在县委、县政府、县政府的领导下，贯彻、执行有关爱国卫生工作的法律法规，规划部署、协调指导、督促检查本行政区域内的爱国卫生工作；制定全县爱国卫生中长期规划和年度计划。</w:t>
      </w:r>
    </w:p>
    <w:p w14:paraId="01E72478">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动员全社会参与爱国卫生运动；组织开展创建卫生城镇，卫生单位活动；制定各项卫生检查评比办法、标准。组织实施对卫生先进单位及先进个人的考核、命名、表彰。</w:t>
      </w:r>
    </w:p>
    <w:p w14:paraId="614610BC">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开展除“四害”达标活动，组织、制定、实施全县除“四害”方案，检查、管理、规范全县除“四害”工作，协调有关部门制定对防治疾病、中毒事故、突发事件和防范措施及应急对策。</w:t>
      </w:r>
    </w:p>
    <w:p w14:paraId="084E7C81">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规划、部署全县的健康教育工作；组织、协调开展健康教育活动，提高人们健康知识的知晓率和健康行为的形成率；增强人们的文明意识和健康意识，促进文明城市的建设。</w:t>
      </w:r>
    </w:p>
    <w:p w14:paraId="2D623EB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组织实施全县农村改水、改厕规划，开展以改水改厕为重点，带动环境卫生整治、预防和减少疾病发生的农村爱国卫生工作。</w:t>
      </w:r>
    </w:p>
    <w:p w14:paraId="3D90D491">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组织协调县（乡镇）、有关部门和团体的爱国卫生工作；检查全县爱国卫生工作开展情况。进行卫生效果评价。</w:t>
      </w:r>
    </w:p>
    <w:p w14:paraId="7D2AF109">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开展爱国卫生宣传和健康教育活动。</w:t>
      </w:r>
    </w:p>
    <w:p w14:paraId="56C5AFA5">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完成县委、县政府、县政府和自治区、地区爱卫会交办的其他事项。</w:t>
      </w:r>
    </w:p>
    <w:p w14:paraId="69D81398">
      <w:pPr>
        <w:spacing w:line="640" w:lineRule="exact"/>
        <w:ind w:firstLine="640"/>
        <w:jc w:val="both"/>
        <w:outlineLvl w:val="2"/>
      </w:pPr>
      <w:r>
        <w:rPr>
          <w:rFonts w:ascii="黑体" w:hAnsi="黑体" w:eastAsia="黑体"/>
          <w:sz w:val="32"/>
        </w:rPr>
        <w:t>二、机构设置及人员情况</w:t>
      </w:r>
    </w:p>
    <w:p w14:paraId="22E359D7">
      <w:pPr>
        <w:spacing w:line="580" w:lineRule="exact"/>
        <w:ind w:firstLine="640"/>
        <w:jc w:val="both"/>
      </w:pPr>
      <w:r>
        <w:rPr>
          <w:rFonts w:ascii="仿宋_GB2312" w:hAnsi="仿宋_GB2312" w:eastAsia="仿宋_GB2312"/>
          <w:sz w:val="32"/>
        </w:rPr>
        <w:t>麦盖提县爱国卫生运动服务中心2024年度，实有人数8人，其中：在职人员5人，增加0人；离休人员0人，增加0人；退休人员3人,增加0人。</w:t>
      </w:r>
    </w:p>
    <w:p w14:paraId="2CC7CDDA">
      <w:pPr>
        <w:spacing w:line="580" w:lineRule="exact"/>
        <w:ind w:firstLine="640"/>
        <w:jc w:val="both"/>
      </w:pPr>
      <w:r>
        <w:rPr>
          <w:rFonts w:ascii="仿宋_GB2312" w:hAnsi="仿宋_GB2312" w:eastAsia="仿宋_GB2312"/>
          <w:sz w:val="32"/>
        </w:rPr>
        <w:t>麦盖提县爱国卫生运动服务中心无下属预算单位，下设2个科室，分别是：办公室、财务室。</w:t>
      </w:r>
    </w:p>
    <w:p w14:paraId="4D44DE4F">
      <w:r>
        <w:br w:type="page"/>
      </w:r>
    </w:p>
    <w:p w14:paraId="60DF8B63">
      <w:pPr>
        <w:spacing w:line="240" w:lineRule="auto"/>
        <w:jc w:val="center"/>
        <w:outlineLvl w:val="1"/>
      </w:pPr>
      <w:r>
        <w:rPr>
          <w:rFonts w:ascii="黑体" w:hAnsi="黑体" w:eastAsia="黑体"/>
          <w:sz w:val="32"/>
        </w:rPr>
        <w:t>第二部分 部门决算情况说明</w:t>
      </w:r>
    </w:p>
    <w:p w14:paraId="5DAF3404">
      <w:pPr>
        <w:spacing w:line="640" w:lineRule="exact"/>
        <w:ind w:firstLine="640"/>
        <w:jc w:val="both"/>
        <w:outlineLvl w:val="2"/>
      </w:pPr>
      <w:r>
        <w:rPr>
          <w:rFonts w:ascii="黑体" w:hAnsi="黑体" w:eastAsia="黑体"/>
          <w:sz w:val="32"/>
        </w:rPr>
        <w:t>一、收入支出决算总体情况说明</w:t>
      </w:r>
    </w:p>
    <w:p w14:paraId="085736E4">
      <w:pPr>
        <w:spacing w:line="580" w:lineRule="exact"/>
        <w:ind w:firstLine="640"/>
        <w:jc w:val="both"/>
      </w:pPr>
      <w:r>
        <w:rPr>
          <w:rFonts w:ascii="仿宋_GB2312" w:hAnsi="仿宋_GB2312" w:eastAsia="仿宋_GB2312"/>
          <w:b/>
          <w:sz w:val="32"/>
        </w:rPr>
        <w:t>2024年度收入总计96.19万元，</w:t>
      </w:r>
      <w:r>
        <w:rPr>
          <w:rFonts w:ascii="仿宋_GB2312" w:hAnsi="仿宋_GB2312" w:eastAsia="仿宋_GB2312"/>
          <w:b w:val="0"/>
          <w:sz w:val="32"/>
        </w:rPr>
        <w:t>其中：本年收入合计96.19万元，使用非财政拨款结余（含专用结余）0.00万元，年初结转和结余0.00万元。</w:t>
      </w:r>
    </w:p>
    <w:p w14:paraId="562D9B99">
      <w:pPr>
        <w:spacing w:line="580" w:lineRule="exact"/>
        <w:ind w:firstLine="640"/>
        <w:jc w:val="both"/>
      </w:pPr>
      <w:r>
        <w:rPr>
          <w:rFonts w:ascii="仿宋_GB2312" w:hAnsi="仿宋_GB2312" w:eastAsia="仿宋_GB2312"/>
          <w:b/>
          <w:sz w:val="32"/>
        </w:rPr>
        <w:t>2024年度支出总计96.19万元，</w:t>
      </w:r>
      <w:r>
        <w:rPr>
          <w:rFonts w:ascii="仿宋_GB2312" w:hAnsi="仿宋_GB2312" w:eastAsia="仿宋_GB2312"/>
          <w:b w:val="0"/>
          <w:sz w:val="32"/>
        </w:rPr>
        <w:t>其中：本年支出合计96.19万元，结余分配0.00万元，年末结转和结余0.00万元。</w:t>
      </w:r>
    </w:p>
    <w:p w14:paraId="3C23F260">
      <w:pPr>
        <w:spacing w:line="580" w:lineRule="exact"/>
        <w:ind w:firstLine="640"/>
        <w:jc w:val="both"/>
      </w:pPr>
      <w:r>
        <w:rPr>
          <w:rFonts w:ascii="仿宋_GB2312" w:hAnsi="仿宋_GB2312" w:eastAsia="仿宋_GB2312"/>
          <w:b w:val="0"/>
          <w:sz w:val="32"/>
        </w:rPr>
        <w:t>收入支出总体与上年相比，增加6.06万元，增长6.72%，主要原因是：本年在职人员工资调增，社保、公积金基数调增，人员经费增加。</w:t>
      </w:r>
    </w:p>
    <w:p w14:paraId="1BF05FAA">
      <w:pPr>
        <w:spacing w:line="640" w:lineRule="exact"/>
        <w:ind w:firstLine="640"/>
        <w:jc w:val="both"/>
        <w:outlineLvl w:val="2"/>
      </w:pPr>
      <w:r>
        <w:rPr>
          <w:rFonts w:ascii="黑体" w:hAnsi="黑体" w:eastAsia="黑体"/>
          <w:sz w:val="32"/>
        </w:rPr>
        <w:t>二、收入决算情况说明</w:t>
      </w:r>
    </w:p>
    <w:p w14:paraId="26571579">
      <w:pPr>
        <w:spacing w:line="580" w:lineRule="exact"/>
        <w:ind w:firstLine="640"/>
        <w:jc w:val="both"/>
      </w:pPr>
      <w:r>
        <w:rPr>
          <w:rFonts w:ascii="仿宋_GB2312" w:hAnsi="仿宋_GB2312" w:eastAsia="仿宋_GB2312"/>
          <w:b/>
          <w:sz w:val="32"/>
        </w:rPr>
        <w:t>本年收入96.19万元，</w:t>
      </w:r>
      <w:r>
        <w:rPr>
          <w:rFonts w:ascii="仿宋_GB2312" w:hAnsi="仿宋_GB2312" w:eastAsia="仿宋_GB2312"/>
          <w:b w:val="0"/>
          <w:sz w:val="32"/>
        </w:rPr>
        <w:t>其中：财政拨款收入96.19万元，占100.00%；上级补助收入0.00万元，占0.00%；事业收入0.00万元，占0.00%；经营收入0.00万元，占0.00%；附属单位上缴收入0.00万元，占0.00%；其他收入0.00万元，占0.00%。</w:t>
      </w:r>
    </w:p>
    <w:p w14:paraId="20A53996">
      <w:pPr>
        <w:spacing w:line="640" w:lineRule="exact"/>
        <w:ind w:firstLine="640"/>
        <w:jc w:val="both"/>
        <w:outlineLvl w:val="2"/>
      </w:pPr>
      <w:r>
        <w:rPr>
          <w:rFonts w:ascii="黑体" w:hAnsi="黑体" w:eastAsia="黑体"/>
          <w:sz w:val="32"/>
        </w:rPr>
        <w:t>三、支出决算情况说明</w:t>
      </w:r>
    </w:p>
    <w:p w14:paraId="001BF2A3">
      <w:pPr>
        <w:spacing w:line="580" w:lineRule="exact"/>
        <w:ind w:firstLine="640"/>
        <w:jc w:val="both"/>
      </w:pPr>
      <w:r>
        <w:rPr>
          <w:rFonts w:ascii="仿宋_GB2312" w:hAnsi="仿宋_GB2312" w:eastAsia="仿宋_GB2312"/>
          <w:b/>
          <w:sz w:val="32"/>
        </w:rPr>
        <w:t>本年支出96.19万元，</w:t>
      </w:r>
      <w:r>
        <w:rPr>
          <w:rFonts w:ascii="仿宋_GB2312" w:hAnsi="仿宋_GB2312" w:eastAsia="仿宋_GB2312"/>
          <w:b w:val="0"/>
          <w:sz w:val="32"/>
        </w:rPr>
        <w:t>其中：基本支出96.19万元，占100.00%；项目支出0.00万元，占0.00%；上缴上级支出0.00万元，占0.00%；经营支出0.00万元，占0.00%；对附属单位补助支出0.00万元，占0.00%。</w:t>
      </w:r>
    </w:p>
    <w:p w14:paraId="68F95C72">
      <w:pPr>
        <w:spacing w:line="640" w:lineRule="exact"/>
        <w:ind w:firstLine="640"/>
        <w:jc w:val="both"/>
        <w:outlineLvl w:val="2"/>
      </w:pPr>
      <w:r>
        <w:rPr>
          <w:rFonts w:ascii="黑体" w:hAnsi="黑体" w:eastAsia="黑体"/>
          <w:sz w:val="32"/>
        </w:rPr>
        <w:t>四、财政拨款收入支出决算总体情况说明</w:t>
      </w:r>
    </w:p>
    <w:p w14:paraId="211D3A1B">
      <w:pPr>
        <w:spacing w:line="580" w:lineRule="exact"/>
        <w:ind w:firstLine="640"/>
        <w:jc w:val="both"/>
      </w:pPr>
      <w:r>
        <w:rPr>
          <w:rFonts w:ascii="仿宋_GB2312" w:hAnsi="仿宋_GB2312" w:eastAsia="仿宋_GB2312"/>
          <w:b/>
          <w:sz w:val="32"/>
        </w:rPr>
        <w:t>2024年度财政拨款收入总计96.19万元，</w:t>
      </w:r>
      <w:r>
        <w:rPr>
          <w:rFonts w:ascii="仿宋_GB2312" w:hAnsi="仿宋_GB2312" w:eastAsia="仿宋_GB2312"/>
          <w:b w:val="0"/>
          <w:sz w:val="32"/>
        </w:rPr>
        <w:t>其中：年初财政拨款结转和结余0.00万元，本年财政拨款收入96.19万元。</w:t>
      </w:r>
      <w:r>
        <w:rPr>
          <w:rFonts w:ascii="仿宋_GB2312" w:hAnsi="仿宋_GB2312" w:eastAsia="仿宋_GB2312"/>
          <w:b/>
          <w:sz w:val="32"/>
        </w:rPr>
        <w:t>财政拨款支出总计96.19万元，</w:t>
      </w:r>
      <w:r>
        <w:rPr>
          <w:rFonts w:ascii="仿宋_GB2312" w:hAnsi="仿宋_GB2312" w:eastAsia="仿宋_GB2312"/>
          <w:b w:val="0"/>
          <w:sz w:val="32"/>
        </w:rPr>
        <w:t>其中：年末财政拨款结转和结余0.00万元，本年财政拨款支出96.19万元。</w:t>
      </w:r>
    </w:p>
    <w:p w14:paraId="088B836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增加6.06万元，增长6.72%，主要原因是：本年在职人员工资调增，社保、公积金基数调增，人员经费增加。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年初预算数95.62万元，决算数96.19万元，预决算差异率0.60%，主要原因是：本年在职人员工资调薪，工资、社保、公积金等相关人员经费增加，年中追加人员经费。</w:t>
      </w:r>
    </w:p>
    <w:p w14:paraId="5369BED9">
      <w:pPr>
        <w:spacing w:line="640" w:lineRule="exact"/>
        <w:ind w:firstLine="640"/>
        <w:jc w:val="both"/>
        <w:outlineLvl w:val="2"/>
      </w:pPr>
      <w:r>
        <w:rPr>
          <w:rFonts w:ascii="黑体" w:hAnsi="黑体" w:eastAsia="黑体"/>
          <w:sz w:val="32"/>
        </w:rPr>
        <w:t>五、一般公共预算财政拨款支出决算情况说明</w:t>
      </w:r>
    </w:p>
    <w:p w14:paraId="6A346666">
      <w:pPr>
        <w:spacing w:line="640" w:lineRule="exact"/>
        <w:ind w:firstLine="640"/>
        <w:jc w:val="both"/>
        <w:outlineLvl w:val="3"/>
      </w:pPr>
      <w:r>
        <w:rPr>
          <w:rFonts w:ascii="楷体_GB2312" w:hAnsi="楷体_GB2312" w:eastAsia="楷体_GB2312"/>
          <w:b/>
          <w:sz w:val="32"/>
        </w:rPr>
        <w:t>（一）一般公共预算财政拨款支出决算总体情况</w:t>
      </w:r>
    </w:p>
    <w:p w14:paraId="6F09775F">
      <w:pPr>
        <w:spacing w:line="580" w:lineRule="exact"/>
        <w:ind w:firstLine="640"/>
        <w:jc w:val="both"/>
      </w:pPr>
      <w:r>
        <w:rPr>
          <w:rFonts w:ascii="仿宋_GB2312" w:hAnsi="仿宋_GB2312" w:eastAsia="仿宋_GB2312"/>
          <w:b/>
          <w:sz w:val="32"/>
        </w:rPr>
        <w:t>2024年度一般公共预算财政拨款支出96.19万元，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增加6.06万元，增长6.72%，主要原因是：本年在职人员工资调薪，工资、社保、公积金等相关人员经费增加。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年初预算数95.62万元，决算数96.19万元，预决算差异率0.60%，主要原因是：本年在职人员工资调薪，工资、社保、公积金等相关人员经费增加，年中追加人员经费。</w:t>
      </w:r>
    </w:p>
    <w:p w14:paraId="05475475">
      <w:pPr>
        <w:spacing w:line="640" w:lineRule="exact"/>
        <w:ind w:firstLine="640"/>
        <w:jc w:val="both"/>
        <w:outlineLvl w:val="3"/>
      </w:pPr>
      <w:r>
        <w:rPr>
          <w:rFonts w:ascii="楷体_GB2312" w:hAnsi="楷体_GB2312" w:eastAsia="楷体_GB2312"/>
          <w:b/>
          <w:sz w:val="32"/>
        </w:rPr>
        <w:t>（二）一般公共预算财政拨款支出决算结构情况</w:t>
      </w:r>
    </w:p>
    <w:p w14:paraId="628EBF32">
      <w:pPr>
        <w:spacing w:line="580" w:lineRule="exact"/>
        <w:ind w:firstLine="640"/>
        <w:jc w:val="both"/>
      </w:pPr>
      <w:r>
        <w:rPr>
          <w:rFonts w:ascii="仿宋_GB2312" w:hAnsi="仿宋_GB2312" w:eastAsia="仿宋_GB2312"/>
          <w:b w:val="0"/>
          <w:sz w:val="32"/>
        </w:rPr>
        <w:t>1.社会保障和就业支出(类)18.72万元,占19.46%。</w:t>
      </w:r>
    </w:p>
    <w:p w14:paraId="43DBE795">
      <w:pPr>
        <w:spacing w:line="580" w:lineRule="exact"/>
        <w:ind w:firstLine="640"/>
        <w:jc w:val="both"/>
      </w:pPr>
      <w:r>
        <w:rPr>
          <w:rFonts w:ascii="仿宋_GB2312" w:hAnsi="仿宋_GB2312" w:eastAsia="仿宋_GB2312"/>
          <w:b w:val="0"/>
          <w:sz w:val="32"/>
        </w:rPr>
        <w:t>2.卫生健康支出(类)70.53万元,占73.32%。</w:t>
      </w:r>
    </w:p>
    <w:p w14:paraId="44054761">
      <w:pPr>
        <w:spacing w:line="580" w:lineRule="exact"/>
        <w:ind w:firstLine="640"/>
        <w:jc w:val="both"/>
      </w:pPr>
      <w:r>
        <w:rPr>
          <w:rFonts w:ascii="仿宋_GB2312" w:hAnsi="仿宋_GB2312" w:eastAsia="仿宋_GB2312"/>
          <w:b w:val="0"/>
          <w:sz w:val="32"/>
        </w:rPr>
        <w:t>3.住房保障支出(类)6.94万元,占7.21%。</w:t>
      </w:r>
    </w:p>
    <w:p w14:paraId="3B59631F">
      <w:pPr>
        <w:spacing w:line="640" w:lineRule="exact"/>
        <w:ind w:firstLine="640"/>
        <w:jc w:val="both"/>
        <w:outlineLvl w:val="3"/>
      </w:pPr>
      <w:r>
        <w:rPr>
          <w:rFonts w:ascii="楷体_GB2312" w:hAnsi="楷体_GB2312" w:eastAsia="楷体_GB2312"/>
          <w:b/>
          <w:sz w:val="32"/>
        </w:rPr>
        <w:t>（三）一般公共预算财政拨款支出决算具体情况</w:t>
      </w:r>
    </w:p>
    <w:p w14:paraId="4AA368EE">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1.社会保障和就业支出(类)行政事业单位养老支出(款)行政单位离退休(项):支出决算数为4.24万元，比上年决算增加0.99万元，增长30.46%,主要原因是：本年补发退休人员绩效，导致退休费较上年增加。</w:t>
      </w:r>
    </w:p>
    <w:p w14:paraId="330CE27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2.社会保障和就业支出(类)行政事业单位养老支出(款)机关事业单位基本养老保险缴费支出(项):支出决算数为9.00万元，比上年决算增加0.65万元，增长7.78%,主要原因是：本年在职人员调薪，养老保险缴费增加。</w:t>
      </w:r>
    </w:p>
    <w:p w14:paraId="578BB12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5.48万元，比上年决算增加5.48万元，增长100.00%,主要原因是：本年补发以前年度退休人员职业年金，导致经费较上年增加。</w:t>
      </w:r>
    </w:p>
    <w:p w14:paraId="50C4C6A2">
      <w:pPr>
        <w:spacing w:line="580" w:lineRule="exact"/>
        <w:ind w:firstLine="640"/>
        <w:jc w:val="both"/>
      </w:pPr>
      <w:r>
        <w:rPr>
          <w:rFonts w:ascii="仿宋_GB2312" w:hAnsi="仿宋_GB2312" w:eastAsia="仿宋_GB2312"/>
          <w:b w:val="0"/>
          <w:sz w:val="32"/>
        </w:rPr>
        <w:t>4.卫生健康支出(类)卫生健康管理事务(款)行政运行(项):支出决算数为65.58万元，比上年决算减少1.83万元，下降2.71%,主要原因是：本年发放在职人员津贴补贴、奖金较上年减少。</w:t>
      </w:r>
    </w:p>
    <w:p w14:paraId="6BB3CD88">
      <w:pPr>
        <w:spacing w:line="580" w:lineRule="exact"/>
        <w:ind w:firstLine="640"/>
        <w:jc w:val="both"/>
      </w:pPr>
      <w:r>
        <w:rPr>
          <w:rFonts w:ascii="仿宋_GB2312" w:hAnsi="仿宋_GB2312" w:eastAsia="仿宋_GB2312"/>
          <w:b w:val="0"/>
          <w:sz w:val="32"/>
        </w:rPr>
        <w:t>5.卫生健康支出(类)行政事业单位医疗(款)行政单位医疗(项):支出决算数为3.82万元，比上年决算减少0.14万元，下降3.54%,主要原因是：本年在职人员调入调出，人员职级不同，缴费基数不同，导致行政单位医疗较上年减少。</w:t>
      </w:r>
    </w:p>
    <w:p w14:paraId="15E6263C">
      <w:pPr>
        <w:spacing w:line="580" w:lineRule="exact"/>
        <w:ind w:firstLine="640"/>
        <w:jc w:val="both"/>
      </w:pPr>
      <w:r>
        <w:rPr>
          <w:rFonts w:ascii="仿宋_GB2312" w:hAnsi="仿宋_GB2312" w:eastAsia="仿宋_GB2312"/>
          <w:b w:val="0"/>
          <w:sz w:val="32"/>
        </w:rPr>
        <w:t>6.卫生健康支出(类)行政事业单位医疗(款)公务员医疗补助(项):支出决算数为1.12万元，比上年决算增加0.08万元，增长7.69%,主要原因是：本年在职人员工资基数调增，医疗缴费基数上涨，相应支出增加。</w:t>
      </w:r>
    </w:p>
    <w:p w14:paraId="6F929F92">
      <w:pPr>
        <w:spacing w:line="580" w:lineRule="exact"/>
        <w:ind w:firstLine="640"/>
        <w:jc w:val="both"/>
      </w:pPr>
      <w:r>
        <w:rPr>
          <w:rFonts w:ascii="仿宋_GB2312" w:hAnsi="仿宋_GB2312" w:eastAsia="仿宋_GB2312"/>
          <w:b w:val="0"/>
          <w:sz w:val="32"/>
        </w:rPr>
        <w:t>7.住房保障支出(类)住房改革支出(款)住房公积金(项):支出决算数为6.94万元，比上年决算增加0.83万元，增长13.58%,主要原因是：本年在职人员工资基数调增，公积金缴费基数上涨，相应支出增加。</w:t>
      </w:r>
    </w:p>
    <w:p w14:paraId="2251D76D">
      <w:pPr>
        <w:spacing w:line="640" w:lineRule="exact"/>
        <w:ind w:firstLine="640"/>
        <w:jc w:val="both"/>
        <w:outlineLvl w:val="2"/>
      </w:pPr>
      <w:r>
        <w:rPr>
          <w:rFonts w:ascii="黑体" w:hAnsi="黑体" w:eastAsia="黑体"/>
          <w:sz w:val="32"/>
        </w:rPr>
        <w:t>六、一般公共预算财政拨款基本支出决算情况说明</w:t>
      </w:r>
    </w:p>
    <w:p w14:paraId="1CD070E8">
      <w:pPr>
        <w:spacing w:line="580" w:lineRule="exact"/>
        <w:ind w:firstLine="640"/>
        <w:jc w:val="both"/>
      </w:pPr>
      <w:r>
        <w:rPr>
          <w:rFonts w:ascii="仿宋_GB2312" w:hAnsi="仿宋_GB2312" w:eastAsia="仿宋_GB2312"/>
          <w:b w:val="0"/>
          <w:sz w:val="32"/>
        </w:rPr>
        <w:t>2024年度一般公共预算财政拨款基本支出96.19万元，其中：</w:t>
      </w:r>
      <w:r>
        <w:rPr>
          <w:rFonts w:ascii="仿宋_GB2312" w:hAnsi="仿宋_GB2312" w:eastAsia="仿宋_GB2312"/>
          <w:b/>
          <w:sz w:val="32"/>
        </w:rPr>
        <w:t>人员经费93.16万元，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w:t>
      </w:r>
    </w:p>
    <w:p w14:paraId="252122E9">
      <w:pPr>
        <w:spacing w:line="580" w:lineRule="exact"/>
        <w:ind w:firstLine="640"/>
        <w:jc w:val="both"/>
      </w:pPr>
      <w:r>
        <w:rPr>
          <w:rFonts w:ascii="仿宋_GB2312" w:hAnsi="仿宋_GB2312" w:eastAsia="仿宋_GB2312"/>
          <w:b/>
          <w:sz w:val="32"/>
        </w:rPr>
        <w:t>公用经费3.04万元，</w:t>
      </w:r>
      <w:r>
        <w:rPr>
          <w:rFonts w:ascii="仿宋_GB2312" w:hAnsi="仿宋_GB2312" w:eastAsia="仿宋_GB2312"/>
          <w:b w:val="0"/>
          <w:sz w:val="32"/>
        </w:rPr>
        <w:t>包括：办公费、水费、邮电费、公务用车运行维护费、其他商品和服务支出。</w:t>
      </w:r>
    </w:p>
    <w:p w14:paraId="13A2FB86">
      <w:pPr>
        <w:spacing w:line="640" w:lineRule="exact"/>
        <w:ind w:firstLine="640"/>
        <w:jc w:val="both"/>
        <w:outlineLvl w:val="2"/>
      </w:pPr>
      <w:r>
        <w:rPr>
          <w:rFonts w:ascii="黑体" w:hAnsi="黑体" w:eastAsia="黑体"/>
          <w:sz w:val="32"/>
        </w:rPr>
        <w:t>七、政府性基金预算财政拨款收入支出决算情况说明</w:t>
      </w:r>
    </w:p>
    <w:p w14:paraId="19E9B7A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0D89034">
      <w:pPr>
        <w:spacing w:line="640" w:lineRule="exact"/>
        <w:ind w:firstLine="640"/>
        <w:jc w:val="both"/>
        <w:outlineLvl w:val="2"/>
      </w:pPr>
      <w:r>
        <w:rPr>
          <w:rFonts w:ascii="黑体" w:hAnsi="黑体" w:eastAsia="黑体"/>
          <w:sz w:val="32"/>
        </w:rPr>
        <w:t>八、国有资本经营预算财政拨款收入支出决算情况说明</w:t>
      </w:r>
    </w:p>
    <w:p w14:paraId="7023DB8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A30810B">
      <w:pPr>
        <w:spacing w:line="640" w:lineRule="exact"/>
        <w:ind w:firstLine="640"/>
        <w:jc w:val="both"/>
        <w:outlineLvl w:val="2"/>
      </w:pPr>
      <w:r>
        <w:rPr>
          <w:rFonts w:ascii="黑体" w:hAnsi="黑体" w:eastAsia="黑体"/>
          <w:sz w:val="32"/>
        </w:rPr>
        <w:t>九、财政拨款“三公”经费支出决算情况说明</w:t>
      </w:r>
    </w:p>
    <w:p w14:paraId="0DBF9C81">
      <w:pPr>
        <w:spacing w:line="580" w:lineRule="exact"/>
        <w:ind w:firstLine="640"/>
        <w:jc w:val="both"/>
      </w:pPr>
      <w:r>
        <w:rPr>
          <w:rFonts w:ascii="仿宋_GB2312" w:hAnsi="仿宋_GB2312" w:eastAsia="仿宋_GB2312"/>
          <w:b/>
          <w:sz w:val="32"/>
        </w:rPr>
        <w:t>2024年度财政拨款“三公”经费支出0.48万元，</w:t>
      </w:r>
      <w:r>
        <w:rPr>
          <w:rFonts w:ascii="仿宋_GB2312" w:hAnsi="仿宋_GB2312" w:eastAsia="仿宋_GB2312"/>
          <w:b w:val="0"/>
          <w:sz w:val="32"/>
        </w:rPr>
        <w:t>比上年减少1.06万元，下降68.83%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0.48万元，占100.00%，比上年减少1.06万元，下降68.83%，主要原因是：严格落实中央八项规定精神，厉行节约，减少公务用车运行维护费。公务接待费支出0.00万元，占0.00%，比上年增加0.00万元，增长0.00%，主要原因是：2023年与2024年均未安排公务接待费支出。</w:t>
      </w:r>
    </w:p>
    <w:p w14:paraId="32F65F04">
      <w:pPr>
        <w:spacing w:line="580" w:lineRule="exact"/>
        <w:ind w:firstLine="640"/>
        <w:jc w:val="both"/>
      </w:pPr>
      <w:r>
        <w:rPr>
          <w:rFonts w:ascii="仿宋_GB2312" w:hAnsi="仿宋_GB2312" w:eastAsia="仿宋_GB2312"/>
          <w:b/>
          <w:sz w:val="32"/>
        </w:rPr>
        <w:t>具体情况如下：</w:t>
      </w:r>
    </w:p>
    <w:p w14:paraId="241D0FF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F8B9A3">
      <w:pPr>
        <w:spacing w:line="580" w:lineRule="exact"/>
        <w:ind w:firstLine="640"/>
        <w:jc w:val="both"/>
      </w:pPr>
      <w:r>
        <w:rPr>
          <w:rFonts w:ascii="仿宋_GB2312" w:hAnsi="仿宋_GB2312" w:eastAsia="仿宋_GB2312"/>
          <w:b w:val="0"/>
          <w:sz w:val="32"/>
        </w:rPr>
        <w:t>公务用车购置及运行维护费0.48万元，其中：公务用车购置费0.00万元，公务用车运行维护费0.48万元。公务用车运行维护费开支内容包括车辆加油费、维修费。公务用车购置数0辆，公务用车保有量1辆。国有资产占用情况中固定资产车辆1辆，与公务用车保有量差异原因是：本单位固定资产车辆与公务用车保有量一致无差异。</w:t>
      </w:r>
    </w:p>
    <w:p w14:paraId="5C265EA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944A8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3.33万元，决算数0.48万元，预决算差异率-85.59%，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3.33万元，决算数0.48万元，预决算差异率-85.59%，主要原因是：严格落实中央八项规定精神，厉行节约，减少经费支出。公务接待费全年预算数0.00万元，决算数0.00万元，预决算差异率0.00%，主要原因是：本单位无公务接待费。</w:t>
      </w:r>
    </w:p>
    <w:p w14:paraId="31035696">
      <w:pPr>
        <w:spacing w:line="640" w:lineRule="exact"/>
        <w:ind w:firstLine="640"/>
        <w:jc w:val="both"/>
        <w:outlineLvl w:val="2"/>
      </w:pPr>
      <w:r>
        <w:rPr>
          <w:rFonts w:ascii="黑体" w:hAnsi="黑体" w:eastAsia="黑体"/>
          <w:sz w:val="32"/>
        </w:rPr>
        <w:t>十、其他重要事项的情况说明</w:t>
      </w:r>
    </w:p>
    <w:p w14:paraId="01663A8F">
      <w:pPr>
        <w:spacing w:line="640" w:lineRule="exact"/>
        <w:ind w:firstLine="640"/>
        <w:jc w:val="both"/>
        <w:outlineLvl w:val="3"/>
      </w:pPr>
      <w:r>
        <w:rPr>
          <w:rFonts w:ascii="楷体_GB2312" w:hAnsi="楷体_GB2312" w:eastAsia="楷体_GB2312"/>
          <w:b/>
          <w:sz w:val="32"/>
        </w:rPr>
        <w:t>（一）机关运行经费及公用经费支出情况</w:t>
      </w:r>
    </w:p>
    <w:p w14:paraId="5E086126">
      <w:pPr>
        <w:spacing w:line="580" w:lineRule="exact"/>
        <w:ind w:firstLine="640"/>
        <w:jc w:val="both"/>
      </w:pPr>
      <w:r>
        <w:rPr>
          <w:rFonts w:ascii="仿宋_GB2312" w:hAnsi="仿宋_GB2312" w:eastAsia="仿宋_GB2312"/>
          <w:b w:val="0"/>
          <w:sz w:val="32"/>
        </w:rPr>
        <w:t>2024年度麦盖提县爱国卫生运动服务中心（行政单位和参照公务员法管理事业单位）机关运行经费支出3.04万元，比上年增加0.75万元，增长32.75%，主要原因是：本年更新、维护补充办公用品，导致机关运行经费较上年增加。</w:t>
      </w:r>
    </w:p>
    <w:p w14:paraId="05C57FFB">
      <w:pPr>
        <w:spacing w:line="640" w:lineRule="exact"/>
        <w:ind w:firstLine="640"/>
        <w:jc w:val="both"/>
        <w:outlineLvl w:val="3"/>
      </w:pPr>
      <w:r>
        <w:rPr>
          <w:rFonts w:ascii="楷体_GB2312" w:hAnsi="楷体_GB2312" w:eastAsia="楷体_GB2312"/>
          <w:b/>
          <w:sz w:val="32"/>
        </w:rPr>
        <w:t>（二）政府采购情况</w:t>
      </w:r>
    </w:p>
    <w:p w14:paraId="3731FE93">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1B830B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2251006">
      <w:pPr>
        <w:spacing w:line="640" w:lineRule="exact"/>
        <w:ind w:firstLine="640"/>
        <w:jc w:val="both"/>
        <w:outlineLvl w:val="3"/>
      </w:pPr>
      <w:r>
        <w:rPr>
          <w:rFonts w:ascii="楷体_GB2312" w:hAnsi="楷体_GB2312" w:eastAsia="楷体_GB2312"/>
          <w:b/>
          <w:sz w:val="32"/>
        </w:rPr>
        <w:t>（三）国有资产占用情况说明</w:t>
      </w:r>
    </w:p>
    <w:p w14:paraId="3BD0A629">
      <w:pPr>
        <w:spacing w:line="580" w:lineRule="exact"/>
        <w:ind w:firstLine="640"/>
        <w:jc w:val="both"/>
      </w:pPr>
      <w:r>
        <w:rPr>
          <w:rFonts w:ascii="仿宋_GB2312" w:hAnsi="仿宋_GB2312" w:eastAsia="仿宋_GB2312"/>
          <w:b w:val="0"/>
          <w:sz w:val="32"/>
        </w:rPr>
        <w:t>截至2024年12月31日，房屋0.00平方米，价值0.00万元。车辆1辆，价值4.00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DD3836F">
      <w:pPr>
        <w:spacing w:line="640" w:lineRule="exact"/>
        <w:ind w:firstLine="640"/>
        <w:jc w:val="both"/>
        <w:outlineLvl w:val="2"/>
      </w:pPr>
      <w:r>
        <w:rPr>
          <w:rFonts w:ascii="黑体" w:hAnsi="黑体" w:eastAsia="黑体"/>
          <w:sz w:val="32"/>
        </w:rPr>
        <w:t>十一、预算绩效的情况说明</w:t>
      </w:r>
    </w:p>
    <w:p w14:paraId="18E94CE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97.71万元，实际执行总额96.19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无预算绩效项目自评表。具体附整体支出绩效自评表。</w:t>
      </w:r>
    </w:p>
    <w:p w14:paraId="476B557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190C89E">
        <w:tblPrEx>
          <w:tblCellMar>
            <w:top w:w="0" w:type="dxa"/>
            <w:left w:w="108" w:type="dxa"/>
            <w:bottom w:w="0" w:type="dxa"/>
            <w:right w:w="108" w:type="dxa"/>
          </w:tblCellMar>
        </w:tblPrEx>
        <w:tc>
          <w:tcPr>
            <w:tcW w:w="8847" w:type="dxa"/>
            <w:gridSpan w:val="9"/>
            <w:vAlign w:val="center"/>
          </w:tcPr>
          <w:p w14:paraId="4A46A5EE">
            <w:pPr>
              <w:jc w:val="center"/>
            </w:pPr>
            <w:r>
              <w:rPr>
                <w:rFonts w:ascii="宋体" w:hAnsi="宋体" w:eastAsia="宋体"/>
                <w:sz w:val="24"/>
              </w:rPr>
              <w:t>单位整体支出绩效自评表</w:t>
            </w:r>
          </w:p>
        </w:tc>
      </w:tr>
      <w:tr w14:paraId="46351A53">
        <w:tblPrEx>
          <w:tblCellMar>
            <w:top w:w="0" w:type="dxa"/>
            <w:left w:w="108" w:type="dxa"/>
            <w:bottom w:w="0" w:type="dxa"/>
            <w:right w:w="108" w:type="dxa"/>
          </w:tblCellMar>
        </w:tblPrEx>
        <w:tc>
          <w:tcPr>
            <w:tcW w:w="8847" w:type="dxa"/>
            <w:gridSpan w:val="9"/>
            <w:vAlign w:val="center"/>
          </w:tcPr>
          <w:p w14:paraId="6099E4A6">
            <w:pPr>
              <w:jc w:val="center"/>
            </w:pPr>
            <w:r>
              <w:rPr>
                <w:rFonts w:ascii="宋体" w:hAnsi="宋体" w:eastAsia="宋体"/>
                <w:sz w:val="24"/>
              </w:rPr>
              <w:t>（2024年度）</w:t>
            </w:r>
          </w:p>
        </w:tc>
      </w:tr>
      <w:tr w14:paraId="2857773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ACDD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5DA94D0">
            <w:pPr>
              <w:jc w:val="center"/>
            </w:pPr>
            <w:r>
              <w:rPr>
                <w:rFonts w:ascii="宋体" w:hAnsi="宋体" w:eastAsia="宋体"/>
                <w:sz w:val="16"/>
              </w:rPr>
              <w:t>麦盖提县爱国卫生运动服务中心</w:t>
            </w:r>
          </w:p>
        </w:tc>
      </w:tr>
      <w:tr w14:paraId="5ACFD4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B116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E643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2DD6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9D93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C501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C902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5380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2B9A0">
            <w:pPr>
              <w:jc w:val="center"/>
            </w:pPr>
            <w:r>
              <w:rPr>
                <w:rFonts w:ascii="宋体" w:hAnsi="宋体" w:eastAsia="宋体"/>
                <w:sz w:val="16"/>
              </w:rPr>
              <w:t>得分</w:t>
            </w:r>
          </w:p>
        </w:tc>
      </w:tr>
      <w:tr w14:paraId="2D12FC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BA87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4B8A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735CF">
            <w:pPr>
              <w:jc w:val="center"/>
            </w:pPr>
            <w:r>
              <w:rPr>
                <w:rFonts w:ascii="宋体" w:hAnsi="宋体" w:eastAsia="宋体"/>
                <w:sz w:val="16"/>
              </w:rPr>
              <w:t>95.62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AE11C">
            <w:pPr>
              <w:jc w:val="center"/>
            </w:pPr>
            <w:r>
              <w:rPr>
                <w:rFonts w:ascii="宋体" w:hAnsi="宋体" w:eastAsia="宋体"/>
                <w:sz w:val="16"/>
              </w:rPr>
              <w:t>97.71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82C9B">
            <w:pPr>
              <w:jc w:val="center"/>
            </w:pPr>
            <w:r>
              <w:rPr>
                <w:rFonts w:ascii="宋体" w:hAnsi="宋体" w:eastAsia="宋体"/>
                <w:sz w:val="16"/>
              </w:rPr>
              <w:t>96.19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3F7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C53F4">
            <w:pPr>
              <w:jc w:val="center"/>
            </w:pPr>
            <w:r>
              <w:rPr>
                <w:rFonts w:ascii="宋体" w:hAnsi="宋体" w:eastAsia="宋体"/>
                <w:sz w:val="16"/>
              </w:rPr>
              <w:t>98.44%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7E33B">
            <w:pPr>
              <w:jc w:val="center"/>
            </w:pPr>
            <w:r>
              <w:rPr>
                <w:rFonts w:ascii="宋体" w:hAnsi="宋体" w:eastAsia="宋体"/>
                <w:sz w:val="16"/>
              </w:rPr>
              <w:t>9.84</w:t>
            </w:r>
          </w:p>
        </w:tc>
      </w:tr>
      <w:tr w14:paraId="64D6A5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664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77BD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6E6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AF3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C7D6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2C0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6BA7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29CA1">
            <w:pPr>
              <w:jc w:val="center"/>
            </w:pPr>
            <w:r>
              <w:rPr>
                <w:rFonts w:ascii="宋体" w:hAnsi="宋体" w:eastAsia="宋体"/>
                <w:sz w:val="16"/>
              </w:rPr>
              <w:t>—</w:t>
            </w:r>
          </w:p>
        </w:tc>
      </w:tr>
      <w:tr w14:paraId="618FB1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E9F0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14B7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43DEF">
            <w:pPr>
              <w:jc w:val="center"/>
            </w:pPr>
            <w:r>
              <w:rPr>
                <w:rFonts w:ascii="宋体" w:hAnsi="宋体" w:eastAsia="宋体"/>
                <w:sz w:val="16"/>
              </w:rPr>
              <w:t>95.62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9F571">
            <w:pPr>
              <w:jc w:val="center"/>
            </w:pPr>
            <w:r>
              <w:rPr>
                <w:rFonts w:ascii="宋体" w:hAnsi="宋体" w:eastAsia="宋体"/>
                <w:sz w:val="16"/>
              </w:rPr>
              <w:t>97.71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EFD5A">
            <w:pPr>
              <w:jc w:val="center"/>
            </w:pPr>
            <w:r>
              <w:rPr>
                <w:rFonts w:ascii="宋体" w:hAnsi="宋体" w:eastAsia="宋体"/>
                <w:sz w:val="16"/>
              </w:rPr>
              <w:t>96.19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7E7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87D2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4D403">
            <w:pPr>
              <w:jc w:val="center"/>
            </w:pPr>
            <w:r>
              <w:rPr>
                <w:rFonts w:ascii="宋体" w:hAnsi="宋体" w:eastAsia="宋体"/>
                <w:sz w:val="16"/>
              </w:rPr>
              <w:t>—</w:t>
            </w:r>
          </w:p>
        </w:tc>
      </w:tr>
      <w:tr w14:paraId="2E6132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7275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31F7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626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3FB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A79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D34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B16E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1EFBC">
            <w:pPr>
              <w:jc w:val="center"/>
            </w:pPr>
            <w:r>
              <w:rPr>
                <w:rFonts w:ascii="宋体" w:hAnsi="宋体" w:eastAsia="宋体"/>
                <w:sz w:val="16"/>
              </w:rPr>
              <w:t>—</w:t>
            </w:r>
          </w:p>
        </w:tc>
      </w:tr>
      <w:tr w14:paraId="5B97555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4484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37EB9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BDDA94">
            <w:pPr>
              <w:jc w:val="center"/>
              <w:rPr>
                <w:rFonts w:hint="eastAsia" w:eastAsia="宋体"/>
                <w:lang w:eastAsia="zh-CN"/>
              </w:rPr>
            </w:pPr>
            <w:r>
              <w:rPr>
                <w:rFonts w:hint="eastAsia" w:ascii="宋体" w:hAnsi="宋体"/>
                <w:sz w:val="16"/>
                <w:lang w:eastAsia="zh-CN"/>
              </w:rPr>
              <w:t>实际完成情况</w:t>
            </w:r>
          </w:p>
        </w:tc>
      </w:tr>
      <w:tr w14:paraId="3656C3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97A0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F1EF72">
            <w:pPr>
              <w:jc w:val="both"/>
            </w:pPr>
            <w:r>
              <w:rPr>
                <w:rFonts w:ascii="宋体" w:hAnsi="宋体" w:eastAsia="宋体"/>
                <w:sz w:val="16"/>
              </w:rPr>
              <w:t>1.贯彻国家爱国卫生工作的方针、政策和法规。在县委、县政府的领导下，贯彻、执行有关爱国卫生工作的法律、法规，规划部署、协调指导、督促检查本行政区域内的爱国卫生工作；制定全县爱国卫生中长期规划和年度计划；</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2.动员全社会参与爱国卫生运动；组织开展创建卫生城镇，卫生单位活动；制定各项卫生检查评比办法、标准。组织实施对卫生先进单位及先进个人的考核、命名、表彰；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3.开展除“四害”达标活动，组织、制定、实施全县除“四害”方案，检查、管理、规范全县除“四害”工作，协调有关部门制定对防治疾病、重大</w:t>
            </w:r>
            <w:r>
              <w:rPr>
                <w:rFonts w:hint="eastAsia" w:ascii="宋体" w:hAnsi="宋体"/>
                <w:sz w:val="16"/>
                <w:lang w:eastAsia="zh-CN"/>
              </w:rPr>
              <w:t>YQ</w:t>
            </w:r>
            <w:r>
              <w:rPr>
                <w:rFonts w:ascii="宋体" w:hAnsi="宋体" w:eastAsia="宋体"/>
                <w:sz w:val="16"/>
              </w:rPr>
              <w:t>、中毒事故、突发事件和防范措施</w:t>
            </w:r>
            <w:r>
              <w:rPr>
                <w:rFonts w:hint="eastAsia" w:ascii="宋体" w:hAnsi="宋体"/>
                <w:sz w:val="16"/>
                <w:lang w:eastAsia="zh-CN"/>
              </w:rPr>
              <w:t>及应</w:t>
            </w:r>
            <w:r>
              <w:rPr>
                <w:rFonts w:ascii="宋体" w:hAnsi="宋体" w:eastAsia="宋体"/>
                <w:sz w:val="16"/>
              </w:rPr>
              <w:t>急对策；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4.规划、部署全县的健康教育工作；组织、协调开展健康教育活动，提高人们健康知识的知晓率和健康行为的形成率；增强人们的文明意识和健康意识，促进文明城市的建设；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5.组织实施全县农村改水、改厕规划，开展以改水改厕为重点，带动环境卫生整治、预防和减少疾病发生的村爱国卫生工作；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6.组织协调县（乡镇）、有关部门和团体的爱国卫生工作；检查全县爱国卫生工作开展情况。进行卫生效果评价；</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7.完成县委、县政府和自治区、地区爱卫会交办的其他事项。</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458427">
            <w:pPr>
              <w:jc w:val="both"/>
            </w:pPr>
            <w:r>
              <w:rPr>
                <w:rFonts w:hint="eastAsia" w:ascii="宋体" w:hAnsi="宋体"/>
                <w:sz w:val="16"/>
                <w:lang w:eastAsia="zh-CN"/>
              </w:rPr>
              <w:t>截至</w:t>
            </w:r>
            <w:r>
              <w:rPr>
                <w:rFonts w:ascii="宋体" w:hAnsi="宋体" w:eastAsia="宋体"/>
                <w:sz w:val="16"/>
              </w:rPr>
              <w:t>自评日，本单位已完成以下任务：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贯彻国家爱国卫生工作的方针、政策和法规。在县委、县政府的领导下，贯彻、执行有关爱国卫生工作的法律、法规，规划部署、协调指导、督促检查本行政区域内的爱国卫生工作；制定全县爱国卫生中长期规划和年度计划；</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2.动员全社会参与爱国卫生运动；组织开展创建卫生城镇，卫生单位活动；制定各项卫生检查评比办法、标准。组织实施对卫生先进单位及先进个人的考核、命名、表彰；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3.开展除“四害”达标活动，组织、制定、实施全县除“四害”方案，检查、管理、规范全县除“四害”工作，协调有关部门制定对防治疾病、重大</w:t>
            </w:r>
            <w:r>
              <w:rPr>
                <w:rFonts w:hint="eastAsia" w:ascii="宋体" w:hAnsi="宋体"/>
                <w:sz w:val="16"/>
                <w:lang w:eastAsia="zh-CN"/>
              </w:rPr>
              <w:t>YQ</w:t>
            </w:r>
            <w:r>
              <w:rPr>
                <w:rFonts w:ascii="宋体" w:hAnsi="宋体" w:eastAsia="宋体"/>
                <w:sz w:val="16"/>
              </w:rPr>
              <w:t>、中毒事故、突发事件和防范措施</w:t>
            </w:r>
            <w:r>
              <w:rPr>
                <w:rFonts w:hint="eastAsia" w:ascii="宋体" w:hAnsi="宋体"/>
                <w:sz w:val="16"/>
                <w:lang w:eastAsia="zh-CN"/>
              </w:rPr>
              <w:t>及应</w:t>
            </w:r>
            <w:r>
              <w:rPr>
                <w:rFonts w:ascii="宋体" w:hAnsi="宋体" w:eastAsia="宋体"/>
                <w:sz w:val="16"/>
              </w:rPr>
              <w:t>急对策，除“四害”达标率达到100%；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4.规划、部署全县的健康教育工作；组织、协调开展健康教育活动，提高人们健康知识的知晓率和健康行为的形成率；增强人们的文明意识和健康意识，促进文明城市的建设；已开展爱国卫生宣传教育12次；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5.组织实施全县农村改水、改厕规划，开展以改水改厕为重点，带动环境卫生整治、预防和减少疾病发生的村爱国卫生工作，24年疾病发生降低5%；</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6.组织协调县（乡镇）、有关部门和团体的爱国卫生工作；检查全县爱国卫生工作开展情况。进行卫生效果评价；爱国卫生工作监督检查覆盖率达到100%，环境卫生相关问题已全部整改完成。</w:t>
            </w:r>
          </w:p>
        </w:tc>
      </w:tr>
      <w:tr w14:paraId="7691C5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A71D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B933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9078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E0FC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FE12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E6B4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0275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DE26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A7AA7">
            <w:pPr>
              <w:jc w:val="center"/>
            </w:pPr>
            <w:r>
              <w:rPr>
                <w:rFonts w:ascii="宋体" w:hAnsi="宋体" w:eastAsia="宋体"/>
                <w:sz w:val="16"/>
              </w:rPr>
              <w:t>得分</w:t>
            </w:r>
          </w:p>
        </w:tc>
      </w:tr>
      <w:tr w14:paraId="6CB2B3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F253E">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2D84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99AE3">
            <w:pPr>
              <w:jc w:val="center"/>
            </w:pPr>
            <w:r>
              <w:rPr>
                <w:rFonts w:ascii="宋体" w:hAnsi="宋体" w:eastAsia="宋体"/>
                <w:sz w:val="16"/>
              </w:rPr>
              <w:t>爱国卫生宣传教育次数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A6AFA">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5B831">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A146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2C455">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F37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7AA9E">
            <w:pPr>
              <w:jc w:val="center"/>
            </w:pPr>
            <w:r>
              <w:rPr>
                <w:rFonts w:ascii="宋体" w:hAnsi="宋体" w:eastAsia="宋体"/>
                <w:sz w:val="16"/>
              </w:rPr>
              <w:t>18</w:t>
            </w:r>
          </w:p>
        </w:tc>
      </w:tr>
      <w:tr w14:paraId="7AD2EB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C51E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2C64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CCE2F">
            <w:pPr>
              <w:jc w:val="center"/>
            </w:pPr>
            <w:r>
              <w:rPr>
                <w:rFonts w:ascii="宋体" w:hAnsi="宋体" w:eastAsia="宋体"/>
                <w:sz w:val="16"/>
              </w:rPr>
              <w:t>除“四害”达标率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C4F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058E7">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4AFE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0FB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701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7F126">
            <w:pPr>
              <w:jc w:val="center"/>
            </w:pPr>
            <w:r>
              <w:rPr>
                <w:rFonts w:ascii="宋体" w:hAnsi="宋体" w:eastAsia="宋体"/>
                <w:sz w:val="16"/>
              </w:rPr>
              <w:t>18</w:t>
            </w:r>
          </w:p>
        </w:tc>
      </w:tr>
      <w:tr w14:paraId="50DEEB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63BB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D357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F3E64">
            <w:pPr>
              <w:jc w:val="center"/>
            </w:pPr>
            <w:r>
              <w:rPr>
                <w:rFonts w:ascii="宋体" w:hAnsi="宋体" w:eastAsia="宋体"/>
                <w:sz w:val="16"/>
              </w:rPr>
              <w:t>爱国卫生工作监督检查覆盖率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6E1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59D85">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1B93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2C0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CBC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1F3EC">
            <w:pPr>
              <w:jc w:val="center"/>
            </w:pPr>
            <w:r>
              <w:rPr>
                <w:rFonts w:ascii="宋体" w:hAnsi="宋体" w:eastAsia="宋体"/>
                <w:sz w:val="16"/>
              </w:rPr>
              <w:t>18</w:t>
            </w:r>
          </w:p>
        </w:tc>
      </w:tr>
      <w:tr w14:paraId="50D4FD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F520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8B5D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4E53E">
            <w:pPr>
              <w:jc w:val="center"/>
            </w:pPr>
            <w:r>
              <w:rPr>
                <w:rFonts w:ascii="宋体" w:hAnsi="宋体" w:eastAsia="宋体"/>
                <w:sz w:val="16"/>
              </w:rPr>
              <w:t>疾病发生降低率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91C7A">
            <w:pPr>
              <w:jc w:val="center"/>
            </w:pPr>
            <w:r>
              <w:rPr>
                <w:rFonts w:ascii="宋体" w:hAnsi="宋体" w:eastAsia="宋体"/>
                <w:sz w:val="16"/>
              </w:rPr>
              <w:t>&gt;=5%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E232A">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28AA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03A3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3CD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B38C4">
            <w:pPr>
              <w:jc w:val="center"/>
            </w:pPr>
            <w:r>
              <w:rPr>
                <w:rFonts w:ascii="宋体" w:hAnsi="宋体" w:eastAsia="宋体"/>
                <w:sz w:val="16"/>
              </w:rPr>
              <w:t>18</w:t>
            </w:r>
          </w:p>
        </w:tc>
      </w:tr>
      <w:tr w14:paraId="5EECC1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FC1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E93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1E052">
            <w:pPr>
              <w:jc w:val="center"/>
            </w:pPr>
            <w:r>
              <w:rPr>
                <w:rFonts w:ascii="宋体" w:hAnsi="宋体" w:eastAsia="宋体"/>
                <w:sz w:val="16"/>
              </w:rPr>
              <w:t>环境卫生整改完成率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951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0CCFC">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D41B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EF8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EFA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B3BD7">
            <w:pPr>
              <w:jc w:val="center"/>
            </w:pPr>
            <w:r>
              <w:rPr>
                <w:rFonts w:ascii="宋体" w:hAnsi="宋体" w:eastAsia="宋体"/>
                <w:sz w:val="16"/>
              </w:rPr>
              <w:t>18</w:t>
            </w:r>
          </w:p>
        </w:tc>
      </w:tr>
    </w:tbl>
    <w:p w14:paraId="111B1482">
      <w:r>
        <w:br w:type="page"/>
      </w:r>
    </w:p>
    <w:p w14:paraId="0ED4EA51">
      <w:pPr>
        <w:spacing w:line="640" w:lineRule="exact"/>
        <w:ind w:firstLine="640"/>
        <w:jc w:val="both"/>
        <w:outlineLvl w:val="2"/>
      </w:pPr>
      <w:r>
        <w:rPr>
          <w:rFonts w:ascii="黑体" w:hAnsi="黑体" w:eastAsia="黑体"/>
          <w:sz w:val="32"/>
        </w:rPr>
        <w:t>十二、其他需说明的事项</w:t>
      </w:r>
    </w:p>
    <w:p w14:paraId="0AC2955B">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0933C97B">
      <w:r>
        <w:br w:type="page"/>
      </w:r>
    </w:p>
    <w:p w14:paraId="32068FFB">
      <w:pPr>
        <w:spacing w:line="240" w:lineRule="auto"/>
        <w:jc w:val="center"/>
        <w:outlineLvl w:val="1"/>
      </w:pPr>
      <w:r>
        <w:rPr>
          <w:rFonts w:ascii="黑体" w:hAnsi="黑体" w:eastAsia="黑体"/>
          <w:sz w:val="32"/>
        </w:rPr>
        <w:t>第三部分 专业名词解释</w:t>
      </w:r>
    </w:p>
    <w:p w14:paraId="30777CC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2EDFB4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EE0DC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394BBA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D1E468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53059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403FF5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DFACF4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A5B6E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FC504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8D7890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D4D953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0C378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5FC60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0F67C2">
      <w:r>
        <w:br w:type="page"/>
      </w:r>
    </w:p>
    <w:p w14:paraId="5EA75223">
      <w:pPr>
        <w:spacing w:line="240" w:lineRule="auto"/>
        <w:jc w:val="center"/>
        <w:outlineLvl w:val="1"/>
      </w:pPr>
      <w:r>
        <w:rPr>
          <w:rFonts w:ascii="黑体" w:hAnsi="黑体" w:eastAsia="黑体"/>
          <w:sz w:val="32"/>
        </w:rPr>
        <w:t>第四部分 部门决算报表（见附表）</w:t>
      </w:r>
    </w:p>
    <w:p w14:paraId="6F655441">
      <w:pPr>
        <w:spacing w:line="240" w:lineRule="auto"/>
        <w:ind w:firstLine="640"/>
        <w:jc w:val="both"/>
      </w:pPr>
      <w:r>
        <w:rPr>
          <w:rFonts w:ascii="仿宋_GB2312" w:hAnsi="仿宋_GB2312" w:eastAsia="仿宋_GB2312"/>
          <w:b w:val="0"/>
          <w:sz w:val="32"/>
        </w:rPr>
        <w:t>一、《收入支出决算总表》</w:t>
      </w:r>
    </w:p>
    <w:p w14:paraId="0EF047F7">
      <w:pPr>
        <w:spacing w:line="240" w:lineRule="auto"/>
        <w:ind w:firstLine="640"/>
        <w:jc w:val="both"/>
      </w:pPr>
      <w:r>
        <w:rPr>
          <w:rFonts w:ascii="仿宋_GB2312" w:hAnsi="仿宋_GB2312" w:eastAsia="仿宋_GB2312"/>
          <w:b w:val="0"/>
          <w:sz w:val="32"/>
        </w:rPr>
        <w:t>二、《收入决算表》</w:t>
      </w:r>
    </w:p>
    <w:p w14:paraId="71986018">
      <w:pPr>
        <w:spacing w:line="240" w:lineRule="auto"/>
        <w:ind w:firstLine="640"/>
        <w:jc w:val="both"/>
      </w:pPr>
      <w:r>
        <w:rPr>
          <w:rFonts w:ascii="仿宋_GB2312" w:hAnsi="仿宋_GB2312" w:eastAsia="仿宋_GB2312"/>
          <w:b w:val="0"/>
          <w:sz w:val="32"/>
        </w:rPr>
        <w:t>三、《支出决算表》</w:t>
      </w:r>
    </w:p>
    <w:p w14:paraId="2A4464F6">
      <w:pPr>
        <w:spacing w:line="240" w:lineRule="auto"/>
        <w:ind w:firstLine="640"/>
        <w:jc w:val="both"/>
      </w:pPr>
      <w:r>
        <w:rPr>
          <w:rFonts w:ascii="仿宋_GB2312" w:hAnsi="仿宋_GB2312" w:eastAsia="仿宋_GB2312"/>
          <w:b w:val="0"/>
          <w:sz w:val="32"/>
        </w:rPr>
        <w:t>四、《财政拨款收入支出决算总表》</w:t>
      </w:r>
    </w:p>
    <w:p w14:paraId="7AB70114">
      <w:pPr>
        <w:spacing w:line="240" w:lineRule="auto"/>
        <w:ind w:firstLine="640"/>
        <w:jc w:val="both"/>
      </w:pPr>
      <w:r>
        <w:rPr>
          <w:rFonts w:ascii="仿宋_GB2312" w:hAnsi="仿宋_GB2312" w:eastAsia="仿宋_GB2312"/>
          <w:b w:val="0"/>
          <w:sz w:val="32"/>
        </w:rPr>
        <w:t>五、《一般公共预算财政拨款支出决算表》</w:t>
      </w:r>
    </w:p>
    <w:p w14:paraId="5E3CB2E7">
      <w:pPr>
        <w:spacing w:line="240" w:lineRule="auto"/>
        <w:ind w:firstLine="640"/>
        <w:jc w:val="both"/>
      </w:pPr>
      <w:r>
        <w:rPr>
          <w:rFonts w:ascii="仿宋_GB2312" w:hAnsi="仿宋_GB2312" w:eastAsia="仿宋_GB2312"/>
          <w:b w:val="0"/>
          <w:sz w:val="32"/>
        </w:rPr>
        <w:t>六、《一般公共预算财政拨款基本支出决算表》</w:t>
      </w:r>
    </w:p>
    <w:p w14:paraId="0883DDAC">
      <w:pPr>
        <w:spacing w:line="240" w:lineRule="auto"/>
        <w:ind w:firstLine="640"/>
        <w:jc w:val="both"/>
      </w:pPr>
      <w:r>
        <w:rPr>
          <w:rFonts w:ascii="仿宋_GB2312" w:hAnsi="仿宋_GB2312" w:eastAsia="仿宋_GB2312"/>
          <w:b w:val="0"/>
          <w:sz w:val="32"/>
        </w:rPr>
        <w:t>七、《政府性基金预算财政拨款收入支出决算表》</w:t>
      </w:r>
    </w:p>
    <w:p w14:paraId="3E165977">
      <w:pPr>
        <w:spacing w:line="240" w:lineRule="auto"/>
        <w:ind w:firstLine="640"/>
        <w:jc w:val="both"/>
      </w:pPr>
      <w:r>
        <w:rPr>
          <w:rFonts w:ascii="仿宋_GB2312" w:hAnsi="仿宋_GB2312" w:eastAsia="仿宋_GB2312"/>
          <w:b w:val="0"/>
          <w:sz w:val="32"/>
        </w:rPr>
        <w:t>八、《国有资本经营预算财政拨款收入支出决算表》</w:t>
      </w:r>
    </w:p>
    <w:p w14:paraId="4A4187BC">
      <w:pPr>
        <w:spacing w:line="240" w:lineRule="auto"/>
        <w:ind w:firstLine="640"/>
        <w:jc w:val="both"/>
      </w:pPr>
      <w:r>
        <w:rPr>
          <w:rFonts w:ascii="仿宋_GB2312" w:hAnsi="仿宋_GB2312" w:eastAsia="仿宋_GB2312"/>
          <w:b w:val="0"/>
          <w:sz w:val="32"/>
        </w:rPr>
        <w:t>九、《财政拨款“三公”经费支出决算表》</w:t>
      </w:r>
    </w:p>
    <w:p w14:paraId="04196C06">
      <w:pPr>
        <w:spacing w:line="240" w:lineRule="auto"/>
        <w:ind w:firstLine="640"/>
        <w:jc w:val="both"/>
      </w:pPr>
    </w:p>
    <w:p w14:paraId="76A33EDF">
      <w:pPr>
        <w:spacing w:line="240" w:lineRule="auto"/>
        <w:ind w:firstLine="640"/>
        <w:jc w:val="both"/>
      </w:pPr>
    </w:p>
    <w:p w14:paraId="184E0274">
      <w:pPr>
        <w:spacing w:line="240" w:lineRule="auto"/>
        <w:ind w:firstLine="640"/>
        <w:jc w:val="both"/>
      </w:pPr>
    </w:p>
    <w:p w14:paraId="1D044921">
      <w:pPr>
        <w:spacing w:line="240" w:lineRule="auto"/>
        <w:ind w:firstLine="640"/>
        <w:jc w:val="both"/>
      </w:pPr>
    </w:p>
    <w:p w14:paraId="3DB7F13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69254A"/>
    <w:rsid w:val="40834692"/>
    <w:rsid w:val="423A32B2"/>
    <w:rsid w:val="423C0CB4"/>
    <w:rsid w:val="427B5743"/>
    <w:rsid w:val="42E64542"/>
    <w:rsid w:val="464B7E04"/>
    <w:rsid w:val="464F7E64"/>
    <w:rsid w:val="46901EEE"/>
    <w:rsid w:val="469C74D2"/>
    <w:rsid w:val="47445515"/>
    <w:rsid w:val="4B4C0111"/>
    <w:rsid w:val="4BB23021"/>
    <w:rsid w:val="4CBE4797"/>
    <w:rsid w:val="4F3F074E"/>
    <w:rsid w:val="50DB5F45"/>
    <w:rsid w:val="52F92565"/>
    <w:rsid w:val="543D17CB"/>
    <w:rsid w:val="55DA564E"/>
    <w:rsid w:val="56E07045"/>
    <w:rsid w:val="583059FA"/>
    <w:rsid w:val="587E6212"/>
    <w:rsid w:val="5AFC6609"/>
    <w:rsid w:val="5C216C7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AD076B"/>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4448</Words>
  <Characters>5031</Characters>
  <Lines>0</Lines>
  <Paragraphs>0</Paragraphs>
  <TotalTime>5</TotalTime>
  <ScaleCrop>false</ScaleCrop>
  <LinksUpToDate>false</LinksUpToDate>
  <CharactersWithSpaces>5039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