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D5AD332">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麦盖提县维吾尔医医院</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7FFE75F">
      <w:r>
        <w:br w:type="page"/>
      </w:r>
    </w:p>
    <w:p w14:paraId="51128EDE">
      <w:pPr>
        <w:spacing w:line="640" w:lineRule="exact"/>
        <w:jc w:val="center"/>
        <w:outlineLvl w:val="1"/>
      </w:pPr>
      <w:r>
        <w:rPr>
          <w:rFonts w:ascii="黑体" w:hAnsi="黑体" w:eastAsia="黑体"/>
          <w:sz w:val="32"/>
        </w:rPr>
        <w:t>第一部分 单位概况</w:t>
      </w:r>
    </w:p>
    <w:p w14:paraId="0A1C85A9">
      <w:pPr>
        <w:spacing w:line="640" w:lineRule="exact"/>
        <w:ind w:firstLine="640"/>
        <w:jc w:val="both"/>
        <w:outlineLvl w:val="2"/>
      </w:pPr>
      <w:r>
        <w:rPr>
          <w:rFonts w:ascii="黑体" w:hAnsi="黑体" w:eastAsia="黑体"/>
          <w:sz w:val="32"/>
        </w:rPr>
        <w:t>一、主要职能</w:t>
      </w:r>
    </w:p>
    <w:p w14:paraId="443B5FA4">
      <w:pPr>
        <w:spacing w:line="580" w:lineRule="exact"/>
        <w:ind w:firstLine="640"/>
        <w:jc w:val="both"/>
      </w:pPr>
      <w:r>
        <w:rPr>
          <w:rFonts w:hint="eastAsia" w:ascii="仿宋_GB2312" w:hAnsi="仿宋_GB2312" w:eastAsia="仿宋_GB2312"/>
          <w:sz w:val="32"/>
          <w:lang w:eastAsia="zh-CN"/>
        </w:rPr>
        <w:t>（一）</w:t>
      </w:r>
      <w:r>
        <w:rPr>
          <w:rFonts w:ascii="仿宋_GB2312" w:hAnsi="仿宋_GB2312" w:eastAsia="仿宋_GB2312"/>
          <w:sz w:val="32"/>
        </w:rPr>
        <w:t>为人民群众提供基本医疗保健服务，常见病多发病诊治与护理、预防、保健、康复等医疗卫生服务。</w:t>
      </w:r>
    </w:p>
    <w:p w14:paraId="0FB46484">
      <w:pPr>
        <w:spacing w:line="580" w:lineRule="exact"/>
        <w:ind w:firstLine="640"/>
        <w:jc w:val="both"/>
      </w:pPr>
      <w:r>
        <w:rPr>
          <w:rFonts w:hint="eastAsia" w:ascii="仿宋_GB2312" w:hAnsi="仿宋_GB2312" w:eastAsia="仿宋_GB2312"/>
          <w:sz w:val="32"/>
          <w:lang w:eastAsia="zh-CN"/>
        </w:rPr>
        <w:t>（二）</w:t>
      </w:r>
      <w:r>
        <w:rPr>
          <w:rFonts w:ascii="仿宋_GB2312" w:hAnsi="仿宋_GB2312" w:eastAsia="仿宋_GB2312"/>
          <w:sz w:val="32"/>
        </w:rPr>
        <w:t>贯彻落实医药卫生体制改革、中西医并重方针和国家中医药法律法规，执行中医药政策，拟定实施中医药、民族医药和中西医结合发展战略、规划，指导全县各医疗机构发展中医药和中西医结合业务建设。</w:t>
      </w:r>
    </w:p>
    <w:p w14:paraId="73EF6322">
      <w:pPr>
        <w:spacing w:line="580" w:lineRule="exact"/>
        <w:ind w:firstLine="640"/>
        <w:jc w:val="both"/>
      </w:pPr>
      <w:r>
        <w:rPr>
          <w:rFonts w:hint="eastAsia" w:ascii="仿宋_GB2312" w:hAnsi="仿宋_GB2312" w:eastAsia="仿宋_GB2312"/>
          <w:sz w:val="32"/>
          <w:lang w:eastAsia="zh-CN"/>
        </w:rPr>
        <w:t>（三）</w:t>
      </w:r>
      <w:r>
        <w:rPr>
          <w:rFonts w:ascii="仿宋_GB2312" w:hAnsi="仿宋_GB2312" w:eastAsia="仿宋_GB2312"/>
          <w:sz w:val="32"/>
        </w:rPr>
        <w:t>确保全县人民中西医疗健康需求，建立与地方经济发展相适应的中西医结合医疗环境，加强中医医院标准化管理。</w:t>
      </w:r>
    </w:p>
    <w:p w14:paraId="73776E40">
      <w:pPr>
        <w:spacing w:line="580" w:lineRule="exact"/>
        <w:ind w:firstLine="640"/>
        <w:jc w:val="both"/>
      </w:pPr>
      <w:r>
        <w:rPr>
          <w:rFonts w:hint="eastAsia" w:ascii="仿宋_GB2312" w:hAnsi="仿宋_GB2312" w:eastAsia="仿宋_GB2312"/>
          <w:sz w:val="32"/>
          <w:lang w:eastAsia="zh-CN"/>
        </w:rPr>
        <w:t>（四）</w:t>
      </w:r>
      <w:r>
        <w:rPr>
          <w:rFonts w:ascii="仿宋_GB2312" w:hAnsi="仿宋_GB2312" w:eastAsia="仿宋_GB2312"/>
          <w:sz w:val="32"/>
        </w:rPr>
        <w:t>贯彻落实国家基本药物制度和药品集中采购工作，执行医用耗材集中采购工作，负责医院内部的药品和医疗器械管理工作。</w:t>
      </w:r>
    </w:p>
    <w:p w14:paraId="47AB527A">
      <w:pPr>
        <w:spacing w:line="580" w:lineRule="exact"/>
        <w:ind w:firstLine="640"/>
        <w:jc w:val="both"/>
      </w:pPr>
      <w:r>
        <w:rPr>
          <w:rFonts w:hint="eastAsia" w:ascii="仿宋_GB2312" w:hAnsi="仿宋_GB2312" w:eastAsia="仿宋_GB2312"/>
          <w:sz w:val="32"/>
          <w:lang w:eastAsia="zh-CN"/>
        </w:rPr>
        <w:t>（五）</w:t>
      </w:r>
      <w:r>
        <w:rPr>
          <w:rFonts w:ascii="仿宋_GB2312" w:hAnsi="仿宋_GB2312" w:eastAsia="仿宋_GB2312"/>
          <w:sz w:val="32"/>
        </w:rPr>
        <w:t>承担意外灾害事故、疫情等突发公共卫生事件的医疗急救及社区预防、保健和康复医疗服务工作，开展各种医疗保健卫生知识宣传普及。</w:t>
      </w:r>
    </w:p>
    <w:p w14:paraId="6BB61340">
      <w:pPr>
        <w:spacing w:line="580" w:lineRule="exact"/>
        <w:ind w:firstLine="640"/>
        <w:jc w:val="both"/>
      </w:pPr>
      <w:r>
        <w:rPr>
          <w:rFonts w:hint="eastAsia" w:ascii="仿宋_GB2312" w:hAnsi="仿宋_GB2312" w:eastAsia="仿宋_GB2312"/>
          <w:sz w:val="32"/>
          <w:lang w:eastAsia="zh-CN"/>
        </w:rPr>
        <w:t>（六）</w:t>
      </w:r>
      <w:r>
        <w:rPr>
          <w:rFonts w:ascii="仿宋_GB2312" w:hAnsi="仿宋_GB2312" w:eastAsia="仿宋_GB2312"/>
          <w:sz w:val="32"/>
        </w:rPr>
        <w:t>充分发挥中医药在国家基本公共卫生服务中的优势和作用，负责全县基本公共卫生服务中医药健康管理项目的实施和日常管理。</w:t>
      </w:r>
    </w:p>
    <w:p w14:paraId="6FB7A590">
      <w:pPr>
        <w:spacing w:line="580" w:lineRule="exact"/>
        <w:ind w:firstLine="640"/>
        <w:jc w:val="both"/>
      </w:pPr>
      <w:r>
        <w:rPr>
          <w:rFonts w:hint="eastAsia" w:ascii="仿宋_GB2312" w:hAnsi="仿宋_GB2312" w:eastAsia="仿宋_GB2312"/>
          <w:sz w:val="32"/>
          <w:lang w:eastAsia="zh-CN"/>
        </w:rPr>
        <w:t>（七）</w:t>
      </w:r>
      <w:r>
        <w:rPr>
          <w:rFonts w:ascii="仿宋_GB2312" w:hAnsi="仿宋_GB2312" w:eastAsia="仿宋_GB2312"/>
          <w:sz w:val="32"/>
        </w:rPr>
        <w:t>组织实施中西医药科学研究，推进医学科技成果转化和推广应用，承担中医药人才培养，中医药继续医学教育工作。</w:t>
      </w:r>
    </w:p>
    <w:p w14:paraId="7A27D437">
      <w:pPr>
        <w:spacing w:line="580" w:lineRule="exact"/>
        <w:ind w:firstLine="640"/>
        <w:jc w:val="both"/>
      </w:pPr>
      <w:r>
        <w:rPr>
          <w:rFonts w:hint="eastAsia" w:ascii="仿宋_GB2312" w:hAnsi="仿宋_GB2312" w:eastAsia="仿宋_GB2312"/>
          <w:sz w:val="32"/>
          <w:lang w:eastAsia="zh-CN"/>
        </w:rPr>
        <w:t>（八）</w:t>
      </w:r>
      <w:r>
        <w:rPr>
          <w:rFonts w:ascii="仿宋_GB2312" w:hAnsi="仿宋_GB2312" w:eastAsia="仿宋_GB2312"/>
          <w:sz w:val="32"/>
        </w:rPr>
        <w:t>做好城镇职工基本医疗保险，城镇居民基本医疗保险和新型农村合作医疗保险等定点医疗机构的各项工作。</w:t>
      </w:r>
    </w:p>
    <w:p w14:paraId="71EFEC0F">
      <w:pPr>
        <w:spacing w:line="580" w:lineRule="exact"/>
        <w:ind w:firstLine="640"/>
        <w:jc w:val="both"/>
      </w:pPr>
      <w:r>
        <w:rPr>
          <w:rFonts w:hint="eastAsia" w:ascii="仿宋_GB2312" w:hAnsi="仿宋_GB2312" w:eastAsia="仿宋_GB2312"/>
          <w:sz w:val="32"/>
          <w:lang w:eastAsia="zh-CN"/>
        </w:rPr>
        <w:t>（九）</w:t>
      </w:r>
      <w:r>
        <w:rPr>
          <w:rFonts w:ascii="仿宋_GB2312" w:hAnsi="仿宋_GB2312" w:eastAsia="仿宋_GB2312"/>
          <w:sz w:val="32"/>
        </w:rPr>
        <w:t>参与卫生扶贫、重要会议与重大活动的医疗卫生保障工作。</w:t>
      </w:r>
    </w:p>
    <w:p w14:paraId="361CFAD8">
      <w:pPr>
        <w:spacing w:line="580" w:lineRule="exact"/>
        <w:ind w:firstLine="640"/>
        <w:jc w:val="both"/>
      </w:pPr>
      <w:r>
        <w:rPr>
          <w:rFonts w:hint="eastAsia" w:ascii="仿宋_GB2312" w:hAnsi="仿宋_GB2312" w:eastAsia="仿宋_GB2312"/>
          <w:sz w:val="32"/>
          <w:lang w:eastAsia="zh-CN"/>
        </w:rPr>
        <w:t>（十）</w:t>
      </w:r>
      <w:r>
        <w:rPr>
          <w:rFonts w:ascii="仿宋_GB2312" w:hAnsi="仿宋_GB2312" w:eastAsia="仿宋_GB2312"/>
          <w:sz w:val="32"/>
        </w:rPr>
        <w:t>承担县卫生健康委员会交办的其他工作。</w:t>
      </w:r>
    </w:p>
    <w:p w14:paraId="1B3EE84A">
      <w:pPr>
        <w:spacing w:line="640" w:lineRule="exact"/>
        <w:ind w:firstLine="640"/>
        <w:jc w:val="both"/>
        <w:outlineLvl w:val="2"/>
      </w:pPr>
      <w:r>
        <w:rPr>
          <w:rFonts w:ascii="黑体" w:hAnsi="黑体" w:eastAsia="黑体"/>
          <w:sz w:val="32"/>
        </w:rPr>
        <w:t>二、机构设置及人员情况</w:t>
      </w:r>
    </w:p>
    <w:p w14:paraId="1F263411">
      <w:pPr>
        <w:spacing w:line="580" w:lineRule="exact"/>
        <w:ind w:firstLine="640"/>
        <w:jc w:val="both"/>
      </w:pPr>
      <w:r>
        <w:rPr>
          <w:rFonts w:ascii="仿宋_GB2312" w:hAnsi="仿宋_GB2312" w:eastAsia="仿宋_GB2312"/>
          <w:sz w:val="32"/>
        </w:rPr>
        <w:t>麦盖提县维吾尔医医院2024年度，实有人数57人，其中：在职人员33人，增加0人；离休人员0人，增加0人；退休人员24人,减少1人。</w:t>
      </w:r>
    </w:p>
    <w:p w14:paraId="157F5901">
      <w:pPr>
        <w:spacing w:line="580" w:lineRule="exact"/>
        <w:ind w:firstLine="640"/>
        <w:jc w:val="both"/>
      </w:pPr>
      <w:r>
        <w:rPr>
          <w:rFonts w:ascii="仿宋_GB2312" w:hAnsi="仿宋_GB2312" w:eastAsia="仿宋_GB2312"/>
          <w:sz w:val="32"/>
        </w:rPr>
        <w:t>麦盖提县维吾尔医医院无下属预算单位，下设23个科室，分别是：门诊部、功能科、放射科、检验科、康复理疗科、药剂科、康复医学科、急诊科、心脑病科、老年病科、综合内科、妇一科、妇二科、皮肤科、财务科、人事科、护理部、医务科、院感科、信息科、病案室、行政办、后勤科。</w:t>
      </w:r>
    </w:p>
    <w:p w14:paraId="2E4451E8">
      <w:r>
        <w:br w:type="page"/>
      </w:r>
    </w:p>
    <w:p w14:paraId="1737ACCF">
      <w:pPr>
        <w:spacing w:line="240" w:lineRule="auto"/>
        <w:jc w:val="center"/>
        <w:outlineLvl w:val="1"/>
      </w:pPr>
      <w:r>
        <w:rPr>
          <w:rFonts w:ascii="黑体" w:hAnsi="黑体" w:eastAsia="黑体"/>
          <w:sz w:val="32"/>
        </w:rPr>
        <w:t>第二部分 部门决算情况说明</w:t>
      </w:r>
    </w:p>
    <w:p w14:paraId="707683CD">
      <w:pPr>
        <w:spacing w:line="640" w:lineRule="exact"/>
        <w:ind w:firstLine="640"/>
        <w:jc w:val="both"/>
        <w:outlineLvl w:val="2"/>
      </w:pPr>
      <w:r>
        <w:rPr>
          <w:rFonts w:ascii="黑体" w:hAnsi="黑体" w:eastAsia="黑体"/>
          <w:sz w:val="32"/>
        </w:rPr>
        <w:t>一、收入支出决算总体情况说明</w:t>
      </w:r>
    </w:p>
    <w:p w14:paraId="30563478">
      <w:pPr>
        <w:spacing w:line="580" w:lineRule="exact"/>
        <w:ind w:firstLine="640"/>
        <w:jc w:val="both"/>
      </w:pPr>
      <w:r>
        <w:rPr>
          <w:rFonts w:ascii="仿宋_GB2312" w:hAnsi="仿宋_GB2312" w:eastAsia="仿宋_GB2312"/>
          <w:b/>
          <w:sz w:val="32"/>
        </w:rPr>
        <w:t>2024年度收入总计3,566.30万元，</w:t>
      </w:r>
      <w:r>
        <w:rPr>
          <w:rFonts w:ascii="仿宋_GB2312" w:hAnsi="仿宋_GB2312" w:eastAsia="仿宋_GB2312"/>
          <w:b w:val="0"/>
          <w:sz w:val="32"/>
        </w:rPr>
        <w:t>其中：本年收入合计3,499.92万元，使用非财政拨款结余（含专用结余）0.00万元，年初结转和结余66.38万元。</w:t>
      </w:r>
    </w:p>
    <w:p w14:paraId="19967A9D">
      <w:pPr>
        <w:spacing w:line="580" w:lineRule="exact"/>
        <w:ind w:firstLine="640"/>
        <w:jc w:val="both"/>
      </w:pPr>
      <w:r>
        <w:rPr>
          <w:rFonts w:ascii="仿宋_GB2312" w:hAnsi="仿宋_GB2312" w:eastAsia="仿宋_GB2312"/>
          <w:b/>
          <w:sz w:val="32"/>
        </w:rPr>
        <w:t>2024年度支出总计3,566.30万元，</w:t>
      </w:r>
      <w:r>
        <w:rPr>
          <w:rFonts w:ascii="仿宋_GB2312" w:hAnsi="仿宋_GB2312" w:eastAsia="仿宋_GB2312"/>
          <w:b w:val="0"/>
          <w:sz w:val="32"/>
        </w:rPr>
        <w:t>其中：本年支出合计3,566.30万元，结余分配0.00万元，年末结转和结余0.00万元。</w:t>
      </w:r>
    </w:p>
    <w:p w14:paraId="297779F6">
      <w:pPr>
        <w:spacing w:line="580" w:lineRule="exact"/>
        <w:ind w:firstLine="640"/>
        <w:jc w:val="both"/>
      </w:pPr>
      <w:r>
        <w:rPr>
          <w:rFonts w:ascii="仿宋_GB2312" w:hAnsi="仿宋_GB2312" w:eastAsia="仿宋_GB2312"/>
          <w:b w:val="0"/>
          <w:sz w:val="32"/>
        </w:rPr>
        <w:t>收入支出总体与上年相比，减少3,658.44万元，下降50.64%，主要原因是：本年减少麦盖提县中医医院综合楼建设项目，导致经费较上年减少。</w:t>
      </w:r>
    </w:p>
    <w:p w14:paraId="695FC857">
      <w:pPr>
        <w:spacing w:line="640" w:lineRule="exact"/>
        <w:ind w:firstLine="640"/>
        <w:jc w:val="both"/>
        <w:outlineLvl w:val="2"/>
      </w:pPr>
      <w:r>
        <w:rPr>
          <w:rFonts w:ascii="黑体" w:hAnsi="黑体" w:eastAsia="黑体"/>
          <w:sz w:val="32"/>
        </w:rPr>
        <w:t>二、收入决算情况说明</w:t>
      </w:r>
    </w:p>
    <w:p w14:paraId="10290759">
      <w:pPr>
        <w:spacing w:line="580" w:lineRule="exact"/>
        <w:ind w:firstLine="640"/>
        <w:jc w:val="both"/>
      </w:pPr>
      <w:r>
        <w:rPr>
          <w:rFonts w:ascii="仿宋_GB2312" w:hAnsi="仿宋_GB2312" w:eastAsia="仿宋_GB2312"/>
          <w:b/>
          <w:sz w:val="32"/>
        </w:rPr>
        <w:t>本年收入3,499.92万元，</w:t>
      </w:r>
      <w:r>
        <w:rPr>
          <w:rFonts w:ascii="仿宋_GB2312" w:hAnsi="仿宋_GB2312" w:eastAsia="仿宋_GB2312"/>
          <w:b w:val="0"/>
          <w:sz w:val="32"/>
        </w:rPr>
        <w:t>其中：财政拨款收入803.54万元，占22.96%；上级补助收入0.00万元，占0.00%；事业收入1,308.21万元，占37.38%；经营收入0.00万元，占0.00%；附属单位上缴收入0.00万元，占0.00%；其他收入1,388.17万元，占39.66%。</w:t>
      </w:r>
    </w:p>
    <w:p w14:paraId="08C40D0F">
      <w:pPr>
        <w:spacing w:line="640" w:lineRule="exact"/>
        <w:ind w:firstLine="640"/>
        <w:jc w:val="both"/>
        <w:outlineLvl w:val="2"/>
      </w:pPr>
      <w:r>
        <w:rPr>
          <w:rFonts w:ascii="黑体" w:hAnsi="黑体" w:eastAsia="黑体"/>
          <w:sz w:val="32"/>
        </w:rPr>
        <w:t>三、支出决算情况说明</w:t>
      </w:r>
    </w:p>
    <w:p w14:paraId="38D3EF39">
      <w:pPr>
        <w:spacing w:line="580" w:lineRule="exact"/>
        <w:ind w:firstLine="640"/>
        <w:jc w:val="both"/>
      </w:pPr>
      <w:r>
        <w:rPr>
          <w:rFonts w:ascii="仿宋_GB2312" w:hAnsi="仿宋_GB2312" w:eastAsia="仿宋_GB2312"/>
          <w:b/>
          <w:sz w:val="32"/>
        </w:rPr>
        <w:t>本年支出3,566.30万元，</w:t>
      </w:r>
      <w:r>
        <w:rPr>
          <w:rFonts w:ascii="仿宋_GB2312" w:hAnsi="仿宋_GB2312" w:eastAsia="仿宋_GB2312"/>
          <w:b w:val="0"/>
          <w:sz w:val="32"/>
        </w:rPr>
        <w:t>其中：基本支出1,917.95万元，占53.78%；项目支出1,648.35万元，占46.22%；上缴上级支出0.00万元，占0.00%；经营支出0.00万元，占0.00%；对附属单位补助支出0.00万元，占0.00%。</w:t>
      </w:r>
    </w:p>
    <w:p w14:paraId="4E6892F0">
      <w:pPr>
        <w:spacing w:line="640" w:lineRule="exact"/>
        <w:ind w:firstLine="640"/>
        <w:jc w:val="both"/>
        <w:outlineLvl w:val="2"/>
      </w:pPr>
      <w:r>
        <w:rPr>
          <w:rFonts w:ascii="黑体" w:hAnsi="黑体" w:eastAsia="黑体"/>
          <w:sz w:val="32"/>
        </w:rPr>
        <w:t>四、财政拨款收入支出决算总体情况说明</w:t>
      </w:r>
    </w:p>
    <w:p w14:paraId="52D63A6F">
      <w:pPr>
        <w:spacing w:line="580" w:lineRule="exact"/>
        <w:ind w:firstLine="640"/>
        <w:jc w:val="both"/>
      </w:pPr>
      <w:r>
        <w:rPr>
          <w:rFonts w:ascii="仿宋_GB2312" w:hAnsi="仿宋_GB2312" w:eastAsia="仿宋_GB2312"/>
          <w:b/>
          <w:sz w:val="32"/>
        </w:rPr>
        <w:t>2024年度财政拨款收入总计803.54万元，</w:t>
      </w:r>
      <w:r>
        <w:rPr>
          <w:rFonts w:ascii="仿宋_GB2312" w:hAnsi="仿宋_GB2312" w:eastAsia="仿宋_GB2312"/>
          <w:b w:val="0"/>
          <w:sz w:val="32"/>
        </w:rPr>
        <w:t>其中：年初财政拨款结转和结余0.00万元，本年财政拨款收入803.54万元。</w:t>
      </w:r>
      <w:r>
        <w:rPr>
          <w:rFonts w:ascii="仿宋_GB2312" w:hAnsi="仿宋_GB2312" w:eastAsia="仿宋_GB2312"/>
          <w:b/>
          <w:sz w:val="32"/>
        </w:rPr>
        <w:t>财政拨款支出总计803.54万元，</w:t>
      </w:r>
      <w:r>
        <w:rPr>
          <w:rFonts w:ascii="仿宋_GB2312" w:hAnsi="仿宋_GB2312" w:eastAsia="仿宋_GB2312"/>
          <w:b w:val="0"/>
          <w:sz w:val="32"/>
        </w:rPr>
        <w:t>其中：年末财政拨款结转和结余0.00万元，本年财政拨款支出803.54万元。</w:t>
      </w:r>
    </w:p>
    <w:p w14:paraId="3610E5B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减少3,977.30万元，下降83.19%，主要原因是：比上年度减少了中医医院新建综合楼建设项目，导致经费较上年减少。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706.05万元，决算数803.54万元，预决算差异率13.81%，主要原因是：年中追加人员工资、社保、公积金基数调增部分资金；年中追加2024年中央财政医疗服务与保障能力提升[中医药事业传承与发展部分]补助项目、中央和自治区财政医疗服务与保障能力提升（中医药传承创新与发展）补助资金项目等，导致预决算存在差异。</w:t>
      </w:r>
    </w:p>
    <w:p w14:paraId="501A135B">
      <w:pPr>
        <w:spacing w:line="640" w:lineRule="exact"/>
        <w:ind w:firstLine="640"/>
        <w:jc w:val="both"/>
        <w:outlineLvl w:val="2"/>
      </w:pPr>
      <w:r>
        <w:rPr>
          <w:rFonts w:ascii="黑体" w:hAnsi="黑体" w:eastAsia="黑体"/>
          <w:sz w:val="32"/>
        </w:rPr>
        <w:t>五、一般公共预算财政拨款支出决算情况说明</w:t>
      </w:r>
    </w:p>
    <w:p w14:paraId="04495D3C">
      <w:pPr>
        <w:spacing w:line="640" w:lineRule="exact"/>
        <w:ind w:firstLine="640"/>
        <w:jc w:val="both"/>
        <w:outlineLvl w:val="3"/>
      </w:pPr>
      <w:r>
        <w:rPr>
          <w:rFonts w:ascii="楷体_GB2312" w:hAnsi="楷体_GB2312" w:eastAsia="楷体_GB2312"/>
          <w:b/>
          <w:sz w:val="32"/>
        </w:rPr>
        <w:t>（一）一般公共预算财政拨款支出决算总体情况</w:t>
      </w:r>
    </w:p>
    <w:p w14:paraId="751D0F6F">
      <w:pPr>
        <w:spacing w:line="580" w:lineRule="exact"/>
        <w:ind w:firstLine="640"/>
        <w:jc w:val="both"/>
      </w:pPr>
      <w:r>
        <w:rPr>
          <w:rFonts w:ascii="仿宋_GB2312" w:hAnsi="仿宋_GB2312" w:eastAsia="仿宋_GB2312"/>
          <w:b/>
          <w:sz w:val="32"/>
        </w:rPr>
        <w:t>2024年度一般公共预算财政拨款支出803.54万元，</w:t>
      </w:r>
      <w:r>
        <w:rPr>
          <w:rFonts w:ascii="仿宋_GB2312" w:hAnsi="仿宋_GB2312" w:eastAsia="仿宋_GB2312"/>
          <w:b w:val="0"/>
          <w:sz w:val="32"/>
        </w:rPr>
        <w:t>占本年支出合计的22.53%。</w:t>
      </w:r>
      <w:r>
        <w:rPr>
          <w:rFonts w:ascii="仿宋_GB2312" w:hAnsi="仿宋_GB2312" w:eastAsia="仿宋_GB2312"/>
          <w:b/>
          <w:sz w:val="32"/>
        </w:rPr>
        <w:t>与上年相比，</w:t>
      </w:r>
      <w:r>
        <w:rPr>
          <w:rFonts w:ascii="仿宋_GB2312" w:hAnsi="仿宋_GB2312" w:eastAsia="仿宋_GB2312"/>
          <w:b w:val="0"/>
          <w:sz w:val="32"/>
        </w:rPr>
        <w:t>增加22.70万元，增长2.91%，主要原因是：本年在职人员工资调薪，工资、社保、公积金等相关人员经费增加；增加2024年中央财政医疗服务与保障能力提升[中医药事业传承与发展部分]补助项目、中央和自治区财政医疗服务与保障能力提升（中医药传承创新与发展）补助资金项目等。</w:t>
      </w:r>
      <w:r>
        <w:rPr>
          <w:rFonts w:ascii="仿宋_GB2312" w:hAnsi="仿宋_GB2312" w:eastAsia="仿宋_GB2312"/>
          <w:b/>
          <w:sz w:val="32"/>
        </w:rPr>
        <w:t>与年初预算相比,</w:t>
      </w:r>
      <w:r>
        <w:rPr>
          <w:rFonts w:ascii="仿宋_GB2312" w:hAnsi="仿宋_GB2312" w:eastAsia="仿宋_GB2312"/>
          <w:b w:val="0"/>
          <w:sz w:val="32"/>
        </w:rPr>
        <w:t>年初预算数706.05万元，决算数803.54万元，预决算差异率13.81%，主要原因是：年中追加人员工资、社保、公积金基数调增部分资金；年中追加2024年中央财政医疗服务与保障能力提升[中医药事业传承与发展部分]补助项目、中央和自治区财政医疗服务与保障能力提升（中医药传承创新与发展）补助资金项目等，导致预决算存在差异。</w:t>
      </w:r>
    </w:p>
    <w:p w14:paraId="421D70AD">
      <w:pPr>
        <w:spacing w:line="640" w:lineRule="exact"/>
        <w:ind w:firstLine="640"/>
        <w:jc w:val="both"/>
        <w:outlineLvl w:val="3"/>
      </w:pPr>
      <w:r>
        <w:rPr>
          <w:rFonts w:ascii="楷体_GB2312" w:hAnsi="楷体_GB2312" w:eastAsia="楷体_GB2312"/>
          <w:b/>
          <w:sz w:val="32"/>
        </w:rPr>
        <w:t>（二）一般公共预算财政拨款支出决算结构情况</w:t>
      </w:r>
    </w:p>
    <w:p w14:paraId="00A0EB36">
      <w:pPr>
        <w:spacing w:line="580" w:lineRule="exact"/>
        <w:ind w:firstLine="640"/>
        <w:jc w:val="both"/>
      </w:pPr>
      <w:r>
        <w:rPr>
          <w:rFonts w:ascii="仿宋_GB2312" w:hAnsi="仿宋_GB2312" w:eastAsia="仿宋_GB2312"/>
          <w:b w:val="0"/>
          <w:sz w:val="32"/>
        </w:rPr>
        <w:t>1.社会保障和就业支出(类)71.84万元,占8.94%。</w:t>
      </w:r>
    </w:p>
    <w:p w14:paraId="0E8A71D0">
      <w:pPr>
        <w:spacing w:line="580" w:lineRule="exact"/>
        <w:ind w:firstLine="640"/>
        <w:jc w:val="both"/>
      </w:pPr>
      <w:r>
        <w:rPr>
          <w:rFonts w:ascii="仿宋_GB2312" w:hAnsi="仿宋_GB2312" w:eastAsia="仿宋_GB2312"/>
          <w:b w:val="0"/>
          <w:sz w:val="32"/>
        </w:rPr>
        <w:t>2.卫生健康支出(类)731.70万元,占91.06%。</w:t>
      </w:r>
    </w:p>
    <w:p w14:paraId="636E21BD">
      <w:pPr>
        <w:spacing w:line="640" w:lineRule="exact"/>
        <w:ind w:firstLine="640"/>
        <w:jc w:val="both"/>
        <w:outlineLvl w:val="3"/>
      </w:pPr>
      <w:r>
        <w:rPr>
          <w:rFonts w:ascii="楷体_GB2312" w:hAnsi="楷体_GB2312" w:eastAsia="楷体_GB2312"/>
          <w:b/>
          <w:sz w:val="32"/>
        </w:rPr>
        <w:t>（三）一般公共预算财政拨款支出决算具体情况</w:t>
      </w:r>
    </w:p>
    <w:p w14:paraId="6AB9574A">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57.13万元，比上年决算增加1.85万元，增长3.35%,主要原因是：本年在职人员工资基数调增，养老缴费基数上涨，相应支出增加。</w:t>
      </w:r>
    </w:p>
    <w:p w14:paraId="277EAB9F">
      <w:pPr>
        <w:spacing w:line="580" w:lineRule="exact"/>
        <w:ind w:firstLine="640"/>
        <w:jc w:val="both"/>
      </w:pPr>
      <w:r>
        <w:rPr>
          <w:rFonts w:ascii="仿宋_GB2312" w:hAnsi="仿宋_GB2312" w:eastAsia="仿宋_GB2312"/>
          <w:b w:val="0"/>
          <w:sz w:val="32"/>
        </w:rPr>
        <w:t>2.社会保障和就业支出(类)行政事业单位养老支出(款)机关事业单位职业年金缴费支出(项):支出决算数为14.70万元，比上年决算增加7.48万元，增长103.60%,主要原因是：本年支付上年未支付的新退休人员职业年金，导致职业年金缴费支出增加。</w:t>
      </w:r>
    </w:p>
    <w:p w14:paraId="5887D933">
      <w:pPr>
        <w:spacing w:line="580" w:lineRule="exact"/>
        <w:ind w:firstLine="640"/>
        <w:jc w:val="both"/>
      </w:pPr>
      <w:r>
        <w:rPr>
          <w:rFonts w:ascii="仿宋_GB2312" w:hAnsi="仿宋_GB2312" w:eastAsia="仿宋_GB2312"/>
          <w:b w:val="0"/>
          <w:sz w:val="32"/>
        </w:rPr>
        <w:t>3.卫生健康支出(类)卫生健康管理事务(款)其他卫生健康管理事务支出(项):支出决算数为143.80万元，比上年决算增加80.60万元，增长127.53%,主要原因是：本年增加中央和自治区财政医疗服务与保障能力提升（中医药传承创新与发展）补助资金项目。</w:t>
      </w:r>
    </w:p>
    <w:p w14:paraId="7CD5ACA1">
      <w:pPr>
        <w:spacing w:line="580" w:lineRule="exact"/>
        <w:ind w:firstLine="640"/>
        <w:jc w:val="both"/>
      </w:pPr>
      <w:r>
        <w:rPr>
          <w:rFonts w:ascii="仿宋_GB2312" w:hAnsi="仿宋_GB2312" w:eastAsia="仿宋_GB2312"/>
          <w:b w:val="0"/>
          <w:sz w:val="32"/>
        </w:rPr>
        <w:t>4.卫生健康支出(类)公立医院(款)中医（民族）医院(项):支出决算数为537.90万元，比上年决算增加32.76万元，增长6.49%,主要原因是：本年在职人员工资调薪，相关人员经费增加。</w:t>
      </w:r>
    </w:p>
    <w:p w14:paraId="52C18665">
      <w:pPr>
        <w:spacing w:line="580" w:lineRule="exact"/>
        <w:ind w:firstLine="640"/>
        <w:jc w:val="both"/>
      </w:pPr>
      <w:r>
        <w:rPr>
          <w:rFonts w:ascii="仿宋_GB2312" w:hAnsi="仿宋_GB2312" w:eastAsia="仿宋_GB2312"/>
          <w:b w:val="0"/>
          <w:sz w:val="32"/>
        </w:rPr>
        <w:t>5.卫生健康支出(类)中医药(款)中医（民族医）药专项(项):支出决算数为0.00万元，比上年决算减少150.00万元，下降100.00%,主要原因是：本年减少了医疗服务与保障能力提升中医（民族医）药项目，导致相关经费减少。</w:t>
      </w:r>
    </w:p>
    <w:p w14:paraId="46E084DB">
      <w:pPr>
        <w:spacing w:line="580" w:lineRule="exact"/>
        <w:ind w:firstLine="640"/>
        <w:jc w:val="both"/>
      </w:pPr>
      <w:r>
        <w:rPr>
          <w:rFonts w:ascii="仿宋_GB2312" w:hAnsi="仿宋_GB2312" w:eastAsia="仿宋_GB2312"/>
          <w:b w:val="0"/>
          <w:sz w:val="32"/>
        </w:rPr>
        <w:t>6.卫生健康支出(类)中医药事务(款)中医（民族医）药专项(项):支出决算数为50.00万元，比上年决算增加50.00万元，增长100.00%,主要原因是：本年增加2024年中央财政医疗服务与保障能力提升[中医药事业传承与发展部分]补助项目，导致相关经费增加。</w:t>
      </w:r>
    </w:p>
    <w:p w14:paraId="5B0B8B46">
      <w:pPr>
        <w:spacing w:line="640" w:lineRule="exact"/>
        <w:ind w:firstLine="640"/>
        <w:jc w:val="both"/>
        <w:outlineLvl w:val="2"/>
      </w:pPr>
      <w:r>
        <w:rPr>
          <w:rFonts w:ascii="黑体" w:hAnsi="黑体" w:eastAsia="黑体"/>
          <w:sz w:val="32"/>
        </w:rPr>
        <w:t>六、一般公共预算财政拨款基本支出决算情况说明</w:t>
      </w:r>
    </w:p>
    <w:p w14:paraId="1C1F23E6">
      <w:pPr>
        <w:spacing w:line="580" w:lineRule="exact"/>
        <w:ind w:firstLine="640"/>
        <w:jc w:val="both"/>
      </w:pPr>
      <w:r>
        <w:rPr>
          <w:rFonts w:ascii="仿宋_GB2312" w:hAnsi="仿宋_GB2312" w:eastAsia="仿宋_GB2312"/>
          <w:b w:val="0"/>
          <w:sz w:val="32"/>
        </w:rPr>
        <w:t>2024年度一般公共预算财政拨款基本支出609.74万元，其中：</w:t>
      </w:r>
      <w:r>
        <w:rPr>
          <w:rFonts w:ascii="仿宋_GB2312" w:hAnsi="仿宋_GB2312" w:eastAsia="仿宋_GB2312"/>
          <w:b/>
          <w:sz w:val="32"/>
        </w:rPr>
        <w:t>人员经费609.74万元，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包括：基本工资、津贴补贴、奖金、绩效工资、机关事业单位基本养老保险缴费、职业年金缴费、职工基本医疗保险缴费、其他社会保障缴费、住房公积金、退休费、抚恤金、生活补助。</w:t>
      </w:r>
    </w:p>
    <w:p w14:paraId="08BC1F8C">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01663455">
      <w:pPr>
        <w:spacing w:line="640" w:lineRule="exact"/>
        <w:ind w:firstLine="640"/>
        <w:jc w:val="both"/>
        <w:outlineLvl w:val="2"/>
      </w:pPr>
      <w:r>
        <w:rPr>
          <w:rFonts w:ascii="黑体" w:hAnsi="黑体" w:eastAsia="黑体"/>
          <w:sz w:val="32"/>
        </w:rPr>
        <w:t>七、政府性基金预算财政拨款收入支出决算情况说明</w:t>
      </w:r>
    </w:p>
    <w:p w14:paraId="14C31154">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18F7E944">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减少4,000.00万元，下降100.00%，主要原因是：本年减少麦盖提县中医医院综合楼建设项目，导致经费较上年减少。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年初预算数0.00万元，决算数0.00万元，预决算差异率0.00%，主要原因是：严格按照预算执行，预决算无差异。</w:t>
      </w:r>
    </w:p>
    <w:p w14:paraId="5D759650">
      <w:pPr>
        <w:spacing w:line="580" w:lineRule="exact"/>
        <w:ind w:firstLine="640"/>
        <w:jc w:val="both"/>
      </w:pPr>
      <w:r>
        <w:rPr>
          <w:rFonts w:ascii="仿宋_GB2312" w:hAnsi="仿宋_GB2312" w:eastAsia="仿宋_GB2312"/>
          <w:b w:val="0"/>
          <w:sz w:val="32"/>
        </w:rPr>
        <w:t>政府性基金预算财政拨款支出0.00万元。</w:t>
      </w:r>
    </w:p>
    <w:p w14:paraId="27D5DF3D">
      <w:pPr>
        <w:spacing w:line="580" w:lineRule="exact"/>
        <w:ind w:firstLine="640"/>
        <w:jc w:val="both"/>
      </w:pPr>
      <w:r>
        <w:rPr>
          <w:rFonts w:ascii="仿宋_GB2312" w:hAnsi="仿宋_GB2312" w:eastAsia="仿宋_GB2312"/>
          <w:b w:val="0"/>
          <w:sz w:val="32"/>
        </w:rPr>
        <w:t>1.其他支出(类)其他政府性基金及对应专项债务收入安排的支出(款)其他地方自行试点项目收益专项债券收入安排的支出(项):支出决算数为0.00万元，比上年决算减少4,000.00万元，下降100.00%,主要原因是：本年减少麦盖提县中医医院综合楼建设项目，导致经费较上年减少。</w:t>
      </w:r>
    </w:p>
    <w:p w14:paraId="5E9A1EC0">
      <w:pPr>
        <w:spacing w:line="640" w:lineRule="exact"/>
        <w:ind w:firstLine="640"/>
        <w:jc w:val="both"/>
        <w:outlineLvl w:val="2"/>
      </w:pPr>
      <w:r>
        <w:rPr>
          <w:rFonts w:ascii="黑体" w:hAnsi="黑体" w:eastAsia="黑体"/>
          <w:sz w:val="32"/>
        </w:rPr>
        <w:t>八、国有资本经营预算财政拨款收入支出决算情况说明</w:t>
      </w:r>
    </w:p>
    <w:p w14:paraId="405A0E9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0D9F7C9">
      <w:pPr>
        <w:spacing w:line="640" w:lineRule="exact"/>
        <w:ind w:firstLine="640"/>
        <w:jc w:val="both"/>
        <w:outlineLvl w:val="2"/>
      </w:pPr>
      <w:r>
        <w:rPr>
          <w:rFonts w:ascii="黑体" w:hAnsi="黑体" w:eastAsia="黑体"/>
          <w:sz w:val="32"/>
        </w:rPr>
        <w:t>九、财政拨款“三公”经费支出决算情况说明</w:t>
      </w:r>
    </w:p>
    <w:p w14:paraId="4E0FA35C">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DA84449">
      <w:pPr>
        <w:spacing w:line="580" w:lineRule="exact"/>
        <w:ind w:firstLine="640"/>
        <w:jc w:val="both"/>
      </w:pPr>
      <w:r>
        <w:rPr>
          <w:rFonts w:ascii="仿宋_GB2312" w:hAnsi="仿宋_GB2312" w:eastAsia="仿宋_GB2312"/>
          <w:b/>
          <w:sz w:val="32"/>
        </w:rPr>
        <w:t>具体情况如下：</w:t>
      </w:r>
    </w:p>
    <w:p w14:paraId="2CFF344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A4B9FDB">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单位业务用车，车辆费用未使用财政拨款公务用车运行维护费支付，使用单位自有资金支出。</w:t>
      </w:r>
    </w:p>
    <w:p w14:paraId="319DD9A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32750E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7B384EB">
      <w:pPr>
        <w:spacing w:line="640" w:lineRule="exact"/>
        <w:ind w:firstLine="640"/>
        <w:jc w:val="both"/>
        <w:outlineLvl w:val="2"/>
      </w:pPr>
      <w:r>
        <w:rPr>
          <w:rFonts w:ascii="黑体" w:hAnsi="黑体" w:eastAsia="黑体"/>
          <w:sz w:val="32"/>
        </w:rPr>
        <w:t>十、其他重要事项的情况说明</w:t>
      </w:r>
    </w:p>
    <w:p w14:paraId="1E297E6D">
      <w:pPr>
        <w:spacing w:line="640" w:lineRule="exact"/>
        <w:ind w:firstLine="640"/>
        <w:jc w:val="both"/>
        <w:outlineLvl w:val="3"/>
      </w:pPr>
      <w:r>
        <w:rPr>
          <w:rFonts w:ascii="楷体_GB2312" w:hAnsi="楷体_GB2312" w:eastAsia="楷体_GB2312"/>
          <w:b/>
          <w:sz w:val="32"/>
        </w:rPr>
        <w:t>（一）机关运行经费及公用经费支出情况</w:t>
      </w:r>
    </w:p>
    <w:p w14:paraId="3B3BDA22">
      <w:pPr>
        <w:spacing w:line="580" w:lineRule="exact"/>
        <w:ind w:firstLine="640"/>
        <w:jc w:val="both"/>
      </w:pPr>
      <w:r>
        <w:rPr>
          <w:rFonts w:ascii="仿宋_GB2312" w:hAnsi="仿宋_GB2312" w:eastAsia="仿宋_GB2312"/>
          <w:b w:val="0"/>
          <w:sz w:val="32"/>
        </w:rPr>
        <w:t>2024年度麦盖提县维吾尔医医院（事业单位）公用经费支出0.00万元，比上年增加0.00万元，增长0.00%，主要原因是：2023年与2024年均未安排公用经费支出。</w:t>
      </w:r>
    </w:p>
    <w:p w14:paraId="072E360F">
      <w:pPr>
        <w:spacing w:line="640" w:lineRule="exact"/>
        <w:ind w:firstLine="640"/>
        <w:jc w:val="both"/>
        <w:outlineLvl w:val="3"/>
      </w:pPr>
      <w:r>
        <w:rPr>
          <w:rFonts w:ascii="楷体_GB2312" w:hAnsi="楷体_GB2312" w:eastAsia="楷体_GB2312"/>
          <w:b/>
          <w:sz w:val="32"/>
        </w:rPr>
        <w:t>（二）政府采购情况</w:t>
      </w:r>
    </w:p>
    <w:p w14:paraId="399863A7">
      <w:pPr>
        <w:spacing w:line="580" w:lineRule="exact"/>
        <w:ind w:firstLine="640"/>
        <w:jc w:val="both"/>
      </w:pPr>
      <w:r>
        <w:rPr>
          <w:rFonts w:ascii="仿宋_GB2312" w:hAnsi="仿宋_GB2312" w:eastAsia="仿宋_GB2312"/>
          <w:b w:val="0"/>
          <w:sz w:val="32"/>
        </w:rPr>
        <w:t>2024年度政府采购支出总额1,359.95万元，其中：政府采购货物支出1,318.71万元、政府采购工程支出19.80万元、政府采购服务支出21.44万元。</w:t>
      </w:r>
    </w:p>
    <w:p w14:paraId="0CEDDEDF">
      <w:pPr>
        <w:spacing w:line="580" w:lineRule="exact"/>
        <w:ind w:firstLine="640"/>
        <w:jc w:val="both"/>
      </w:pPr>
      <w:r>
        <w:rPr>
          <w:rFonts w:ascii="仿宋_GB2312" w:hAnsi="仿宋_GB2312" w:eastAsia="仿宋_GB2312"/>
          <w:b w:val="0"/>
          <w:sz w:val="32"/>
        </w:rPr>
        <w:t>授予中小企业合同金额465.51万元，占政府采购支出总额的34.23%，其中：授予小微企业合同金额465.51万元，占政府采购支出总额的34.23%。</w:t>
      </w:r>
    </w:p>
    <w:p w14:paraId="3B90AF97">
      <w:pPr>
        <w:spacing w:line="640" w:lineRule="exact"/>
        <w:ind w:firstLine="640"/>
        <w:jc w:val="both"/>
        <w:outlineLvl w:val="3"/>
      </w:pPr>
      <w:r>
        <w:rPr>
          <w:rFonts w:ascii="楷体_GB2312" w:hAnsi="楷体_GB2312" w:eastAsia="楷体_GB2312"/>
          <w:b/>
          <w:sz w:val="32"/>
        </w:rPr>
        <w:t>（三）国有资产占用情况说明</w:t>
      </w:r>
    </w:p>
    <w:p w14:paraId="160AA296">
      <w:pPr>
        <w:spacing w:line="580" w:lineRule="exact"/>
        <w:ind w:firstLine="640"/>
        <w:jc w:val="both"/>
      </w:pPr>
      <w:r>
        <w:rPr>
          <w:rFonts w:ascii="仿宋_GB2312" w:hAnsi="仿宋_GB2312" w:eastAsia="仿宋_GB2312"/>
          <w:b w:val="0"/>
          <w:sz w:val="32"/>
        </w:rPr>
        <w:t>截至2024年12月31日，房屋20,672.89平方米，价值6,645.90万元。车辆2辆，价值39.20万元，其中：副部（省）级及以上领导用车0辆、主要负责人用车0辆、机要通信用车0辆、应急保障用车0辆、执法执勤用车0辆、特种专业技术用车2辆、离退休干部服务用车0辆、其他用车0辆，其他用车主要是：本单位无其他用车。单价100万元（含）以上设备（不含车辆）4台（套）。</w:t>
      </w:r>
    </w:p>
    <w:p w14:paraId="1B87E903">
      <w:pPr>
        <w:spacing w:line="640" w:lineRule="exact"/>
        <w:ind w:firstLine="640"/>
        <w:jc w:val="both"/>
        <w:outlineLvl w:val="2"/>
      </w:pPr>
      <w:r>
        <w:rPr>
          <w:rFonts w:ascii="黑体" w:hAnsi="黑体" w:eastAsia="黑体"/>
          <w:sz w:val="32"/>
        </w:rPr>
        <w:t>十一、预算绩效的情况说明</w:t>
      </w:r>
    </w:p>
    <w:p w14:paraId="1002546F">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3,818.13万元，实际执行总额3,566.30万元；预算绩效评价项目1个，全年预算数7.00万元，全年执行数7.00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作用。二是严格按照工作职责和相关文件依据，确保专款专用。三是严格控制资金的流出方向，确保资金的合规性。发现的问题及原因：一是 预算绩效管理有待提升，预算绩效管理水平不够。二是目标约束力不够强，绩效理念树立尚不牢固，项目绩效目标确定后指标值的设置缺乏弹性。三是项目相关受益群体的满意度指标设置不够科学，自评报告质量有待提高。下一步改进措施：一是加强学习，进一步明确如何参照考核体系，科学合理设定绩效目标，充分发挥预算绩效管理工作效用。二是财务上会计核算要更加详细，为本单位各项工作的开展、总结、评估提供有效数据资料支撑,为各项业务工作更好地开展提供帮助。三是从源头上强化对专项资金预算管理，实行专项资金预算管理，结合单位实际,按轻重缓急统筹安排编制预算,提高预算编制科学性和合理性，优化资金结构。具体附整体支出绩效自评表，项目支出绩效自评表和评价报告。</w:t>
      </w:r>
    </w:p>
    <w:p w14:paraId="3DE3A5AB">
      <w:r>
        <w:br w:type="page"/>
      </w:r>
    </w:p>
    <w:tbl>
      <w:tblPr>
        <w:tblStyle w:val="9"/>
        <w:tblW w:w="0" w:type="auto"/>
        <w:tblInd w:w="0" w:type="dxa"/>
        <w:tblLayout w:type="fixed"/>
        <w:tblCellMar>
          <w:top w:w="0" w:type="dxa"/>
          <w:left w:w="108" w:type="dxa"/>
          <w:bottom w:w="0" w:type="dxa"/>
          <w:right w:w="108" w:type="dxa"/>
        </w:tblCellMar>
      </w:tblPr>
      <w:tblGrid>
        <w:gridCol w:w="983"/>
        <w:gridCol w:w="801"/>
        <w:gridCol w:w="1374"/>
        <w:gridCol w:w="866"/>
        <w:gridCol w:w="1227"/>
        <w:gridCol w:w="647"/>
        <w:gridCol w:w="983"/>
        <w:gridCol w:w="983"/>
        <w:gridCol w:w="983"/>
      </w:tblGrid>
      <w:tr w14:paraId="21DB1A1F">
        <w:tblPrEx>
          <w:tblCellMar>
            <w:top w:w="0" w:type="dxa"/>
            <w:left w:w="108" w:type="dxa"/>
            <w:bottom w:w="0" w:type="dxa"/>
            <w:right w:w="108" w:type="dxa"/>
          </w:tblCellMar>
        </w:tblPrEx>
        <w:tc>
          <w:tcPr>
            <w:tcW w:w="8847" w:type="dxa"/>
            <w:gridSpan w:val="9"/>
            <w:vAlign w:val="center"/>
          </w:tcPr>
          <w:p w14:paraId="2A50D8C6">
            <w:pPr>
              <w:jc w:val="center"/>
            </w:pPr>
            <w:r>
              <w:rPr>
                <w:rFonts w:ascii="宋体" w:hAnsi="宋体" w:eastAsia="宋体"/>
                <w:sz w:val="24"/>
              </w:rPr>
              <w:t>单位整体支出绩效自评表</w:t>
            </w:r>
          </w:p>
        </w:tc>
      </w:tr>
      <w:tr w14:paraId="53AD15BC">
        <w:tblPrEx>
          <w:tblCellMar>
            <w:top w:w="0" w:type="dxa"/>
            <w:left w:w="108" w:type="dxa"/>
            <w:bottom w:w="0" w:type="dxa"/>
            <w:right w:w="108" w:type="dxa"/>
          </w:tblCellMar>
        </w:tblPrEx>
        <w:tc>
          <w:tcPr>
            <w:tcW w:w="8847" w:type="dxa"/>
            <w:gridSpan w:val="9"/>
            <w:vAlign w:val="center"/>
          </w:tcPr>
          <w:p w14:paraId="781322E6">
            <w:pPr>
              <w:jc w:val="center"/>
            </w:pPr>
            <w:r>
              <w:rPr>
                <w:rFonts w:ascii="宋体" w:hAnsi="宋体" w:eastAsia="宋体"/>
                <w:sz w:val="24"/>
              </w:rPr>
              <w:t>（2024年度）</w:t>
            </w:r>
          </w:p>
        </w:tc>
      </w:tr>
      <w:tr w14:paraId="73ECB61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87296">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6AE9B56">
            <w:pPr>
              <w:jc w:val="center"/>
            </w:pPr>
            <w:r>
              <w:rPr>
                <w:rFonts w:ascii="宋体" w:hAnsi="宋体" w:eastAsia="宋体"/>
                <w:sz w:val="16"/>
              </w:rPr>
              <w:t>麦盖提县维吾尔医医院</w:t>
            </w:r>
          </w:p>
        </w:tc>
      </w:tr>
      <w:tr w14:paraId="68E8FD4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FDBE7D">
            <w:pPr>
              <w:jc w:val="center"/>
            </w:pPr>
            <w:r>
              <w:rPr>
                <w:rFonts w:ascii="宋体" w:hAnsi="宋体" w:eastAsia="宋体"/>
                <w:sz w:val="16"/>
              </w:rPr>
              <w:t>部门资金（万元）</w:t>
            </w:r>
          </w:p>
        </w:tc>
        <w:tc>
          <w:tcPr>
            <w:tcW w:w="801" w:type="dxa"/>
            <w:tcBorders>
              <w:top w:val="single" w:color="auto" w:sz="10" w:space="0"/>
              <w:left w:val="single" w:color="auto" w:sz="10" w:space="0"/>
              <w:bottom w:val="single" w:color="auto" w:sz="10" w:space="0"/>
              <w:right w:val="single" w:color="auto" w:sz="10" w:space="0"/>
              <w:insideV w:val="single" w:sz="10" w:space="0"/>
            </w:tcBorders>
            <w:vAlign w:val="center"/>
          </w:tcPr>
          <w:p w14:paraId="5C2F8FBA">
            <w:pPr>
              <w:jc w:val="center"/>
            </w:pPr>
            <w:r>
              <w:rPr>
                <w:rFonts w:ascii="宋体" w:hAnsi="宋体" w:eastAsia="宋体"/>
                <w:sz w:val="16"/>
              </w:rPr>
              <w:t>资金来源</w:t>
            </w:r>
          </w:p>
        </w:tc>
        <w:tc>
          <w:tcPr>
            <w:tcW w:w="1374" w:type="dxa"/>
            <w:tcBorders>
              <w:top w:val="single" w:color="auto" w:sz="10" w:space="0"/>
              <w:left w:val="single" w:color="auto" w:sz="10" w:space="0"/>
              <w:bottom w:val="single" w:color="auto" w:sz="10" w:space="0"/>
              <w:right w:val="single" w:color="auto" w:sz="10" w:space="0"/>
              <w:insideV w:val="single" w:sz="10" w:space="0"/>
            </w:tcBorders>
            <w:vAlign w:val="center"/>
          </w:tcPr>
          <w:p w14:paraId="341481AA">
            <w:pPr>
              <w:jc w:val="center"/>
            </w:pPr>
            <w:r>
              <w:rPr>
                <w:rFonts w:ascii="宋体" w:hAnsi="宋体" w:eastAsia="宋体"/>
                <w:sz w:val="16"/>
              </w:rPr>
              <w:t>年初预算数</w:t>
            </w:r>
          </w:p>
        </w:tc>
        <w:tc>
          <w:tcPr>
            <w:tcW w:w="866" w:type="dxa"/>
            <w:tcBorders>
              <w:top w:val="single" w:color="auto" w:sz="10" w:space="0"/>
              <w:left w:val="single" w:color="auto" w:sz="10" w:space="0"/>
              <w:bottom w:val="single" w:color="auto" w:sz="10" w:space="0"/>
              <w:right w:val="single" w:color="auto" w:sz="10" w:space="0"/>
              <w:insideV w:val="single" w:sz="10" w:space="0"/>
            </w:tcBorders>
            <w:vAlign w:val="center"/>
          </w:tcPr>
          <w:p w14:paraId="50993249">
            <w:pPr>
              <w:jc w:val="center"/>
            </w:pPr>
            <w:r>
              <w:rPr>
                <w:rFonts w:ascii="宋体" w:hAnsi="宋体" w:eastAsia="宋体"/>
                <w:sz w:val="16"/>
              </w:rPr>
              <w:t>预算数（调整后）</w:t>
            </w:r>
          </w:p>
        </w:tc>
        <w:tc>
          <w:tcPr>
            <w:tcW w:w="1227" w:type="dxa"/>
            <w:tcBorders>
              <w:top w:val="single" w:color="auto" w:sz="10" w:space="0"/>
              <w:left w:val="single" w:color="auto" w:sz="10" w:space="0"/>
              <w:bottom w:val="single" w:color="auto" w:sz="10" w:space="0"/>
              <w:right w:val="single" w:color="auto" w:sz="10" w:space="0"/>
              <w:insideV w:val="single" w:sz="10" w:space="0"/>
            </w:tcBorders>
            <w:vAlign w:val="center"/>
          </w:tcPr>
          <w:p w14:paraId="3518DAE0">
            <w:pPr>
              <w:jc w:val="center"/>
            </w:pPr>
            <w:r>
              <w:rPr>
                <w:rFonts w:ascii="宋体" w:hAnsi="宋体" w:eastAsia="宋体"/>
                <w:sz w:val="16"/>
              </w:rPr>
              <w:t>执行数</w:t>
            </w:r>
          </w:p>
        </w:tc>
        <w:tc>
          <w:tcPr>
            <w:tcW w:w="647" w:type="dxa"/>
            <w:tcBorders>
              <w:top w:val="single" w:color="auto" w:sz="10" w:space="0"/>
              <w:left w:val="single" w:color="auto" w:sz="10" w:space="0"/>
              <w:bottom w:val="single" w:color="auto" w:sz="10" w:space="0"/>
              <w:right w:val="single" w:color="auto" w:sz="10" w:space="0"/>
              <w:insideV w:val="single" w:sz="10" w:space="0"/>
            </w:tcBorders>
            <w:vAlign w:val="center"/>
          </w:tcPr>
          <w:p w14:paraId="3D9B399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F507D6">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1277F">
            <w:pPr>
              <w:jc w:val="center"/>
            </w:pPr>
            <w:r>
              <w:rPr>
                <w:rFonts w:ascii="宋体" w:hAnsi="宋体" w:eastAsia="宋体"/>
                <w:sz w:val="16"/>
              </w:rPr>
              <w:t>得分</w:t>
            </w:r>
          </w:p>
        </w:tc>
      </w:tr>
      <w:tr w14:paraId="5949274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C85984"/>
        </w:tc>
        <w:tc>
          <w:tcPr>
            <w:tcW w:w="801" w:type="dxa"/>
            <w:tcBorders>
              <w:top w:val="single" w:color="auto" w:sz="10" w:space="0"/>
              <w:left w:val="single" w:color="auto" w:sz="10" w:space="0"/>
              <w:bottom w:val="single" w:color="auto" w:sz="10" w:space="0"/>
              <w:right w:val="single" w:color="auto" w:sz="10" w:space="0"/>
              <w:insideV w:val="single" w:sz="10" w:space="0"/>
            </w:tcBorders>
            <w:vAlign w:val="center"/>
          </w:tcPr>
          <w:p w14:paraId="78CFD6A4">
            <w:pPr>
              <w:jc w:val="center"/>
            </w:pPr>
            <w:r>
              <w:rPr>
                <w:rFonts w:ascii="宋体" w:hAnsi="宋体" w:eastAsia="宋体"/>
                <w:sz w:val="16"/>
              </w:rPr>
              <w:t>年度总资金：</w:t>
            </w:r>
          </w:p>
        </w:tc>
        <w:tc>
          <w:tcPr>
            <w:tcW w:w="1374" w:type="dxa"/>
            <w:tcBorders>
              <w:top w:val="single" w:color="auto" w:sz="10" w:space="0"/>
              <w:left w:val="single" w:color="auto" w:sz="10" w:space="0"/>
              <w:bottom w:val="single" w:color="auto" w:sz="10" w:space="0"/>
              <w:right w:val="single" w:color="auto" w:sz="10" w:space="0"/>
              <w:insideV w:val="single" w:sz="10" w:space="0"/>
            </w:tcBorders>
            <w:vAlign w:val="center"/>
          </w:tcPr>
          <w:p w14:paraId="558A0083">
            <w:pPr>
              <w:jc w:val="center"/>
            </w:pPr>
            <w:r>
              <w:rPr>
                <w:rFonts w:ascii="宋体" w:hAnsi="宋体" w:eastAsia="宋体"/>
                <w:sz w:val="16"/>
              </w:rPr>
              <w:t>2,689.15</w:t>
            </w:r>
          </w:p>
        </w:tc>
        <w:tc>
          <w:tcPr>
            <w:tcW w:w="866" w:type="dxa"/>
            <w:tcBorders>
              <w:top w:val="single" w:color="auto" w:sz="10" w:space="0"/>
              <w:left w:val="single" w:color="auto" w:sz="10" w:space="0"/>
              <w:bottom w:val="single" w:color="auto" w:sz="10" w:space="0"/>
              <w:right w:val="single" w:color="auto" w:sz="10" w:space="0"/>
              <w:insideV w:val="single" w:sz="10" w:space="0"/>
            </w:tcBorders>
            <w:vAlign w:val="center"/>
          </w:tcPr>
          <w:p w14:paraId="1489DD4C">
            <w:pPr>
              <w:jc w:val="center"/>
            </w:pPr>
            <w:r>
              <w:rPr>
                <w:rFonts w:ascii="宋体" w:hAnsi="宋体" w:eastAsia="宋体"/>
                <w:sz w:val="16"/>
              </w:rPr>
              <w:t>3,818.13</w:t>
            </w:r>
          </w:p>
        </w:tc>
        <w:tc>
          <w:tcPr>
            <w:tcW w:w="1227" w:type="dxa"/>
            <w:tcBorders>
              <w:top w:val="single" w:color="auto" w:sz="10" w:space="0"/>
              <w:left w:val="single" w:color="auto" w:sz="10" w:space="0"/>
              <w:bottom w:val="single" w:color="auto" w:sz="10" w:space="0"/>
              <w:right w:val="single" w:color="auto" w:sz="10" w:space="0"/>
              <w:insideV w:val="single" w:sz="10" w:space="0"/>
            </w:tcBorders>
            <w:vAlign w:val="center"/>
          </w:tcPr>
          <w:p w14:paraId="01D1A4BE">
            <w:pPr>
              <w:jc w:val="center"/>
            </w:pPr>
            <w:r>
              <w:rPr>
                <w:rFonts w:ascii="宋体" w:hAnsi="宋体" w:eastAsia="宋体"/>
                <w:sz w:val="16"/>
              </w:rPr>
              <w:t>3,566.30</w:t>
            </w:r>
          </w:p>
        </w:tc>
        <w:tc>
          <w:tcPr>
            <w:tcW w:w="647" w:type="dxa"/>
            <w:tcBorders>
              <w:top w:val="single" w:color="auto" w:sz="10" w:space="0"/>
              <w:left w:val="single" w:color="auto" w:sz="10" w:space="0"/>
              <w:bottom w:val="single" w:color="auto" w:sz="10" w:space="0"/>
              <w:right w:val="single" w:color="auto" w:sz="10" w:space="0"/>
              <w:insideV w:val="single" w:sz="10" w:space="0"/>
            </w:tcBorders>
            <w:vAlign w:val="center"/>
          </w:tcPr>
          <w:p w14:paraId="31AB186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C9CCA">
            <w:pPr>
              <w:jc w:val="center"/>
            </w:pPr>
            <w:r>
              <w:rPr>
                <w:rFonts w:ascii="宋体" w:hAnsi="宋体" w:eastAsia="宋体"/>
                <w:sz w:val="16"/>
              </w:rPr>
              <w:t>93.40%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7E545">
            <w:pPr>
              <w:jc w:val="center"/>
            </w:pPr>
            <w:r>
              <w:rPr>
                <w:rFonts w:ascii="宋体" w:hAnsi="宋体" w:eastAsia="宋体"/>
                <w:sz w:val="16"/>
              </w:rPr>
              <w:t>9.34</w:t>
            </w:r>
          </w:p>
        </w:tc>
      </w:tr>
      <w:tr w14:paraId="16CD1BF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D208AA"/>
        </w:tc>
        <w:tc>
          <w:tcPr>
            <w:tcW w:w="801" w:type="dxa"/>
            <w:tcBorders>
              <w:top w:val="single" w:color="auto" w:sz="10" w:space="0"/>
              <w:left w:val="single" w:color="auto" w:sz="10" w:space="0"/>
              <w:bottom w:val="single" w:color="auto" w:sz="10" w:space="0"/>
              <w:right w:val="single" w:color="auto" w:sz="10" w:space="0"/>
              <w:insideV w:val="single" w:sz="10" w:space="0"/>
            </w:tcBorders>
            <w:vAlign w:val="center"/>
          </w:tcPr>
          <w:p w14:paraId="0C5866CA">
            <w:pPr>
              <w:jc w:val="center"/>
            </w:pPr>
            <w:r>
              <w:rPr>
                <w:rFonts w:ascii="宋体" w:hAnsi="宋体" w:eastAsia="宋体"/>
                <w:sz w:val="16"/>
              </w:rPr>
              <w:t>上级资金：</w:t>
            </w:r>
          </w:p>
        </w:tc>
        <w:tc>
          <w:tcPr>
            <w:tcW w:w="1374" w:type="dxa"/>
            <w:tcBorders>
              <w:top w:val="single" w:color="auto" w:sz="10" w:space="0"/>
              <w:left w:val="single" w:color="auto" w:sz="10" w:space="0"/>
              <w:bottom w:val="single" w:color="auto" w:sz="10" w:space="0"/>
              <w:right w:val="single" w:color="auto" w:sz="10" w:space="0"/>
              <w:insideV w:val="single" w:sz="10" w:space="0"/>
            </w:tcBorders>
            <w:vAlign w:val="center"/>
          </w:tcPr>
          <w:p w14:paraId="353B09A8">
            <w:pPr>
              <w:jc w:val="center"/>
            </w:pPr>
            <w:r>
              <w:rPr>
                <w:rFonts w:ascii="宋体" w:hAnsi="宋体" w:eastAsia="宋体"/>
                <w:sz w:val="16"/>
              </w:rPr>
              <w:t>136.80</w:t>
            </w:r>
          </w:p>
        </w:tc>
        <w:tc>
          <w:tcPr>
            <w:tcW w:w="866" w:type="dxa"/>
            <w:tcBorders>
              <w:top w:val="single" w:color="auto" w:sz="10" w:space="0"/>
              <w:left w:val="single" w:color="auto" w:sz="10" w:space="0"/>
              <w:bottom w:val="single" w:color="auto" w:sz="10" w:space="0"/>
              <w:right w:val="single" w:color="auto" w:sz="10" w:space="0"/>
              <w:insideV w:val="single" w:sz="10" w:space="0"/>
            </w:tcBorders>
            <w:vAlign w:val="center"/>
          </w:tcPr>
          <w:p w14:paraId="11C0FC27">
            <w:pPr>
              <w:jc w:val="center"/>
            </w:pPr>
            <w:r>
              <w:rPr>
                <w:rFonts w:ascii="宋体" w:hAnsi="宋体" w:eastAsia="宋体"/>
                <w:sz w:val="16"/>
              </w:rPr>
              <w:t>229.96</w:t>
            </w:r>
          </w:p>
        </w:tc>
        <w:tc>
          <w:tcPr>
            <w:tcW w:w="1227" w:type="dxa"/>
            <w:tcBorders>
              <w:top w:val="single" w:color="auto" w:sz="10" w:space="0"/>
              <w:left w:val="single" w:color="auto" w:sz="10" w:space="0"/>
              <w:bottom w:val="single" w:color="auto" w:sz="10" w:space="0"/>
              <w:right w:val="single" w:color="auto" w:sz="10" w:space="0"/>
              <w:insideV w:val="single" w:sz="10" w:space="0"/>
            </w:tcBorders>
            <w:vAlign w:val="center"/>
          </w:tcPr>
          <w:p w14:paraId="480580CF">
            <w:pPr>
              <w:jc w:val="center"/>
            </w:pPr>
            <w:r>
              <w:rPr>
                <w:rFonts w:ascii="宋体" w:hAnsi="宋体" w:eastAsia="宋体"/>
                <w:sz w:val="16"/>
              </w:rPr>
              <w:t>229.96</w:t>
            </w:r>
          </w:p>
        </w:tc>
        <w:tc>
          <w:tcPr>
            <w:tcW w:w="647" w:type="dxa"/>
            <w:tcBorders>
              <w:top w:val="single" w:color="auto" w:sz="10" w:space="0"/>
              <w:left w:val="single" w:color="auto" w:sz="10" w:space="0"/>
              <w:bottom w:val="single" w:color="auto" w:sz="10" w:space="0"/>
              <w:right w:val="single" w:color="auto" w:sz="10" w:space="0"/>
              <w:insideV w:val="single" w:sz="10" w:space="0"/>
            </w:tcBorders>
            <w:vAlign w:val="center"/>
          </w:tcPr>
          <w:p w14:paraId="66BC27B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ED1FD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91CE4">
            <w:pPr>
              <w:jc w:val="center"/>
            </w:pPr>
            <w:r>
              <w:rPr>
                <w:rFonts w:ascii="宋体" w:hAnsi="宋体" w:eastAsia="宋体"/>
                <w:sz w:val="16"/>
              </w:rPr>
              <w:t>—</w:t>
            </w:r>
          </w:p>
        </w:tc>
      </w:tr>
      <w:tr w14:paraId="029A43F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2E9071"/>
        </w:tc>
        <w:tc>
          <w:tcPr>
            <w:tcW w:w="801" w:type="dxa"/>
            <w:tcBorders>
              <w:top w:val="single" w:color="auto" w:sz="10" w:space="0"/>
              <w:left w:val="single" w:color="auto" w:sz="10" w:space="0"/>
              <w:bottom w:val="single" w:color="auto" w:sz="10" w:space="0"/>
              <w:right w:val="single" w:color="auto" w:sz="10" w:space="0"/>
              <w:insideV w:val="single" w:sz="10" w:space="0"/>
            </w:tcBorders>
            <w:vAlign w:val="center"/>
          </w:tcPr>
          <w:p w14:paraId="176447EE">
            <w:pPr>
              <w:jc w:val="center"/>
            </w:pPr>
            <w:r>
              <w:rPr>
                <w:rFonts w:ascii="宋体" w:hAnsi="宋体" w:eastAsia="宋体"/>
                <w:sz w:val="16"/>
              </w:rPr>
              <w:t>本级资金：</w:t>
            </w:r>
          </w:p>
        </w:tc>
        <w:tc>
          <w:tcPr>
            <w:tcW w:w="1374" w:type="dxa"/>
            <w:tcBorders>
              <w:top w:val="single" w:color="auto" w:sz="10" w:space="0"/>
              <w:left w:val="single" w:color="auto" w:sz="10" w:space="0"/>
              <w:bottom w:val="single" w:color="auto" w:sz="10" w:space="0"/>
              <w:right w:val="single" w:color="auto" w:sz="10" w:space="0"/>
              <w:insideV w:val="single" w:sz="10" w:space="0"/>
            </w:tcBorders>
            <w:vAlign w:val="center"/>
          </w:tcPr>
          <w:p w14:paraId="7554A53D">
            <w:pPr>
              <w:jc w:val="center"/>
            </w:pPr>
            <w:r>
              <w:rPr>
                <w:rFonts w:ascii="宋体" w:hAnsi="宋体" w:eastAsia="宋体"/>
                <w:sz w:val="16"/>
              </w:rPr>
              <w:t>569.25</w:t>
            </w:r>
          </w:p>
        </w:tc>
        <w:tc>
          <w:tcPr>
            <w:tcW w:w="866" w:type="dxa"/>
            <w:tcBorders>
              <w:top w:val="single" w:color="auto" w:sz="10" w:space="0"/>
              <w:left w:val="single" w:color="auto" w:sz="10" w:space="0"/>
              <w:bottom w:val="single" w:color="auto" w:sz="10" w:space="0"/>
              <w:right w:val="single" w:color="auto" w:sz="10" w:space="0"/>
              <w:insideV w:val="single" w:sz="10" w:space="0"/>
            </w:tcBorders>
            <w:vAlign w:val="center"/>
          </w:tcPr>
          <w:p w14:paraId="2E23BA36">
            <w:pPr>
              <w:jc w:val="center"/>
            </w:pPr>
            <w:r>
              <w:rPr>
                <w:rFonts w:ascii="宋体" w:hAnsi="宋体" w:eastAsia="宋体"/>
                <w:sz w:val="16"/>
              </w:rPr>
              <w:t>723.87</w:t>
            </w:r>
          </w:p>
        </w:tc>
        <w:tc>
          <w:tcPr>
            <w:tcW w:w="1227" w:type="dxa"/>
            <w:tcBorders>
              <w:top w:val="single" w:color="auto" w:sz="10" w:space="0"/>
              <w:left w:val="single" w:color="auto" w:sz="10" w:space="0"/>
              <w:bottom w:val="single" w:color="auto" w:sz="10" w:space="0"/>
              <w:right w:val="single" w:color="auto" w:sz="10" w:space="0"/>
              <w:insideV w:val="single" w:sz="10" w:space="0"/>
            </w:tcBorders>
            <w:vAlign w:val="center"/>
          </w:tcPr>
          <w:p w14:paraId="29264048">
            <w:pPr>
              <w:jc w:val="center"/>
            </w:pPr>
            <w:r>
              <w:rPr>
                <w:rFonts w:ascii="宋体" w:hAnsi="宋体" w:eastAsia="宋体"/>
                <w:sz w:val="16"/>
              </w:rPr>
              <w:t>723.57</w:t>
            </w:r>
          </w:p>
        </w:tc>
        <w:tc>
          <w:tcPr>
            <w:tcW w:w="647" w:type="dxa"/>
            <w:tcBorders>
              <w:top w:val="single" w:color="auto" w:sz="10" w:space="0"/>
              <w:left w:val="single" w:color="auto" w:sz="10" w:space="0"/>
              <w:bottom w:val="single" w:color="auto" w:sz="10" w:space="0"/>
              <w:right w:val="single" w:color="auto" w:sz="10" w:space="0"/>
              <w:insideV w:val="single" w:sz="10" w:space="0"/>
            </w:tcBorders>
            <w:vAlign w:val="center"/>
          </w:tcPr>
          <w:p w14:paraId="43E5BBD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1CA0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3103C">
            <w:pPr>
              <w:jc w:val="center"/>
            </w:pPr>
            <w:r>
              <w:rPr>
                <w:rFonts w:ascii="宋体" w:hAnsi="宋体" w:eastAsia="宋体"/>
                <w:sz w:val="16"/>
              </w:rPr>
              <w:t>—</w:t>
            </w:r>
          </w:p>
        </w:tc>
      </w:tr>
      <w:tr w14:paraId="08F4FCF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7D4D67"/>
        </w:tc>
        <w:tc>
          <w:tcPr>
            <w:tcW w:w="801" w:type="dxa"/>
            <w:tcBorders>
              <w:top w:val="single" w:color="auto" w:sz="10" w:space="0"/>
              <w:left w:val="single" w:color="auto" w:sz="10" w:space="0"/>
              <w:bottom w:val="single" w:color="auto" w:sz="10" w:space="0"/>
              <w:right w:val="single" w:color="auto" w:sz="10" w:space="0"/>
              <w:insideV w:val="single" w:sz="10" w:space="0"/>
            </w:tcBorders>
            <w:vAlign w:val="center"/>
          </w:tcPr>
          <w:p w14:paraId="6E054DCB">
            <w:pPr>
              <w:jc w:val="center"/>
            </w:pPr>
            <w:r>
              <w:rPr>
                <w:rFonts w:ascii="宋体" w:hAnsi="宋体" w:eastAsia="宋体"/>
                <w:sz w:val="16"/>
              </w:rPr>
              <w:t>其他资金：</w:t>
            </w:r>
          </w:p>
        </w:tc>
        <w:tc>
          <w:tcPr>
            <w:tcW w:w="1374" w:type="dxa"/>
            <w:tcBorders>
              <w:top w:val="single" w:color="auto" w:sz="10" w:space="0"/>
              <w:left w:val="single" w:color="auto" w:sz="10" w:space="0"/>
              <w:bottom w:val="single" w:color="auto" w:sz="10" w:space="0"/>
              <w:right w:val="single" w:color="auto" w:sz="10" w:space="0"/>
              <w:insideV w:val="single" w:sz="10" w:space="0"/>
            </w:tcBorders>
            <w:vAlign w:val="center"/>
          </w:tcPr>
          <w:p w14:paraId="2FFCC705">
            <w:pPr>
              <w:jc w:val="center"/>
            </w:pPr>
            <w:r>
              <w:rPr>
                <w:rFonts w:ascii="宋体" w:hAnsi="宋体" w:eastAsia="宋体"/>
                <w:sz w:val="16"/>
              </w:rPr>
              <w:t>1,983.10</w:t>
            </w:r>
          </w:p>
        </w:tc>
        <w:tc>
          <w:tcPr>
            <w:tcW w:w="866" w:type="dxa"/>
            <w:tcBorders>
              <w:top w:val="single" w:color="auto" w:sz="10" w:space="0"/>
              <w:left w:val="single" w:color="auto" w:sz="10" w:space="0"/>
              <w:bottom w:val="single" w:color="auto" w:sz="10" w:space="0"/>
              <w:right w:val="single" w:color="auto" w:sz="10" w:space="0"/>
              <w:insideV w:val="single" w:sz="10" w:space="0"/>
            </w:tcBorders>
            <w:vAlign w:val="center"/>
          </w:tcPr>
          <w:p w14:paraId="6ECA5992">
            <w:pPr>
              <w:jc w:val="center"/>
            </w:pPr>
            <w:r>
              <w:rPr>
                <w:rFonts w:ascii="宋体" w:hAnsi="宋体" w:eastAsia="宋体"/>
                <w:sz w:val="16"/>
              </w:rPr>
              <w:t>2,864.30</w:t>
            </w:r>
          </w:p>
        </w:tc>
        <w:tc>
          <w:tcPr>
            <w:tcW w:w="1227" w:type="dxa"/>
            <w:tcBorders>
              <w:top w:val="single" w:color="auto" w:sz="10" w:space="0"/>
              <w:left w:val="single" w:color="auto" w:sz="10" w:space="0"/>
              <w:bottom w:val="single" w:color="auto" w:sz="10" w:space="0"/>
              <w:right w:val="single" w:color="auto" w:sz="10" w:space="0"/>
              <w:insideV w:val="single" w:sz="10" w:space="0"/>
            </w:tcBorders>
            <w:vAlign w:val="center"/>
          </w:tcPr>
          <w:p w14:paraId="038F7C99">
            <w:pPr>
              <w:jc w:val="center"/>
            </w:pPr>
            <w:r>
              <w:rPr>
                <w:rFonts w:ascii="宋体" w:hAnsi="宋体" w:eastAsia="宋体"/>
                <w:sz w:val="16"/>
              </w:rPr>
              <w:t>2,612.77</w:t>
            </w:r>
          </w:p>
        </w:tc>
        <w:tc>
          <w:tcPr>
            <w:tcW w:w="647" w:type="dxa"/>
            <w:tcBorders>
              <w:top w:val="single" w:color="auto" w:sz="10" w:space="0"/>
              <w:left w:val="single" w:color="auto" w:sz="10" w:space="0"/>
              <w:bottom w:val="single" w:color="auto" w:sz="10" w:space="0"/>
              <w:right w:val="single" w:color="auto" w:sz="10" w:space="0"/>
              <w:insideV w:val="single" w:sz="10" w:space="0"/>
            </w:tcBorders>
            <w:vAlign w:val="center"/>
          </w:tcPr>
          <w:p w14:paraId="534D6C0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59A12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F1538">
            <w:pPr>
              <w:jc w:val="center"/>
            </w:pPr>
            <w:r>
              <w:rPr>
                <w:rFonts w:ascii="宋体" w:hAnsi="宋体" w:eastAsia="宋体"/>
                <w:sz w:val="16"/>
              </w:rPr>
              <w:t>—</w:t>
            </w:r>
          </w:p>
        </w:tc>
      </w:tr>
      <w:tr w14:paraId="12C6E37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4F0379">
            <w:pPr>
              <w:jc w:val="center"/>
            </w:pPr>
            <w:r>
              <w:rPr>
                <w:rFonts w:ascii="宋体" w:hAnsi="宋体" w:eastAsia="宋体"/>
                <w:sz w:val="16"/>
              </w:rPr>
              <w:t>年度总体目标</w:t>
            </w:r>
          </w:p>
        </w:tc>
        <w:tc>
          <w:tcPr>
            <w:tcW w:w="304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427F9FE">
            <w:pPr>
              <w:jc w:val="center"/>
            </w:pPr>
            <w:r>
              <w:rPr>
                <w:rFonts w:ascii="宋体" w:hAnsi="宋体" w:eastAsia="宋体"/>
                <w:sz w:val="16"/>
              </w:rPr>
              <w:t>预期目标</w:t>
            </w:r>
          </w:p>
        </w:tc>
        <w:tc>
          <w:tcPr>
            <w:tcW w:w="482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125781">
            <w:pPr>
              <w:jc w:val="center"/>
              <w:rPr>
                <w:rFonts w:hint="eastAsia" w:eastAsia="宋体"/>
                <w:lang w:eastAsia="zh-CN"/>
              </w:rPr>
            </w:pPr>
            <w:r>
              <w:rPr>
                <w:rFonts w:hint="eastAsia" w:ascii="宋体" w:hAnsi="宋体"/>
                <w:sz w:val="16"/>
                <w:lang w:eastAsia="zh-CN"/>
              </w:rPr>
              <w:t>实际完成情况</w:t>
            </w:r>
          </w:p>
        </w:tc>
      </w:tr>
      <w:tr w14:paraId="54D9F6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48599C"/>
        </w:tc>
        <w:tc>
          <w:tcPr>
            <w:tcW w:w="304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3BDA913">
            <w:pPr>
              <w:jc w:val="both"/>
            </w:pPr>
            <w:r>
              <w:rPr>
                <w:rFonts w:ascii="宋体" w:hAnsi="宋体" w:eastAsia="宋体"/>
                <w:sz w:val="16"/>
              </w:rPr>
              <w:t>本单位主要负责以中医中药为主，为人民身体健康提供中西医医疗、预防、保健、康复等医疗卫生服务，并开展医务人员业务培训。业务范围:内科、外科、妇科、皮肤科、康复科、急诊科等临床科室，采用维西医结合的特殊方法治疗各种皮肤病如白癜风、牛皮癣、神经性皮炎、过敏性皮炎、黑斑、带状疱疹、斑疹、斑秃，颈椎病，腰椎间盘突出，关节炎，高血压，冠心病，糖尿病等取得很好的疗效。维西医结合法治疗各类心血管疾病、呼吸系统疾病、消化系统疾病、各类妇科疾病有独特的维吾尔医诊疗方案。</w:t>
            </w:r>
          </w:p>
        </w:tc>
        <w:tc>
          <w:tcPr>
            <w:tcW w:w="482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3ABEB8">
            <w:pPr>
              <w:jc w:val="both"/>
            </w:pPr>
            <w:r>
              <w:rPr>
                <w:rFonts w:ascii="宋体" w:hAnsi="宋体" w:eastAsia="宋体"/>
                <w:sz w:val="16"/>
              </w:rPr>
              <w:t>2024年度部门整体支出绩效自评综合得分99.34分，评价结果为“优”。</w:t>
            </w:r>
            <w:r>
              <w:rPr>
                <w:rFonts w:hint="eastAsia" w:ascii="宋体" w:hAnsi="宋体"/>
                <w:sz w:val="16"/>
                <w:lang w:eastAsia="zh-CN"/>
              </w:rPr>
              <w:t>本单位</w:t>
            </w:r>
            <w:r>
              <w:rPr>
                <w:rFonts w:ascii="宋体" w:hAnsi="宋体" w:eastAsia="宋体"/>
                <w:sz w:val="16"/>
              </w:rPr>
              <w:t>确保全县人民中西医疗健康需求，建立与地方经济发展相适应的中西医结合医疗环境，加强中医医院标准化管理。2024年开展专业技术  培训场次 12 场次，参加人员累计达到 150 余人次，卫生专业技术人员继续医学教育覆盖率100%，治愈好转率95%，制剂楼按一人一 方配制生产 90 种，处方合格率 达 98%。</w:t>
            </w:r>
          </w:p>
        </w:tc>
      </w:tr>
      <w:tr w14:paraId="0ECD165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8EB583">
            <w:pPr>
              <w:jc w:val="center"/>
            </w:pPr>
            <w:r>
              <w:rPr>
                <w:rFonts w:ascii="宋体" w:hAnsi="宋体" w:eastAsia="宋体"/>
                <w:sz w:val="16"/>
              </w:rPr>
              <w:t>一级指标</w:t>
            </w:r>
          </w:p>
        </w:tc>
        <w:tc>
          <w:tcPr>
            <w:tcW w:w="801" w:type="dxa"/>
            <w:tcBorders>
              <w:top w:val="single" w:color="auto" w:sz="10" w:space="0"/>
              <w:left w:val="single" w:color="auto" w:sz="10" w:space="0"/>
              <w:bottom w:val="single" w:color="auto" w:sz="10" w:space="0"/>
              <w:right w:val="single" w:color="auto" w:sz="10" w:space="0"/>
              <w:insideV w:val="single" w:sz="10" w:space="0"/>
            </w:tcBorders>
            <w:vAlign w:val="center"/>
          </w:tcPr>
          <w:p w14:paraId="7B579464">
            <w:pPr>
              <w:jc w:val="center"/>
            </w:pPr>
            <w:r>
              <w:rPr>
                <w:rFonts w:ascii="宋体" w:hAnsi="宋体" w:eastAsia="宋体"/>
                <w:sz w:val="16"/>
              </w:rPr>
              <w:t>二级指标</w:t>
            </w:r>
          </w:p>
        </w:tc>
        <w:tc>
          <w:tcPr>
            <w:tcW w:w="1374" w:type="dxa"/>
            <w:tcBorders>
              <w:top w:val="single" w:color="auto" w:sz="10" w:space="0"/>
              <w:left w:val="single" w:color="auto" w:sz="10" w:space="0"/>
              <w:bottom w:val="single" w:color="auto" w:sz="10" w:space="0"/>
              <w:right w:val="single" w:color="auto" w:sz="10" w:space="0"/>
              <w:insideV w:val="single" w:sz="10" w:space="0"/>
            </w:tcBorders>
            <w:vAlign w:val="center"/>
          </w:tcPr>
          <w:p w14:paraId="0E7DE77B">
            <w:pPr>
              <w:jc w:val="center"/>
            </w:pPr>
            <w:r>
              <w:rPr>
                <w:rFonts w:ascii="宋体" w:hAnsi="宋体" w:eastAsia="宋体"/>
                <w:sz w:val="16"/>
              </w:rPr>
              <w:t>三级指标</w:t>
            </w:r>
          </w:p>
        </w:tc>
        <w:tc>
          <w:tcPr>
            <w:tcW w:w="866" w:type="dxa"/>
            <w:tcBorders>
              <w:top w:val="single" w:color="auto" w:sz="10" w:space="0"/>
              <w:left w:val="single" w:color="auto" w:sz="10" w:space="0"/>
              <w:bottom w:val="single" w:color="auto" w:sz="10" w:space="0"/>
              <w:right w:val="single" w:color="auto" w:sz="10" w:space="0"/>
              <w:insideV w:val="single" w:sz="10" w:space="0"/>
            </w:tcBorders>
            <w:vAlign w:val="center"/>
          </w:tcPr>
          <w:p w14:paraId="64971BED">
            <w:pPr>
              <w:jc w:val="center"/>
            </w:pPr>
            <w:r>
              <w:rPr>
                <w:rFonts w:ascii="宋体" w:hAnsi="宋体" w:eastAsia="宋体"/>
                <w:sz w:val="16"/>
              </w:rPr>
              <w:t>指标值</w:t>
            </w:r>
          </w:p>
        </w:tc>
        <w:tc>
          <w:tcPr>
            <w:tcW w:w="1227" w:type="dxa"/>
            <w:tcBorders>
              <w:top w:val="single" w:color="auto" w:sz="10" w:space="0"/>
              <w:left w:val="single" w:color="auto" w:sz="10" w:space="0"/>
              <w:bottom w:val="single" w:color="auto" w:sz="10" w:space="0"/>
              <w:right w:val="single" w:color="auto" w:sz="10" w:space="0"/>
              <w:insideV w:val="single" w:sz="10" w:space="0"/>
            </w:tcBorders>
            <w:vAlign w:val="center"/>
          </w:tcPr>
          <w:p w14:paraId="7A311E90">
            <w:pPr>
              <w:jc w:val="center"/>
            </w:pPr>
            <w:r>
              <w:rPr>
                <w:rFonts w:ascii="宋体" w:hAnsi="宋体" w:eastAsia="宋体"/>
                <w:sz w:val="16"/>
              </w:rPr>
              <w:t>指标值设定依据</w:t>
            </w:r>
          </w:p>
        </w:tc>
        <w:tc>
          <w:tcPr>
            <w:tcW w:w="647" w:type="dxa"/>
            <w:tcBorders>
              <w:top w:val="single" w:color="auto" w:sz="10" w:space="0"/>
              <w:left w:val="single" w:color="auto" w:sz="10" w:space="0"/>
              <w:bottom w:val="single" w:color="auto" w:sz="10" w:space="0"/>
              <w:right w:val="single" w:color="auto" w:sz="10" w:space="0"/>
              <w:insideV w:val="single" w:sz="10" w:space="0"/>
            </w:tcBorders>
            <w:vAlign w:val="center"/>
          </w:tcPr>
          <w:p w14:paraId="5CFD05FD">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ADA28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5552A7">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845A12">
            <w:pPr>
              <w:jc w:val="center"/>
            </w:pPr>
            <w:r>
              <w:rPr>
                <w:rFonts w:ascii="宋体" w:hAnsi="宋体" w:eastAsia="宋体"/>
                <w:sz w:val="16"/>
              </w:rPr>
              <w:t>得分</w:t>
            </w:r>
          </w:p>
        </w:tc>
      </w:tr>
      <w:tr w14:paraId="31381B9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C7C173">
            <w:pPr>
              <w:jc w:val="center"/>
            </w:pPr>
            <w:r>
              <w:rPr>
                <w:rFonts w:ascii="宋体" w:hAnsi="宋体" w:eastAsia="宋体"/>
                <w:sz w:val="16"/>
              </w:rPr>
              <w:t>履职效能</w:t>
            </w:r>
          </w:p>
        </w:tc>
        <w:tc>
          <w:tcPr>
            <w:tcW w:w="801" w:type="dxa"/>
            <w:tcBorders>
              <w:top w:val="single" w:color="auto" w:sz="10" w:space="0"/>
              <w:left w:val="single" w:color="auto" w:sz="10" w:space="0"/>
              <w:bottom w:val="single" w:color="auto" w:sz="10" w:space="0"/>
              <w:right w:val="single" w:color="auto" w:sz="10" w:space="0"/>
              <w:insideV w:val="single" w:sz="10" w:space="0"/>
            </w:tcBorders>
            <w:vAlign w:val="center"/>
          </w:tcPr>
          <w:p w14:paraId="5759E512">
            <w:pPr>
              <w:jc w:val="center"/>
            </w:pPr>
            <w:r>
              <w:rPr>
                <w:rFonts w:ascii="宋体" w:hAnsi="宋体" w:eastAsia="宋体"/>
                <w:sz w:val="16"/>
              </w:rPr>
              <w:t>数量指标</w:t>
            </w:r>
          </w:p>
        </w:tc>
        <w:tc>
          <w:tcPr>
            <w:tcW w:w="1374" w:type="dxa"/>
            <w:tcBorders>
              <w:top w:val="single" w:color="auto" w:sz="10" w:space="0"/>
              <w:left w:val="single" w:color="auto" w:sz="10" w:space="0"/>
              <w:bottom w:val="single" w:color="auto" w:sz="10" w:space="0"/>
              <w:right w:val="single" w:color="auto" w:sz="10" w:space="0"/>
              <w:insideV w:val="single" w:sz="10" w:space="0"/>
            </w:tcBorders>
            <w:vAlign w:val="center"/>
          </w:tcPr>
          <w:p w14:paraId="373E6C4F">
            <w:pPr>
              <w:jc w:val="center"/>
            </w:pPr>
            <w:r>
              <w:rPr>
                <w:rFonts w:ascii="宋体" w:hAnsi="宋体" w:eastAsia="宋体"/>
                <w:sz w:val="16"/>
              </w:rPr>
              <w:t>专业技术培训次数</w:t>
            </w:r>
          </w:p>
        </w:tc>
        <w:tc>
          <w:tcPr>
            <w:tcW w:w="866" w:type="dxa"/>
            <w:tcBorders>
              <w:top w:val="single" w:color="auto" w:sz="10" w:space="0"/>
              <w:left w:val="single" w:color="auto" w:sz="10" w:space="0"/>
              <w:bottom w:val="single" w:color="auto" w:sz="10" w:space="0"/>
              <w:right w:val="single" w:color="auto" w:sz="10" w:space="0"/>
              <w:insideV w:val="single" w:sz="10" w:space="0"/>
            </w:tcBorders>
            <w:vAlign w:val="center"/>
          </w:tcPr>
          <w:p w14:paraId="22E16CD1">
            <w:pPr>
              <w:jc w:val="center"/>
            </w:pPr>
            <w:r>
              <w:rPr>
                <w:rFonts w:ascii="宋体" w:hAnsi="宋体" w:eastAsia="宋体"/>
                <w:sz w:val="16"/>
              </w:rPr>
              <w:t>&gt;=12次</w:t>
            </w:r>
          </w:p>
        </w:tc>
        <w:tc>
          <w:tcPr>
            <w:tcW w:w="1227" w:type="dxa"/>
            <w:tcBorders>
              <w:top w:val="single" w:color="auto" w:sz="10" w:space="0"/>
              <w:left w:val="single" w:color="auto" w:sz="10" w:space="0"/>
              <w:bottom w:val="single" w:color="auto" w:sz="10" w:space="0"/>
              <w:right w:val="single" w:color="auto" w:sz="10" w:space="0"/>
              <w:insideV w:val="single" w:sz="10" w:space="0"/>
            </w:tcBorders>
            <w:vAlign w:val="center"/>
          </w:tcPr>
          <w:p w14:paraId="3499850A">
            <w:pPr>
              <w:jc w:val="center"/>
            </w:pPr>
            <w:r>
              <w:rPr>
                <w:rFonts w:ascii="宋体" w:hAnsi="宋体" w:eastAsia="宋体"/>
                <w:sz w:val="16"/>
              </w:rPr>
              <w:t>重点工作计划</w:t>
            </w:r>
          </w:p>
        </w:tc>
        <w:tc>
          <w:tcPr>
            <w:tcW w:w="647" w:type="dxa"/>
            <w:tcBorders>
              <w:top w:val="single" w:color="auto" w:sz="10" w:space="0"/>
              <w:left w:val="single" w:color="auto" w:sz="10" w:space="0"/>
              <w:bottom w:val="single" w:color="auto" w:sz="10" w:space="0"/>
              <w:right w:val="single" w:color="auto" w:sz="10" w:space="0"/>
              <w:insideV w:val="single" w:sz="10" w:space="0"/>
            </w:tcBorders>
            <w:vAlign w:val="center"/>
          </w:tcPr>
          <w:p w14:paraId="35C23EB3">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46290C">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D8211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9E14F6">
            <w:pPr>
              <w:jc w:val="center"/>
            </w:pPr>
            <w:r>
              <w:rPr>
                <w:rFonts w:ascii="宋体" w:hAnsi="宋体" w:eastAsia="宋体"/>
                <w:sz w:val="16"/>
              </w:rPr>
              <w:t>18</w:t>
            </w:r>
          </w:p>
        </w:tc>
      </w:tr>
      <w:tr w14:paraId="1BB937E9">
        <w:tblPrEx>
          <w:tblCellMar>
            <w:top w:w="0" w:type="dxa"/>
            <w:left w:w="108" w:type="dxa"/>
            <w:bottom w:w="0" w:type="dxa"/>
            <w:right w:w="108" w:type="dxa"/>
          </w:tblCellMar>
        </w:tblPrEx>
        <w:trPr>
          <w:trHeight w:val="613" w:hRule="atLeast"/>
        </w:trPr>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A6012B"/>
        </w:tc>
        <w:tc>
          <w:tcPr>
            <w:tcW w:w="80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369C5C">
            <w:pPr>
              <w:jc w:val="center"/>
            </w:pPr>
            <w:r>
              <w:rPr>
                <w:rFonts w:ascii="宋体" w:hAnsi="宋体" w:eastAsia="宋体"/>
                <w:sz w:val="16"/>
              </w:rPr>
              <w:t>质量指标</w:t>
            </w:r>
          </w:p>
        </w:tc>
        <w:tc>
          <w:tcPr>
            <w:tcW w:w="1374" w:type="dxa"/>
            <w:tcBorders>
              <w:top w:val="single" w:color="auto" w:sz="10" w:space="0"/>
              <w:left w:val="single" w:color="auto" w:sz="10" w:space="0"/>
              <w:bottom w:val="single" w:color="auto" w:sz="10" w:space="0"/>
              <w:right w:val="single" w:color="auto" w:sz="10" w:space="0"/>
              <w:insideV w:val="single" w:sz="10" w:space="0"/>
            </w:tcBorders>
            <w:vAlign w:val="center"/>
          </w:tcPr>
          <w:p w14:paraId="63BB46D4">
            <w:pPr>
              <w:jc w:val="center"/>
            </w:pPr>
            <w:r>
              <w:rPr>
                <w:rFonts w:ascii="宋体" w:hAnsi="宋体" w:eastAsia="宋体"/>
                <w:sz w:val="16"/>
              </w:rPr>
              <w:t>配制药品品种</w:t>
            </w:r>
          </w:p>
        </w:tc>
        <w:tc>
          <w:tcPr>
            <w:tcW w:w="866" w:type="dxa"/>
            <w:tcBorders>
              <w:top w:val="single" w:color="auto" w:sz="10" w:space="0"/>
              <w:left w:val="single" w:color="auto" w:sz="10" w:space="0"/>
              <w:bottom w:val="single" w:color="auto" w:sz="10" w:space="0"/>
              <w:right w:val="single" w:color="auto" w:sz="10" w:space="0"/>
              <w:insideV w:val="single" w:sz="10" w:space="0"/>
            </w:tcBorders>
            <w:vAlign w:val="center"/>
          </w:tcPr>
          <w:p w14:paraId="03E6116D">
            <w:pPr>
              <w:jc w:val="center"/>
            </w:pPr>
            <w:r>
              <w:rPr>
                <w:rFonts w:ascii="宋体" w:hAnsi="宋体" w:eastAsia="宋体"/>
                <w:sz w:val="16"/>
              </w:rPr>
              <w:t>&gt;=90种</w:t>
            </w:r>
          </w:p>
        </w:tc>
        <w:tc>
          <w:tcPr>
            <w:tcW w:w="1227" w:type="dxa"/>
            <w:tcBorders>
              <w:top w:val="single" w:color="auto" w:sz="10" w:space="0"/>
              <w:left w:val="single" w:color="auto" w:sz="10" w:space="0"/>
              <w:bottom w:val="single" w:color="auto" w:sz="10" w:space="0"/>
              <w:right w:val="single" w:color="auto" w:sz="10" w:space="0"/>
              <w:insideV w:val="single" w:sz="10" w:space="0"/>
            </w:tcBorders>
            <w:vAlign w:val="center"/>
          </w:tcPr>
          <w:p w14:paraId="7F2DF649">
            <w:pPr>
              <w:jc w:val="center"/>
            </w:pPr>
            <w:r>
              <w:rPr>
                <w:rFonts w:ascii="宋体" w:hAnsi="宋体" w:eastAsia="宋体"/>
                <w:sz w:val="16"/>
              </w:rPr>
              <w:t>重点工作计划</w:t>
            </w:r>
          </w:p>
        </w:tc>
        <w:tc>
          <w:tcPr>
            <w:tcW w:w="647" w:type="dxa"/>
            <w:tcBorders>
              <w:top w:val="single" w:color="auto" w:sz="10" w:space="0"/>
              <w:left w:val="single" w:color="auto" w:sz="10" w:space="0"/>
              <w:bottom w:val="single" w:color="auto" w:sz="10" w:space="0"/>
              <w:right w:val="single" w:color="auto" w:sz="10" w:space="0"/>
              <w:insideV w:val="single" w:sz="10" w:space="0"/>
            </w:tcBorders>
            <w:vAlign w:val="center"/>
          </w:tcPr>
          <w:p w14:paraId="6050407E">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FF65E">
            <w:pPr>
              <w:jc w:val="center"/>
            </w:pPr>
            <w:r>
              <w:rPr>
                <w:rFonts w:ascii="宋体" w:hAnsi="宋体" w:eastAsia="宋体"/>
                <w:sz w:val="16"/>
              </w:rPr>
              <w:t>90种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12178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3D40C3">
            <w:pPr>
              <w:jc w:val="center"/>
            </w:pPr>
            <w:r>
              <w:rPr>
                <w:rFonts w:ascii="宋体" w:hAnsi="宋体" w:eastAsia="宋体"/>
                <w:sz w:val="16"/>
              </w:rPr>
              <w:t>18</w:t>
            </w:r>
          </w:p>
        </w:tc>
      </w:tr>
      <w:tr w14:paraId="5FF4A45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12D1C5"/>
        </w:tc>
        <w:tc>
          <w:tcPr>
            <w:tcW w:w="801" w:type="dxa"/>
            <w:vMerge w:val="continue"/>
            <w:tcBorders>
              <w:top w:val="single" w:color="auto" w:sz="10" w:space="0"/>
              <w:left w:val="single" w:color="auto" w:sz="10" w:space="0"/>
              <w:bottom w:val="single" w:color="auto" w:sz="10" w:space="0"/>
              <w:right w:val="single" w:color="auto" w:sz="10" w:space="0"/>
              <w:insideV w:val="single" w:sz="10" w:space="0"/>
            </w:tcBorders>
          </w:tcPr>
          <w:p w14:paraId="44408E0F"/>
        </w:tc>
        <w:tc>
          <w:tcPr>
            <w:tcW w:w="1374" w:type="dxa"/>
            <w:tcBorders>
              <w:top w:val="single" w:color="auto" w:sz="10" w:space="0"/>
              <w:left w:val="single" w:color="auto" w:sz="10" w:space="0"/>
              <w:bottom w:val="single" w:color="auto" w:sz="10" w:space="0"/>
              <w:right w:val="single" w:color="auto" w:sz="10" w:space="0"/>
              <w:insideV w:val="single" w:sz="10" w:space="0"/>
            </w:tcBorders>
            <w:vAlign w:val="center"/>
          </w:tcPr>
          <w:p w14:paraId="2B6FB43C">
            <w:pPr>
              <w:jc w:val="center"/>
            </w:pPr>
            <w:r>
              <w:rPr>
                <w:rFonts w:ascii="宋体" w:hAnsi="宋体" w:eastAsia="宋体"/>
                <w:sz w:val="16"/>
              </w:rPr>
              <w:t>治愈好转率</w:t>
            </w:r>
          </w:p>
        </w:tc>
        <w:tc>
          <w:tcPr>
            <w:tcW w:w="866" w:type="dxa"/>
            <w:tcBorders>
              <w:top w:val="single" w:color="auto" w:sz="10" w:space="0"/>
              <w:left w:val="single" w:color="auto" w:sz="10" w:space="0"/>
              <w:bottom w:val="single" w:color="auto" w:sz="10" w:space="0"/>
              <w:right w:val="single" w:color="auto" w:sz="10" w:space="0"/>
              <w:insideV w:val="single" w:sz="10" w:space="0"/>
            </w:tcBorders>
            <w:vAlign w:val="center"/>
          </w:tcPr>
          <w:p w14:paraId="666D9CE1">
            <w:pPr>
              <w:jc w:val="center"/>
            </w:pPr>
            <w:r>
              <w:rPr>
                <w:rFonts w:ascii="宋体" w:hAnsi="宋体" w:eastAsia="宋体"/>
                <w:sz w:val="16"/>
              </w:rPr>
              <w:t>&gt;=95%</w:t>
            </w:r>
          </w:p>
        </w:tc>
        <w:tc>
          <w:tcPr>
            <w:tcW w:w="1227" w:type="dxa"/>
            <w:tcBorders>
              <w:top w:val="single" w:color="auto" w:sz="10" w:space="0"/>
              <w:left w:val="single" w:color="auto" w:sz="10" w:space="0"/>
              <w:bottom w:val="single" w:color="auto" w:sz="10" w:space="0"/>
              <w:right w:val="single" w:color="auto" w:sz="10" w:space="0"/>
              <w:insideV w:val="single" w:sz="10" w:space="0"/>
            </w:tcBorders>
            <w:vAlign w:val="center"/>
          </w:tcPr>
          <w:p w14:paraId="6125DFE6">
            <w:pPr>
              <w:jc w:val="center"/>
            </w:pPr>
            <w:r>
              <w:rPr>
                <w:rFonts w:ascii="宋体" w:hAnsi="宋体" w:eastAsia="宋体"/>
                <w:sz w:val="16"/>
              </w:rPr>
              <w:t>重点工作计划</w:t>
            </w:r>
          </w:p>
        </w:tc>
        <w:tc>
          <w:tcPr>
            <w:tcW w:w="647" w:type="dxa"/>
            <w:tcBorders>
              <w:top w:val="single" w:color="auto" w:sz="10" w:space="0"/>
              <w:left w:val="single" w:color="auto" w:sz="10" w:space="0"/>
              <w:bottom w:val="single" w:color="auto" w:sz="10" w:space="0"/>
              <w:right w:val="single" w:color="auto" w:sz="10" w:space="0"/>
              <w:insideV w:val="single" w:sz="10" w:space="0"/>
            </w:tcBorders>
            <w:vAlign w:val="center"/>
          </w:tcPr>
          <w:p w14:paraId="4581AE95">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930124">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D2D1C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4719A">
            <w:pPr>
              <w:jc w:val="center"/>
            </w:pPr>
            <w:r>
              <w:rPr>
                <w:rFonts w:ascii="宋体" w:hAnsi="宋体" w:eastAsia="宋体"/>
                <w:sz w:val="16"/>
              </w:rPr>
              <w:t>18</w:t>
            </w:r>
          </w:p>
        </w:tc>
      </w:tr>
      <w:tr w14:paraId="58911FC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FAAF09"/>
        </w:tc>
        <w:tc>
          <w:tcPr>
            <w:tcW w:w="801" w:type="dxa"/>
            <w:vMerge w:val="continue"/>
            <w:tcBorders>
              <w:top w:val="single" w:color="auto" w:sz="10" w:space="0"/>
              <w:left w:val="single" w:color="auto" w:sz="10" w:space="0"/>
              <w:bottom w:val="single" w:color="auto" w:sz="10" w:space="0"/>
              <w:right w:val="single" w:color="auto" w:sz="10" w:space="0"/>
              <w:insideV w:val="single" w:sz="10" w:space="0"/>
            </w:tcBorders>
          </w:tcPr>
          <w:p w14:paraId="5F54DE60"/>
        </w:tc>
        <w:tc>
          <w:tcPr>
            <w:tcW w:w="1374" w:type="dxa"/>
            <w:tcBorders>
              <w:top w:val="single" w:color="auto" w:sz="10" w:space="0"/>
              <w:left w:val="single" w:color="auto" w:sz="10" w:space="0"/>
              <w:bottom w:val="single" w:color="auto" w:sz="10" w:space="0"/>
              <w:right w:val="single" w:color="auto" w:sz="10" w:space="0"/>
              <w:insideV w:val="single" w:sz="10" w:space="0"/>
            </w:tcBorders>
            <w:vAlign w:val="center"/>
          </w:tcPr>
          <w:p w14:paraId="155E8707">
            <w:pPr>
              <w:jc w:val="center"/>
            </w:pPr>
            <w:r>
              <w:rPr>
                <w:rFonts w:ascii="宋体" w:hAnsi="宋体" w:eastAsia="宋体"/>
                <w:sz w:val="16"/>
              </w:rPr>
              <w:t>处方合格率</w:t>
            </w:r>
          </w:p>
        </w:tc>
        <w:tc>
          <w:tcPr>
            <w:tcW w:w="866" w:type="dxa"/>
            <w:tcBorders>
              <w:top w:val="single" w:color="auto" w:sz="10" w:space="0"/>
              <w:left w:val="single" w:color="auto" w:sz="10" w:space="0"/>
              <w:bottom w:val="single" w:color="auto" w:sz="10" w:space="0"/>
              <w:right w:val="single" w:color="auto" w:sz="10" w:space="0"/>
              <w:insideV w:val="single" w:sz="10" w:space="0"/>
            </w:tcBorders>
            <w:vAlign w:val="center"/>
          </w:tcPr>
          <w:p w14:paraId="398F29ED">
            <w:pPr>
              <w:jc w:val="center"/>
            </w:pPr>
            <w:r>
              <w:rPr>
                <w:rFonts w:ascii="宋体" w:hAnsi="宋体" w:eastAsia="宋体"/>
                <w:sz w:val="16"/>
              </w:rPr>
              <w:t>&gt;=98%</w:t>
            </w:r>
          </w:p>
        </w:tc>
        <w:tc>
          <w:tcPr>
            <w:tcW w:w="1227" w:type="dxa"/>
            <w:tcBorders>
              <w:top w:val="single" w:color="auto" w:sz="10" w:space="0"/>
              <w:left w:val="single" w:color="auto" w:sz="10" w:space="0"/>
              <w:bottom w:val="single" w:color="auto" w:sz="10" w:space="0"/>
              <w:right w:val="single" w:color="auto" w:sz="10" w:space="0"/>
              <w:insideV w:val="single" w:sz="10" w:space="0"/>
            </w:tcBorders>
            <w:vAlign w:val="center"/>
          </w:tcPr>
          <w:p w14:paraId="5D28C148">
            <w:pPr>
              <w:jc w:val="center"/>
            </w:pPr>
            <w:r>
              <w:rPr>
                <w:rFonts w:ascii="宋体" w:hAnsi="宋体" w:eastAsia="宋体"/>
                <w:sz w:val="16"/>
              </w:rPr>
              <w:t>重点工作计划</w:t>
            </w:r>
          </w:p>
        </w:tc>
        <w:tc>
          <w:tcPr>
            <w:tcW w:w="647" w:type="dxa"/>
            <w:tcBorders>
              <w:top w:val="single" w:color="auto" w:sz="10" w:space="0"/>
              <w:left w:val="single" w:color="auto" w:sz="10" w:space="0"/>
              <w:bottom w:val="single" w:color="auto" w:sz="10" w:space="0"/>
              <w:right w:val="single" w:color="auto" w:sz="10" w:space="0"/>
              <w:insideV w:val="single" w:sz="10" w:space="0"/>
            </w:tcBorders>
            <w:vAlign w:val="center"/>
          </w:tcPr>
          <w:p w14:paraId="16C9B1B1">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2372E8">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E3593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7936F1">
            <w:pPr>
              <w:jc w:val="center"/>
            </w:pPr>
            <w:r>
              <w:rPr>
                <w:rFonts w:ascii="宋体" w:hAnsi="宋体" w:eastAsia="宋体"/>
                <w:sz w:val="16"/>
              </w:rPr>
              <w:t>18</w:t>
            </w:r>
          </w:p>
        </w:tc>
      </w:tr>
      <w:tr w14:paraId="7524503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F0791E"/>
        </w:tc>
        <w:tc>
          <w:tcPr>
            <w:tcW w:w="801" w:type="dxa"/>
            <w:vMerge w:val="continue"/>
            <w:tcBorders>
              <w:top w:val="single" w:color="auto" w:sz="10" w:space="0"/>
              <w:left w:val="single" w:color="auto" w:sz="10" w:space="0"/>
              <w:bottom w:val="single" w:color="auto" w:sz="10" w:space="0"/>
              <w:right w:val="single" w:color="auto" w:sz="10" w:space="0"/>
              <w:insideV w:val="single" w:sz="10" w:space="0"/>
            </w:tcBorders>
          </w:tcPr>
          <w:p w14:paraId="364AA218"/>
        </w:tc>
        <w:tc>
          <w:tcPr>
            <w:tcW w:w="1374" w:type="dxa"/>
            <w:tcBorders>
              <w:top w:val="single" w:color="auto" w:sz="10" w:space="0"/>
              <w:left w:val="single" w:color="auto" w:sz="10" w:space="0"/>
              <w:bottom w:val="single" w:color="auto" w:sz="10" w:space="0"/>
              <w:right w:val="single" w:color="auto" w:sz="10" w:space="0"/>
              <w:insideV w:val="single" w:sz="10" w:space="0"/>
            </w:tcBorders>
            <w:vAlign w:val="center"/>
          </w:tcPr>
          <w:p w14:paraId="432AAFC7">
            <w:pPr>
              <w:jc w:val="center"/>
            </w:pPr>
            <w:r>
              <w:rPr>
                <w:rFonts w:ascii="宋体" w:hAnsi="宋体" w:eastAsia="宋体"/>
                <w:sz w:val="16"/>
              </w:rPr>
              <w:t>卫生专业技术人员继续医学教育覆盖率</w:t>
            </w:r>
          </w:p>
        </w:tc>
        <w:tc>
          <w:tcPr>
            <w:tcW w:w="866" w:type="dxa"/>
            <w:tcBorders>
              <w:top w:val="single" w:color="auto" w:sz="10" w:space="0"/>
              <w:left w:val="single" w:color="auto" w:sz="10" w:space="0"/>
              <w:bottom w:val="single" w:color="auto" w:sz="10" w:space="0"/>
              <w:right w:val="single" w:color="auto" w:sz="10" w:space="0"/>
              <w:insideV w:val="single" w:sz="10" w:space="0"/>
            </w:tcBorders>
            <w:vAlign w:val="center"/>
          </w:tcPr>
          <w:p w14:paraId="728BF7C8">
            <w:pPr>
              <w:jc w:val="center"/>
            </w:pPr>
            <w:r>
              <w:rPr>
                <w:rFonts w:ascii="宋体" w:hAnsi="宋体" w:eastAsia="宋体"/>
                <w:sz w:val="16"/>
              </w:rPr>
              <w:t>=100%</w:t>
            </w:r>
          </w:p>
        </w:tc>
        <w:tc>
          <w:tcPr>
            <w:tcW w:w="1227" w:type="dxa"/>
            <w:tcBorders>
              <w:top w:val="single" w:color="auto" w:sz="10" w:space="0"/>
              <w:left w:val="single" w:color="auto" w:sz="10" w:space="0"/>
              <w:bottom w:val="single" w:color="auto" w:sz="10" w:space="0"/>
              <w:right w:val="single" w:color="auto" w:sz="10" w:space="0"/>
              <w:insideV w:val="single" w:sz="10" w:space="0"/>
            </w:tcBorders>
            <w:vAlign w:val="center"/>
          </w:tcPr>
          <w:p w14:paraId="60BD5B29">
            <w:pPr>
              <w:jc w:val="center"/>
            </w:pPr>
            <w:r>
              <w:rPr>
                <w:rFonts w:ascii="宋体" w:hAnsi="宋体" w:eastAsia="宋体"/>
                <w:sz w:val="16"/>
              </w:rPr>
              <w:t>重点工作计划</w:t>
            </w:r>
          </w:p>
        </w:tc>
        <w:tc>
          <w:tcPr>
            <w:tcW w:w="647" w:type="dxa"/>
            <w:tcBorders>
              <w:top w:val="single" w:color="auto" w:sz="10" w:space="0"/>
              <w:left w:val="single" w:color="auto" w:sz="10" w:space="0"/>
              <w:bottom w:val="single" w:color="auto" w:sz="10" w:space="0"/>
              <w:right w:val="single" w:color="auto" w:sz="10" w:space="0"/>
              <w:insideV w:val="single" w:sz="10" w:space="0"/>
            </w:tcBorders>
            <w:vAlign w:val="center"/>
          </w:tcPr>
          <w:p w14:paraId="2DAD0699">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74C9D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38DC5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395CC">
            <w:pPr>
              <w:jc w:val="center"/>
            </w:pPr>
            <w:r>
              <w:rPr>
                <w:rFonts w:ascii="宋体" w:hAnsi="宋体" w:eastAsia="宋体"/>
                <w:sz w:val="16"/>
              </w:rPr>
              <w:t>18</w:t>
            </w:r>
          </w:p>
        </w:tc>
      </w:tr>
    </w:tbl>
    <w:p w14:paraId="142176B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25F502A">
        <w:tblPrEx>
          <w:tblCellMar>
            <w:top w:w="0" w:type="dxa"/>
            <w:left w:w="108" w:type="dxa"/>
            <w:bottom w:w="0" w:type="dxa"/>
            <w:right w:w="108" w:type="dxa"/>
          </w:tblCellMar>
        </w:tblPrEx>
        <w:tc>
          <w:tcPr>
            <w:tcW w:w="8848" w:type="dxa"/>
            <w:gridSpan w:val="14"/>
            <w:vAlign w:val="center"/>
          </w:tcPr>
          <w:p w14:paraId="18E396E6">
            <w:pPr>
              <w:jc w:val="center"/>
            </w:pPr>
            <w:r>
              <w:rPr>
                <w:rFonts w:ascii="宋体" w:hAnsi="宋体" w:eastAsia="宋体"/>
                <w:sz w:val="24"/>
              </w:rPr>
              <w:t>项目支出绩效自评表</w:t>
            </w:r>
          </w:p>
        </w:tc>
      </w:tr>
      <w:tr w14:paraId="298C6189">
        <w:tblPrEx>
          <w:tblCellMar>
            <w:top w:w="0" w:type="dxa"/>
            <w:left w:w="108" w:type="dxa"/>
            <w:bottom w:w="0" w:type="dxa"/>
            <w:right w:w="108" w:type="dxa"/>
          </w:tblCellMar>
        </w:tblPrEx>
        <w:tc>
          <w:tcPr>
            <w:tcW w:w="8848" w:type="dxa"/>
            <w:gridSpan w:val="14"/>
            <w:vAlign w:val="center"/>
          </w:tcPr>
          <w:p w14:paraId="7440ACCA">
            <w:pPr>
              <w:jc w:val="center"/>
            </w:pPr>
            <w:r>
              <w:rPr>
                <w:rFonts w:ascii="宋体" w:hAnsi="宋体" w:eastAsia="宋体"/>
                <w:sz w:val="24"/>
              </w:rPr>
              <w:t>(2024年度)</w:t>
            </w:r>
          </w:p>
        </w:tc>
      </w:tr>
      <w:tr w14:paraId="118CF7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E651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D65311E">
            <w:pPr>
              <w:jc w:val="center"/>
            </w:pPr>
            <w:r>
              <w:rPr>
                <w:rFonts w:ascii="宋体" w:hAnsi="宋体" w:eastAsia="宋体"/>
                <w:sz w:val="16"/>
              </w:rPr>
              <w:t>智力援疆创新拓展人才培养项目</w:t>
            </w:r>
          </w:p>
        </w:tc>
      </w:tr>
      <w:tr w14:paraId="780545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8E07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800E8A">
            <w:pPr>
              <w:jc w:val="center"/>
            </w:pPr>
            <w:r>
              <w:rPr>
                <w:rFonts w:ascii="宋体" w:hAnsi="宋体" w:eastAsia="宋体"/>
                <w:sz w:val="16"/>
              </w:rPr>
              <w:t>麦盖提县卫生健康委员会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6AB3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4F7948">
            <w:pPr>
              <w:jc w:val="center"/>
            </w:pPr>
            <w:r>
              <w:rPr>
                <w:rFonts w:ascii="宋体" w:hAnsi="宋体" w:eastAsia="宋体"/>
                <w:sz w:val="16"/>
              </w:rPr>
              <w:t>麦盖提县维吾尔医医院</w:t>
            </w:r>
          </w:p>
        </w:tc>
      </w:tr>
      <w:tr w14:paraId="1BC0C9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A63D3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49EF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0470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4FC5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7EA0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F504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60B0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461D6">
            <w:pPr>
              <w:jc w:val="center"/>
            </w:pPr>
            <w:r>
              <w:rPr>
                <w:rFonts w:ascii="宋体" w:hAnsi="宋体" w:eastAsia="宋体"/>
                <w:sz w:val="16"/>
              </w:rPr>
              <w:t>得分</w:t>
            </w:r>
          </w:p>
        </w:tc>
      </w:tr>
      <w:tr w14:paraId="7BC105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BC6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4A81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B2749">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53E2E">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26E25">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6AA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E531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52FC1">
            <w:pPr>
              <w:jc w:val="center"/>
            </w:pPr>
            <w:r>
              <w:rPr>
                <w:rFonts w:ascii="宋体" w:hAnsi="宋体" w:eastAsia="宋体"/>
                <w:sz w:val="16"/>
              </w:rPr>
              <w:t>10.00分</w:t>
            </w:r>
          </w:p>
        </w:tc>
      </w:tr>
      <w:tr w14:paraId="4B812F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7084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AC07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B1971">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B5A2A">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6EDB2">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F27B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729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D28AE">
            <w:pPr>
              <w:jc w:val="center"/>
            </w:pPr>
            <w:r>
              <w:rPr>
                <w:rFonts w:ascii="宋体" w:hAnsi="宋体" w:eastAsia="宋体"/>
                <w:sz w:val="16"/>
              </w:rPr>
              <w:t>—</w:t>
            </w:r>
          </w:p>
        </w:tc>
      </w:tr>
      <w:tr w14:paraId="3A2A45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8097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2E31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773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46B6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BD9B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593E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7CF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5C735">
            <w:pPr>
              <w:jc w:val="center"/>
            </w:pPr>
            <w:r>
              <w:rPr>
                <w:rFonts w:ascii="宋体" w:hAnsi="宋体" w:eastAsia="宋体"/>
                <w:sz w:val="16"/>
              </w:rPr>
              <w:t>—</w:t>
            </w:r>
          </w:p>
        </w:tc>
      </w:tr>
      <w:tr w14:paraId="05FBFE1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9409E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03397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B6D113">
            <w:pPr>
              <w:jc w:val="center"/>
            </w:pPr>
            <w:r>
              <w:rPr>
                <w:rFonts w:ascii="宋体" w:hAnsi="宋体" w:eastAsia="宋体"/>
                <w:sz w:val="16"/>
              </w:rPr>
              <w:t>实际完成情况</w:t>
            </w:r>
          </w:p>
        </w:tc>
      </w:tr>
      <w:tr w14:paraId="725FB6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57A58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B21FC9">
            <w:pPr>
              <w:jc w:val="both"/>
            </w:pPr>
            <w:r>
              <w:rPr>
                <w:rFonts w:ascii="宋体" w:hAnsi="宋体" w:eastAsia="宋体"/>
                <w:sz w:val="16"/>
              </w:rPr>
              <w:t>2024年本项目总投资7万元，主要用于组织</w:t>
            </w:r>
            <w:r>
              <w:rPr>
                <w:rFonts w:hint="eastAsia" w:ascii="宋体" w:hAnsi="宋体"/>
                <w:sz w:val="16"/>
                <w:lang w:eastAsia="zh-CN"/>
              </w:rPr>
              <w:t>本单位</w:t>
            </w:r>
            <w:r>
              <w:rPr>
                <w:rFonts w:ascii="宋体" w:hAnsi="宋体" w:eastAsia="宋体"/>
                <w:sz w:val="16"/>
              </w:rPr>
              <w:t>1名干部赴山东日照开展交流培训活动，项目的实施可有效加强两地交流，提高培训人员工作水平。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8AE0F7">
            <w:pPr>
              <w:jc w:val="both"/>
            </w:pPr>
            <w:r>
              <w:rPr>
                <w:rFonts w:ascii="宋体" w:hAnsi="宋体" w:eastAsia="宋体"/>
                <w:sz w:val="16"/>
              </w:rPr>
              <w:t>截至2024年12月31日，实际支出7万元，主要用于支付1名干部赴山东日照开展交流培训活动产生的费用，项目的实施有效加强两地交流，开展交流培训，提高干部工作和理论水平，</w:t>
            </w:r>
            <w:r>
              <w:rPr>
                <w:rFonts w:hint="eastAsia" w:ascii="宋体" w:hAnsi="宋体"/>
                <w:sz w:val="16"/>
                <w:lang w:eastAsia="zh-CN"/>
              </w:rPr>
              <w:t>更好地服务</w:t>
            </w:r>
            <w:r>
              <w:rPr>
                <w:rFonts w:ascii="宋体" w:hAnsi="宋体" w:eastAsia="宋体"/>
                <w:sz w:val="16"/>
              </w:rPr>
              <w:t>于单位工作。</w:t>
            </w:r>
          </w:p>
        </w:tc>
      </w:tr>
      <w:tr w14:paraId="5A7A0A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DD898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A28F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1DBE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4F59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50A0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38EB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AB62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9294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0FAD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FF15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9717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EBD7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73BF1">
            <w:pPr>
              <w:jc w:val="center"/>
            </w:pPr>
            <w:r>
              <w:rPr>
                <w:rFonts w:ascii="宋体" w:hAnsi="宋体" w:eastAsia="宋体"/>
                <w:sz w:val="16"/>
              </w:rPr>
              <w:t>偏差原因分析及改进措施</w:t>
            </w:r>
          </w:p>
        </w:tc>
      </w:tr>
      <w:tr w14:paraId="407C128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1613A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C6BD7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1C00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0AC9B">
            <w:pPr>
              <w:jc w:val="center"/>
            </w:pPr>
            <w:r>
              <w:rPr>
                <w:rFonts w:ascii="宋体" w:hAnsi="宋体" w:eastAsia="宋体"/>
                <w:sz w:val="16"/>
              </w:rPr>
              <w:t>赴山东日照参加培训人数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71041">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A02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3C3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62BD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E77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CFA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B5E96">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BB91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C0086">
            <w:pPr>
              <w:jc w:val="center"/>
            </w:pPr>
          </w:p>
        </w:tc>
      </w:tr>
      <w:tr w14:paraId="199DF1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C834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94A4A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E3F2E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2ACEF">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EBA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A9A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C03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9151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737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AC9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57C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0997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09A45">
            <w:pPr>
              <w:jc w:val="center"/>
            </w:pPr>
          </w:p>
        </w:tc>
      </w:tr>
      <w:tr w14:paraId="4A18A2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42FD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2BFE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33F6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FC0AC">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7A6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E0A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918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AB1E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407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6D6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821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EACC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495D5">
            <w:pPr>
              <w:jc w:val="center"/>
            </w:pPr>
          </w:p>
        </w:tc>
      </w:tr>
      <w:tr w14:paraId="20A823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8E57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2116D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DBAAB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7541B">
            <w:pPr>
              <w:jc w:val="center"/>
            </w:pPr>
            <w:r>
              <w:rPr>
                <w:rFonts w:ascii="宋体" w:hAnsi="宋体" w:eastAsia="宋体"/>
                <w:sz w:val="16"/>
              </w:rPr>
              <w:t>资金使用及时率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856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646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8DC2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AF9C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5EF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B60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F3B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397A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8FC31">
            <w:pPr>
              <w:jc w:val="center"/>
            </w:pPr>
          </w:p>
        </w:tc>
      </w:tr>
      <w:tr w14:paraId="203425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8CAE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B926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256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6DA7A">
            <w:pPr>
              <w:jc w:val="center"/>
            </w:pPr>
            <w:r>
              <w:rPr>
                <w:rFonts w:ascii="宋体" w:hAnsi="宋体" w:eastAsia="宋体"/>
                <w:sz w:val="16"/>
              </w:rPr>
              <w:t>培训完成时限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7C47B">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22A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C6A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0C9A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4B5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07D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F692B">
            <w:pPr>
              <w:jc w:val="center"/>
            </w:pPr>
            <w:r>
              <w:rPr>
                <w:rFonts w:ascii="宋体" w:hAnsi="宋体" w:eastAsia="宋体"/>
                <w:sz w:val="16"/>
              </w:rPr>
              <w:t>2024年6月28日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D324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3F820">
            <w:pPr>
              <w:jc w:val="center"/>
            </w:pPr>
          </w:p>
        </w:tc>
      </w:tr>
      <w:tr w14:paraId="0E353D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2F26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29DF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9A1D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C741E">
            <w:pPr>
              <w:jc w:val="center"/>
            </w:pPr>
            <w:r>
              <w:rPr>
                <w:rFonts w:ascii="宋体" w:hAnsi="宋体" w:eastAsia="宋体"/>
                <w:sz w:val="16"/>
              </w:rPr>
              <w:t>培训支出成本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06DFF">
            <w:pPr>
              <w:jc w:val="center"/>
            </w:pPr>
            <w:r>
              <w:rPr>
                <w:rFonts w:ascii="宋体" w:hAnsi="宋体" w:eastAsia="宋体"/>
                <w:sz w:val="16"/>
              </w:rPr>
              <w:t>&lt;=7万元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D582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F122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EF22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C1D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DFC70">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D9F80">
            <w:pPr>
              <w:jc w:val="center"/>
            </w:pPr>
            <w:r>
              <w:rPr>
                <w:rFonts w:ascii="宋体" w:hAnsi="宋体" w:eastAsia="宋体"/>
                <w:sz w:val="16"/>
              </w:rPr>
              <w: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43BE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2111B">
            <w:pPr>
              <w:jc w:val="center"/>
            </w:pPr>
          </w:p>
        </w:tc>
      </w:tr>
      <w:tr w14:paraId="198D7E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85A9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AB9C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391D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DAB0D">
            <w:pPr>
              <w:jc w:val="center"/>
            </w:pPr>
            <w:r>
              <w:rPr>
                <w:rFonts w:ascii="宋体" w:hAnsi="宋体" w:eastAsia="宋体"/>
                <w:sz w:val="16"/>
              </w:rPr>
              <w:t>加强两地交流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AD49F">
            <w:pPr>
              <w:jc w:val="center"/>
            </w:pPr>
            <w:r>
              <w:rPr>
                <w:rFonts w:ascii="宋体" w:hAnsi="宋体" w:eastAsia="宋体"/>
                <w:sz w:val="16"/>
              </w:rPr>
              <w:t>有效加强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D14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DAA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81E5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EA95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4B1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E8F26">
            <w:pPr>
              <w:jc w:val="center"/>
            </w:pPr>
            <w:r>
              <w:rPr>
                <w:rFonts w:ascii="宋体" w:hAnsi="宋体" w:eastAsia="宋体"/>
                <w:sz w:val="16"/>
              </w:rPr>
              <w:t>有效加强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318B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64EA0">
            <w:pPr>
              <w:jc w:val="center"/>
            </w:pPr>
          </w:p>
        </w:tc>
      </w:tr>
      <w:tr w14:paraId="021796CE">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EB46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8F36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446E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4097E">
            <w:pPr>
              <w:jc w:val="center"/>
            </w:pPr>
            <w:r>
              <w:rPr>
                <w:rFonts w:ascii="宋体" w:hAnsi="宋体" w:eastAsia="宋体"/>
                <w:sz w:val="16"/>
              </w:rPr>
              <w:t>参加培训人员满意度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DDB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7F1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561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F4A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E032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234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227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9CE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BF7C2">
            <w:pPr>
              <w:jc w:val="center"/>
            </w:pPr>
          </w:p>
        </w:tc>
      </w:tr>
      <w:tr w14:paraId="7FA768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AC38C">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433C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731B8">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1CC8E6">
            <w:pPr>
              <w:jc w:val="center"/>
            </w:pPr>
            <w:r>
              <w:rPr>
                <w:rFonts w:ascii="宋体" w:hAnsi="宋体" w:eastAsia="宋体"/>
                <w:sz w:val="16"/>
              </w:rPr>
              <w:t>100分</w:t>
            </w:r>
          </w:p>
        </w:tc>
      </w:tr>
    </w:tbl>
    <w:p w14:paraId="3E88DD4A">
      <w:r>
        <w:br w:type="page"/>
      </w:r>
    </w:p>
    <w:p w14:paraId="56EDC2E2">
      <w:pPr>
        <w:spacing w:line="640" w:lineRule="exact"/>
        <w:ind w:firstLine="640"/>
        <w:jc w:val="both"/>
        <w:outlineLvl w:val="2"/>
      </w:pPr>
      <w:r>
        <w:rPr>
          <w:rFonts w:ascii="黑体" w:hAnsi="黑体" w:eastAsia="黑体"/>
          <w:sz w:val="32"/>
        </w:rPr>
        <w:t>十二、其他需说明的事项</w:t>
      </w:r>
    </w:p>
    <w:p w14:paraId="033ED769">
      <w:pPr>
        <w:spacing w:line="580" w:lineRule="exact"/>
        <w:ind w:firstLine="640"/>
        <w:jc w:val="both"/>
      </w:pPr>
      <w:r>
        <w:rPr>
          <w:rFonts w:ascii="仿宋_GB2312" w:hAnsi="仿宋_GB2312" w:eastAsia="仿宋_GB2312"/>
          <w:b w:val="0"/>
          <w:sz w:val="32"/>
        </w:rPr>
        <w:t>本单位无其他需说明的事项。</w:t>
      </w:r>
    </w:p>
    <w:p w14:paraId="2405ABEA">
      <w:r>
        <w:br w:type="page"/>
      </w:r>
    </w:p>
    <w:p w14:paraId="49159A8F">
      <w:pPr>
        <w:spacing w:line="240" w:lineRule="auto"/>
        <w:jc w:val="center"/>
        <w:outlineLvl w:val="1"/>
      </w:pPr>
      <w:r>
        <w:rPr>
          <w:rFonts w:ascii="黑体" w:hAnsi="黑体" w:eastAsia="黑体"/>
          <w:sz w:val="32"/>
        </w:rPr>
        <w:t>第三部分 专业名词解释</w:t>
      </w:r>
    </w:p>
    <w:p w14:paraId="07FCD48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182021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029980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EA019F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FBE86A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1D9E11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039F0A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9E16A0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3C2889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A084A6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FA6AFD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904B06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99F381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833332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B2422D4">
      <w:r>
        <w:br w:type="page"/>
      </w:r>
    </w:p>
    <w:p w14:paraId="63742E1D">
      <w:pPr>
        <w:spacing w:line="240" w:lineRule="auto"/>
        <w:jc w:val="center"/>
        <w:outlineLvl w:val="1"/>
      </w:pPr>
      <w:r>
        <w:rPr>
          <w:rFonts w:ascii="黑体" w:hAnsi="黑体" w:eastAsia="黑体"/>
          <w:sz w:val="32"/>
        </w:rPr>
        <w:t>第四部分 部门决算报表（见附表）</w:t>
      </w:r>
    </w:p>
    <w:p w14:paraId="6D16AD11">
      <w:pPr>
        <w:spacing w:line="240" w:lineRule="auto"/>
        <w:ind w:firstLine="640"/>
        <w:jc w:val="both"/>
      </w:pPr>
      <w:r>
        <w:rPr>
          <w:rFonts w:ascii="仿宋_GB2312" w:hAnsi="仿宋_GB2312" w:eastAsia="仿宋_GB2312"/>
          <w:b w:val="0"/>
          <w:sz w:val="32"/>
        </w:rPr>
        <w:t>一、《收入支出决算总表》</w:t>
      </w:r>
    </w:p>
    <w:p w14:paraId="4D233F87">
      <w:pPr>
        <w:spacing w:line="240" w:lineRule="auto"/>
        <w:ind w:firstLine="640"/>
        <w:jc w:val="both"/>
      </w:pPr>
      <w:r>
        <w:rPr>
          <w:rFonts w:ascii="仿宋_GB2312" w:hAnsi="仿宋_GB2312" w:eastAsia="仿宋_GB2312"/>
          <w:b w:val="0"/>
          <w:sz w:val="32"/>
        </w:rPr>
        <w:t>二、《收入决算表》</w:t>
      </w:r>
    </w:p>
    <w:p w14:paraId="1B2F4F70">
      <w:pPr>
        <w:spacing w:line="240" w:lineRule="auto"/>
        <w:ind w:firstLine="640"/>
        <w:jc w:val="both"/>
      </w:pPr>
      <w:r>
        <w:rPr>
          <w:rFonts w:ascii="仿宋_GB2312" w:hAnsi="仿宋_GB2312" w:eastAsia="仿宋_GB2312"/>
          <w:b w:val="0"/>
          <w:sz w:val="32"/>
        </w:rPr>
        <w:t>三、《支出决算表》</w:t>
      </w:r>
    </w:p>
    <w:p w14:paraId="4A3F79ED">
      <w:pPr>
        <w:spacing w:line="240" w:lineRule="auto"/>
        <w:ind w:firstLine="640"/>
        <w:jc w:val="both"/>
      </w:pPr>
      <w:r>
        <w:rPr>
          <w:rFonts w:ascii="仿宋_GB2312" w:hAnsi="仿宋_GB2312" w:eastAsia="仿宋_GB2312"/>
          <w:b w:val="0"/>
          <w:sz w:val="32"/>
        </w:rPr>
        <w:t>四、《财政拨款收入支出决算总表》</w:t>
      </w:r>
    </w:p>
    <w:p w14:paraId="7FAA128C">
      <w:pPr>
        <w:spacing w:line="240" w:lineRule="auto"/>
        <w:ind w:firstLine="640"/>
        <w:jc w:val="both"/>
      </w:pPr>
      <w:r>
        <w:rPr>
          <w:rFonts w:ascii="仿宋_GB2312" w:hAnsi="仿宋_GB2312" w:eastAsia="仿宋_GB2312"/>
          <w:b w:val="0"/>
          <w:sz w:val="32"/>
        </w:rPr>
        <w:t>五、《一般公共预算财政拨款支出决算表》</w:t>
      </w:r>
    </w:p>
    <w:p w14:paraId="57B31B9C">
      <w:pPr>
        <w:spacing w:line="240" w:lineRule="auto"/>
        <w:ind w:firstLine="640"/>
        <w:jc w:val="both"/>
      </w:pPr>
      <w:r>
        <w:rPr>
          <w:rFonts w:ascii="仿宋_GB2312" w:hAnsi="仿宋_GB2312" w:eastAsia="仿宋_GB2312"/>
          <w:b w:val="0"/>
          <w:sz w:val="32"/>
        </w:rPr>
        <w:t>六、《一般公共预算财政拨款基本支出决算表》</w:t>
      </w:r>
    </w:p>
    <w:p w14:paraId="06877E4F">
      <w:pPr>
        <w:spacing w:line="240" w:lineRule="auto"/>
        <w:ind w:firstLine="640"/>
        <w:jc w:val="both"/>
      </w:pPr>
      <w:r>
        <w:rPr>
          <w:rFonts w:ascii="仿宋_GB2312" w:hAnsi="仿宋_GB2312" w:eastAsia="仿宋_GB2312"/>
          <w:b w:val="0"/>
          <w:sz w:val="32"/>
        </w:rPr>
        <w:t>七、《政府性基金预算财政拨款收入支出决算表》</w:t>
      </w:r>
    </w:p>
    <w:p w14:paraId="09372457">
      <w:pPr>
        <w:spacing w:line="240" w:lineRule="auto"/>
        <w:ind w:firstLine="640"/>
        <w:jc w:val="both"/>
      </w:pPr>
      <w:r>
        <w:rPr>
          <w:rFonts w:ascii="仿宋_GB2312" w:hAnsi="仿宋_GB2312" w:eastAsia="仿宋_GB2312"/>
          <w:b w:val="0"/>
          <w:sz w:val="32"/>
        </w:rPr>
        <w:t>八、《国有资本经营预算财政拨款收入支出决算表》</w:t>
      </w:r>
    </w:p>
    <w:p w14:paraId="385F38CE">
      <w:pPr>
        <w:spacing w:line="240" w:lineRule="auto"/>
        <w:ind w:firstLine="640"/>
        <w:jc w:val="both"/>
      </w:pPr>
      <w:r>
        <w:rPr>
          <w:rFonts w:ascii="仿宋_GB2312" w:hAnsi="仿宋_GB2312" w:eastAsia="仿宋_GB2312"/>
          <w:b w:val="0"/>
          <w:sz w:val="32"/>
        </w:rPr>
        <w:t>九、《财政拨款“三公”经费支出决算表》</w:t>
      </w:r>
    </w:p>
    <w:p w14:paraId="2E69038F">
      <w:pPr>
        <w:spacing w:line="240" w:lineRule="auto"/>
        <w:ind w:firstLine="640"/>
        <w:jc w:val="both"/>
      </w:pPr>
    </w:p>
    <w:p w14:paraId="7B7F6AA2">
      <w:pPr>
        <w:spacing w:line="240" w:lineRule="auto"/>
        <w:ind w:firstLine="640"/>
        <w:jc w:val="both"/>
      </w:pPr>
    </w:p>
    <w:p w14:paraId="5F8240F3">
      <w:pPr>
        <w:spacing w:line="240" w:lineRule="auto"/>
        <w:ind w:firstLine="640"/>
        <w:jc w:val="both"/>
      </w:pPr>
    </w:p>
    <w:p w14:paraId="317ECB3A">
      <w:pPr>
        <w:spacing w:line="240" w:lineRule="auto"/>
        <w:ind w:firstLine="640"/>
        <w:jc w:val="both"/>
      </w:pPr>
    </w:p>
    <w:p w14:paraId="767C0FB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433346"/>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0EB31E8"/>
    <w:rsid w:val="71473612"/>
    <w:rsid w:val="718F7F65"/>
    <w:rsid w:val="73423603"/>
    <w:rsid w:val="737A5923"/>
    <w:rsid w:val="73DE4104"/>
    <w:rsid w:val="73FB6630"/>
    <w:rsid w:val="74CE04EC"/>
    <w:rsid w:val="74E76DCD"/>
    <w:rsid w:val="76660D7C"/>
    <w:rsid w:val="76B364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7647</Words>
  <Characters>8652</Characters>
  <Lines>0</Lines>
  <Paragraphs>0</Paragraphs>
  <TotalTime>6</TotalTime>
  <ScaleCrop>false</ScaleCrop>
  <LinksUpToDate>false</LinksUpToDate>
  <CharactersWithSpaces>8677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2025-09-04T03:45:10Z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