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bookmarkEnd w:id="0"/>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麦盖提县退役军人事务局2024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68085E0">
      <w:r>
        <w:br w:type="page"/>
      </w:r>
    </w:p>
    <w:p w14:paraId="06570A02">
      <w:pPr>
        <w:spacing w:line="640" w:lineRule="exact"/>
        <w:jc w:val="center"/>
        <w:outlineLvl w:val="1"/>
      </w:pPr>
      <w:r>
        <w:rPr>
          <w:rFonts w:ascii="黑体" w:hAnsi="黑体" w:eastAsia="黑体"/>
          <w:sz w:val="32"/>
        </w:rPr>
        <w:t>第一部分 单位概况</w:t>
      </w:r>
    </w:p>
    <w:p w14:paraId="600C5664">
      <w:pPr>
        <w:spacing w:line="640" w:lineRule="exact"/>
        <w:ind w:firstLine="640"/>
        <w:jc w:val="both"/>
        <w:outlineLvl w:val="2"/>
      </w:pPr>
      <w:r>
        <w:rPr>
          <w:rFonts w:ascii="黑体" w:hAnsi="黑体" w:eastAsia="黑体"/>
          <w:sz w:val="32"/>
        </w:rPr>
        <w:t>一、主要职能</w:t>
      </w:r>
    </w:p>
    <w:p w14:paraId="55E1AA9E">
      <w:pPr>
        <w:spacing w:line="580" w:lineRule="exact"/>
        <w:ind w:firstLine="640"/>
        <w:jc w:val="both"/>
      </w:pPr>
      <w:r>
        <w:rPr>
          <w:rFonts w:ascii="仿宋_GB2312" w:hAnsi="仿宋_GB2312" w:eastAsia="仿宋_GB2312"/>
          <w:sz w:val="32"/>
        </w:rPr>
        <w:t>（一）指导各乡（镇、场）退役军人服务站业务工作，全面推进退役军人服务保障体系建设。</w:t>
      </w:r>
    </w:p>
    <w:p w14:paraId="17226726">
      <w:pPr>
        <w:spacing w:line="580" w:lineRule="exact"/>
        <w:ind w:firstLine="640"/>
        <w:jc w:val="both"/>
      </w:pPr>
      <w:r>
        <w:rPr>
          <w:rFonts w:ascii="仿宋_GB2312" w:hAnsi="仿宋_GB2312" w:eastAsia="仿宋_GB2312"/>
          <w:sz w:val="32"/>
        </w:rPr>
        <w:t>（二）协助做好退役军人行政关系、组织关系、供给关系转接和档案移交，协助基层党组织做好退役军人党员教育服务工作。</w:t>
      </w:r>
    </w:p>
    <w:p w14:paraId="7CCC917D">
      <w:pPr>
        <w:spacing w:line="580" w:lineRule="exact"/>
        <w:ind w:firstLine="640"/>
        <w:jc w:val="both"/>
      </w:pPr>
      <w:r>
        <w:rPr>
          <w:rFonts w:ascii="仿宋_GB2312" w:hAnsi="仿宋_GB2312" w:eastAsia="仿宋_GB2312"/>
          <w:sz w:val="32"/>
        </w:rPr>
        <w:t>（三）做好退役军人和其他优抚对象来访接待、政策解释、电话信访及网上信访登记、转办及反馈工作，以及上级领导和军地有关部门交办的信访事项。</w:t>
      </w:r>
    </w:p>
    <w:p w14:paraId="66DA9194">
      <w:pPr>
        <w:spacing w:line="580" w:lineRule="exact"/>
        <w:ind w:firstLine="640"/>
        <w:jc w:val="both"/>
      </w:pPr>
      <w:r>
        <w:rPr>
          <w:rFonts w:ascii="仿宋_GB2312" w:hAnsi="仿宋_GB2312" w:eastAsia="仿宋_GB2312"/>
          <w:sz w:val="32"/>
        </w:rPr>
        <w:t>（四）做好退役军人就业创业服务和政策咨询，收集汇总有关数据资料，分析麦盖提县退役军人就业创业形势，加强与相关机构合作交流，提供就业创业指导，组织就业创业论坛，协助组织开展区域性招聘活动等。</w:t>
      </w:r>
    </w:p>
    <w:p w14:paraId="475E1CA8">
      <w:pPr>
        <w:spacing w:line="580" w:lineRule="exact"/>
        <w:ind w:firstLine="640"/>
        <w:jc w:val="both"/>
      </w:pPr>
      <w:r>
        <w:rPr>
          <w:rFonts w:ascii="仿宋_GB2312" w:hAnsi="仿宋_GB2312" w:eastAsia="仿宋_GB2312"/>
          <w:sz w:val="32"/>
        </w:rPr>
        <w:t>（五）搭建政策咨询、沟通联系、学习交流等活动场所，开展退役军人和其他优抚对象政策解答、困难帮扶、走访慰问、权益咨询、心理疏导、法律服务以及舆情收集、引导等工作；做好军属、烈属、伤病残退役军人、带病回乡退役军人服务等事务性工作。</w:t>
      </w:r>
    </w:p>
    <w:p w14:paraId="43E10A0B">
      <w:pPr>
        <w:spacing w:line="580" w:lineRule="exact"/>
        <w:ind w:firstLine="640"/>
        <w:jc w:val="both"/>
      </w:pPr>
      <w:r>
        <w:rPr>
          <w:rFonts w:ascii="仿宋_GB2312" w:hAnsi="仿宋_GB2312" w:eastAsia="仿宋_GB2312"/>
          <w:sz w:val="32"/>
        </w:rPr>
        <w:t>（六）开展退役军人和其他优抚对象信息数据采集，资料管理汇总分析等工作，建好用好大数据资源，服务科学决策；负责搭建运行维护就业创业、困难退役军人军属帮扶援助平台。</w:t>
      </w:r>
    </w:p>
    <w:p w14:paraId="4D554101">
      <w:pPr>
        <w:spacing w:line="580" w:lineRule="exact"/>
        <w:ind w:firstLine="640"/>
        <w:jc w:val="both"/>
      </w:pPr>
      <w:r>
        <w:rPr>
          <w:rFonts w:ascii="仿宋_GB2312" w:hAnsi="仿宋_GB2312" w:eastAsia="仿宋_GB2312"/>
          <w:sz w:val="32"/>
        </w:rPr>
        <w:t>（七）负责发放自主择业退役士兵一次性经济补助金申请受理、审核、申报、发放资金等工作。</w:t>
      </w:r>
    </w:p>
    <w:p w14:paraId="681508B1">
      <w:pPr>
        <w:spacing w:line="580" w:lineRule="exact"/>
        <w:ind w:firstLine="640"/>
        <w:jc w:val="both"/>
      </w:pPr>
      <w:r>
        <w:rPr>
          <w:rFonts w:ascii="仿宋_GB2312" w:hAnsi="仿宋_GB2312" w:eastAsia="仿宋_GB2312"/>
          <w:sz w:val="32"/>
        </w:rPr>
        <w:t>（八）自主择业军转干部年度登记审核、现实表现鉴定等工作。</w:t>
      </w:r>
    </w:p>
    <w:p w14:paraId="1635B73B">
      <w:pPr>
        <w:spacing w:line="580" w:lineRule="exact"/>
        <w:ind w:firstLine="640"/>
        <w:jc w:val="both"/>
      </w:pPr>
      <w:r>
        <w:rPr>
          <w:rFonts w:ascii="仿宋_GB2312" w:hAnsi="仿宋_GB2312" w:eastAsia="仿宋_GB2312"/>
          <w:sz w:val="32"/>
        </w:rPr>
        <w:t>（九）负责办理政府安排工作退役士兵1996-2018社会保险接续工作。</w:t>
      </w:r>
    </w:p>
    <w:p w14:paraId="0A10D93B">
      <w:pPr>
        <w:spacing w:line="640" w:lineRule="exact"/>
        <w:ind w:firstLine="640"/>
        <w:jc w:val="both"/>
        <w:outlineLvl w:val="2"/>
      </w:pPr>
      <w:r>
        <w:rPr>
          <w:rFonts w:ascii="黑体" w:hAnsi="黑体" w:eastAsia="黑体"/>
          <w:sz w:val="32"/>
        </w:rPr>
        <w:t>二、机构设置及人员情况</w:t>
      </w:r>
    </w:p>
    <w:p w14:paraId="40D2EF02">
      <w:pPr>
        <w:spacing w:line="580" w:lineRule="exact"/>
        <w:ind w:firstLine="640"/>
        <w:jc w:val="both"/>
      </w:pPr>
      <w:r>
        <w:rPr>
          <w:rFonts w:ascii="仿宋_GB2312" w:hAnsi="仿宋_GB2312" w:eastAsia="仿宋_GB2312"/>
          <w:sz w:val="32"/>
        </w:rPr>
        <w:t>麦盖提县退役军人事务局2024年度，实有人数7人，其中：在职人员7人，增加0人；离休人员0人，增加0人；退休人员0人,增加0人。</w:t>
      </w:r>
    </w:p>
    <w:p w14:paraId="03D68C5E">
      <w:pPr>
        <w:spacing w:line="580" w:lineRule="exact"/>
        <w:ind w:firstLine="640"/>
        <w:jc w:val="both"/>
      </w:pPr>
      <w:r>
        <w:rPr>
          <w:rFonts w:ascii="仿宋_GB2312" w:hAnsi="仿宋_GB2312" w:eastAsia="仿宋_GB2312"/>
          <w:sz w:val="32"/>
        </w:rPr>
        <w:t>麦盖提县退役军人事务局无下属预算单位，下设1个科室，分别是：综合办公室。</w:t>
      </w:r>
    </w:p>
    <w:p w14:paraId="44F46FF8">
      <w:r>
        <w:br w:type="page"/>
      </w:r>
    </w:p>
    <w:p w14:paraId="2AF9880E">
      <w:pPr>
        <w:spacing w:line="240" w:lineRule="auto"/>
        <w:jc w:val="center"/>
        <w:outlineLvl w:val="1"/>
      </w:pPr>
      <w:r>
        <w:rPr>
          <w:rFonts w:ascii="黑体" w:hAnsi="黑体" w:eastAsia="黑体"/>
          <w:sz w:val="32"/>
        </w:rPr>
        <w:t>第二部分 部门决算情况说明</w:t>
      </w:r>
    </w:p>
    <w:p w14:paraId="261C4261">
      <w:pPr>
        <w:spacing w:line="640" w:lineRule="exact"/>
        <w:ind w:firstLine="640"/>
        <w:jc w:val="both"/>
        <w:outlineLvl w:val="2"/>
      </w:pPr>
      <w:r>
        <w:rPr>
          <w:rFonts w:ascii="黑体" w:hAnsi="黑体" w:eastAsia="黑体"/>
          <w:sz w:val="32"/>
        </w:rPr>
        <w:t>一、收入支出决算总体情况说明</w:t>
      </w:r>
    </w:p>
    <w:p w14:paraId="368AFD37">
      <w:pPr>
        <w:spacing w:line="580" w:lineRule="exact"/>
        <w:ind w:firstLine="640"/>
        <w:jc w:val="both"/>
      </w:pPr>
      <w:r>
        <w:rPr>
          <w:rFonts w:ascii="仿宋_GB2312" w:hAnsi="仿宋_GB2312" w:eastAsia="仿宋_GB2312"/>
          <w:b/>
          <w:sz w:val="32"/>
        </w:rPr>
        <w:t>2024年度收入总计731.50万元，</w:t>
      </w:r>
      <w:r>
        <w:rPr>
          <w:rFonts w:ascii="仿宋_GB2312" w:hAnsi="仿宋_GB2312" w:eastAsia="仿宋_GB2312"/>
          <w:b w:val="0"/>
          <w:sz w:val="32"/>
        </w:rPr>
        <w:t>其中：本年收入合计731.50万元，使用非财政拨款结余（含专用结余）0.00万元，年初结转和结余0.00万元。</w:t>
      </w:r>
    </w:p>
    <w:p w14:paraId="2A80B865">
      <w:pPr>
        <w:spacing w:line="580" w:lineRule="exact"/>
        <w:ind w:firstLine="640"/>
        <w:jc w:val="both"/>
      </w:pPr>
      <w:r>
        <w:rPr>
          <w:rFonts w:ascii="仿宋_GB2312" w:hAnsi="仿宋_GB2312" w:eastAsia="仿宋_GB2312"/>
          <w:b/>
          <w:sz w:val="32"/>
        </w:rPr>
        <w:t>2024年度支出总计731.50万元，</w:t>
      </w:r>
      <w:r>
        <w:rPr>
          <w:rFonts w:ascii="仿宋_GB2312" w:hAnsi="仿宋_GB2312" w:eastAsia="仿宋_GB2312"/>
          <w:b w:val="0"/>
          <w:sz w:val="32"/>
        </w:rPr>
        <w:t>其中：本年支出合计731.50万元，结余分配0.00万元，年末结转和结余0.00万元。</w:t>
      </w:r>
    </w:p>
    <w:p w14:paraId="169AD512">
      <w:pPr>
        <w:spacing w:line="580" w:lineRule="exact"/>
        <w:ind w:firstLine="640"/>
        <w:jc w:val="both"/>
      </w:pPr>
      <w:r>
        <w:rPr>
          <w:rFonts w:ascii="仿宋_GB2312" w:hAnsi="仿宋_GB2312" w:eastAsia="仿宋_GB2312"/>
          <w:b w:val="0"/>
          <w:sz w:val="32"/>
        </w:rPr>
        <w:t>收入支出总体与上年相比，减少98.54万元，下降11.87%，主要原因是：一是本年义务兵优待金项目资金较上年减少。二是服务对象人数减少。</w:t>
      </w:r>
    </w:p>
    <w:p w14:paraId="42041659">
      <w:pPr>
        <w:spacing w:line="640" w:lineRule="exact"/>
        <w:ind w:firstLine="640"/>
        <w:jc w:val="both"/>
        <w:outlineLvl w:val="2"/>
      </w:pPr>
      <w:r>
        <w:rPr>
          <w:rFonts w:ascii="黑体" w:hAnsi="黑体" w:eastAsia="黑体"/>
          <w:sz w:val="32"/>
        </w:rPr>
        <w:t>二、收入决算情况说明</w:t>
      </w:r>
    </w:p>
    <w:p w14:paraId="5E0FCE7E">
      <w:pPr>
        <w:spacing w:line="580" w:lineRule="exact"/>
        <w:ind w:firstLine="640"/>
        <w:jc w:val="both"/>
      </w:pPr>
      <w:r>
        <w:rPr>
          <w:rFonts w:ascii="仿宋_GB2312" w:hAnsi="仿宋_GB2312" w:eastAsia="仿宋_GB2312"/>
          <w:b/>
          <w:sz w:val="32"/>
        </w:rPr>
        <w:t>本年收入731.50万元，</w:t>
      </w:r>
      <w:r>
        <w:rPr>
          <w:rFonts w:ascii="仿宋_GB2312" w:hAnsi="仿宋_GB2312" w:eastAsia="仿宋_GB2312"/>
          <w:b w:val="0"/>
          <w:sz w:val="32"/>
        </w:rPr>
        <w:t>其中：财政拨款收入731.50万元，占100.00%；上级补助收入0.00万元，占0.00%；事业收入0.00万元，占0.00%；经营收入0.00万元，占0.00%；附属单位上缴收入0.00万元，占0.00%；其他收入0.00万元，占0.00%。</w:t>
      </w:r>
    </w:p>
    <w:p w14:paraId="58E4F9AD">
      <w:pPr>
        <w:spacing w:line="640" w:lineRule="exact"/>
        <w:ind w:firstLine="640"/>
        <w:jc w:val="both"/>
        <w:outlineLvl w:val="2"/>
      </w:pPr>
      <w:r>
        <w:rPr>
          <w:rFonts w:ascii="黑体" w:hAnsi="黑体" w:eastAsia="黑体"/>
          <w:sz w:val="32"/>
        </w:rPr>
        <w:t>三、支出决算情况说明</w:t>
      </w:r>
    </w:p>
    <w:p w14:paraId="3268755E">
      <w:pPr>
        <w:spacing w:line="580" w:lineRule="exact"/>
        <w:ind w:firstLine="640"/>
        <w:jc w:val="both"/>
      </w:pPr>
      <w:r>
        <w:rPr>
          <w:rFonts w:ascii="仿宋_GB2312" w:hAnsi="仿宋_GB2312" w:eastAsia="仿宋_GB2312"/>
          <w:b/>
          <w:sz w:val="32"/>
        </w:rPr>
        <w:t>本年支出731.50万元，</w:t>
      </w:r>
      <w:r>
        <w:rPr>
          <w:rFonts w:ascii="仿宋_GB2312" w:hAnsi="仿宋_GB2312" w:eastAsia="仿宋_GB2312"/>
          <w:b w:val="0"/>
          <w:sz w:val="32"/>
        </w:rPr>
        <w:t>其中：基本支出117.70万元，占16.09%；项目支出613.80万元，占83.91%；上缴上级支出0.00万元，占0.00%；经营支出0.00万元，占0.00%；对附属单位补助支出0.00万元，占0.00%。</w:t>
      </w:r>
    </w:p>
    <w:p w14:paraId="40AFC5C6">
      <w:pPr>
        <w:spacing w:line="640" w:lineRule="exact"/>
        <w:ind w:firstLine="640"/>
        <w:jc w:val="both"/>
        <w:outlineLvl w:val="2"/>
      </w:pPr>
      <w:r>
        <w:rPr>
          <w:rFonts w:ascii="黑体" w:hAnsi="黑体" w:eastAsia="黑体"/>
          <w:sz w:val="32"/>
        </w:rPr>
        <w:t>四、财政拨款收入支出决算总体情况说明</w:t>
      </w:r>
    </w:p>
    <w:p w14:paraId="55B14C04">
      <w:pPr>
        <w:spacing w:line="580" w:lineRule="exact"/>
        <w:ind w:firstLine="640"/>
        <w:jc w:val="both"/>
      </w:pPr>
      <w:r>
        <w:rPr>
          <w:rFonts w:ascii="仿宋_GB2312" w:hAnsi="仿宋_GB2312" w:eastAsia="仿宋_GB2312"/>
          <w:b/>
          <w:sz w:val="32"/>
        </w:rPr>
        <w:t>2024年度财政拨款收入总计731.50万元，</w:t>
      </w:r>
      <w:r>
        <w:rPr>
          <w:rFonts w:ascii="仿宋_GB2312" w:hAnsi="仿宋_GB2312" w:eastAsia="仿宋_GB2312"/>
          <w:b w:val="0"/>
          <w:sz w:val="32"/>
        </w:rPr>
        <w:t>其中：年初财政拨款结转和结余0.00万元，本年财政拨款收入731.50万元。</w:t>
      </w:r>
      <w:r>
        <w:rPr>
          <w:rFonts w:ascii="仿宋_GB2312" w:hAnsi="仿宋_GB2312" w:eastAsia="仿宋_GB2312"/>
          <w:b/>
          <w:sz w:val="32"/>
        </w:rPr>
        <w:t>财政拨款支出总计731.50万元，</w:t>
      </w:r>
      <w:r>
        <w:rPr>
          <w:rFonts w:ascii="仿宋_GB2312" w:hAnsi="仿宋_GB2312" w:eastAsia="仿宋_GB2312"/>
          <w:b w:val="0"/>
          <w:sz w:val="32"/>
        </w:rPr>
        <w:t>其中：年末财政拨款结转和结余0.00万元，本年财政拨款支出731.50万元。</w:t>
      </w:r>
    </w:p>
    <w:p w14:paraId="427E0EB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减少37.48万元，下降4.87%，主要原因是：一是本年义务兵优待金项目资金较上年减少。二是服务对象人数减少。</w:t>
      </w:r>
      <w:r>
        <w:rPr>
          <w:rFonts w:ascii="仿宋_GB2312" w:hAnsi="仿宋_GB2312" w:eastAsia="仿宋_GB2312"/>
          <w:b/>
          <w:sz w:val="32"/>
        </w:rPr>
        <w:t>与年初预算相比，</w:t>
      </w:r>
      <w:r>
        <w:rPr>
          <w:rFonts w:ascii="仿宋_GB2312" w:hAnsi="仿宋_GB2312" w:eastAsia="仿宋_GB2312"/>
          <w:b w:val="0"/>
          <w:sz w:val="32"/>
        </w:rPr>
        <w:t>年初预算数758.95万元，决算数731.50万元，预决算差异率-3.62%，主要原因是：义务兵家庭优待金人数年中减少，年中调减项目资金，导致预决算存在差异。</w:t>
      </w:r>
    </w:p>
    <w:p w14:paraId="0D3CF920">
      <w:pPr>
        <w:spacing w:line="640" w:lineRule="exact"/>
        <w:ind w:firstLine="640"/>
        <w:jc w:val="both"/>
        <w:outlineLvl w:val="2"/>
      </w:pPr>
      <w:r>
        <w:rPr>
          <w:rFonts w:ascii="黑体" w:hAnsi="黑体" w:eastAsia="黑体"/>
          <w:sz w:val="32"/>
        </w:rPr>
        <w:t>五、一般公共预算财政拨款支出决算情况说明</w:t>
      </w:r>
    </w:p>
    <w:p w14:paraId="3F4618AE">
      <w:pPr>
        <w:spacing w:line="640" w:lineRule="exact"/>
        <w:ind w:firstLine="640"/>
        <w:jc w:val="both"/>
        <w:outlineLvl w:val="3"/>
      </w:pPr>
      <w:r>
        <w:rPr>
          <w:rFonts w:ascii="楷体_GB2312" w:hAnsi="楷体_GB2312" w:eastAsia="楷体_GB2312"/>
          <w:b/>
          <w:sz w:val="32"/>
        </w:rPr>
        <w:t>（一）一般公共预算财政拨款支出决算总体情况</w:t>
      </w:r>
    </w:p>
    <w:p w14:paraId="783910DF">
      <w:pPr>
        <w:spacing w:line="580" w:lineRule="exact"/>
        <w:ind w:firstLine="640"/>
        <w:jc w:val="both"/>
      </w:pPr>
      <w:r>
        <w:rPr>
          <w:rFonts w:ascii="仿宋_GB2312" w:hAnsi="仿宋_GB2312" w:eastAsia="仿宋_GB2312"/>
          <w:b/>
          <w:sz w:val="32"/>
        </w:rPr>
        <w:t>2024年度一般公共预算财政拨款支出731.50万元，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减少37.48万元，下降4.87%，主要原因是：一是本年义务兵优待金项目资金较上年减少。二是服务对象人数减少。</w:t>
      </w:r>
      <w:r>
        <w:rPr>
          <w:rFonts w:ascii="仿宋_GB2312" w:hAnsi="仿宋_GB2312" w:eastAsia="仿宋_GB2312"/>
          <w:b/>
          <w:sz w:val="32"/>
        </w:rPr>
        <w:t>与年初预算相比,</w:t>
      </w:r>
      <w:r>
        <w:rPr>
          <w:rFonts w:ascii="仿宋_GB2312" w:hAnsi="仿宋_GB2312" w:eastAsia="仿宋_GB2312"/>
          <w:b w:val="0"/>
          <w:sz w:val="32"/>
        </w:rPr>
        <w:t>年初预算数758.95万元，决算数731.50万元，预决算差异率-3.62%，主要原因是：义务兵家庭优待金人数年中减少，年中调减项目资金，导致预决算存在差异。</w:t>
      </w:r>
    </w:p>
    <w:p w14:paraId="2D11CAA5">
      <w:pPr>
        <w:spacing w:line="640" w:lineRule="exact"/>
        <w:ind w:firstLine="640"/>
        <w:jc w:val="both"/>
        <w:outlineLvl w:val="3"/>
      </w:pPr>
      <w:r>
        <w:rPr>
          <w:rFonts w:ascii="楷体_GB2312" w:hAnsi="楷体_GB2312" w:eastAsia="楷体_GB2312"/>
          <w:b/>
          <w:sz w:val="32"/>
        </w:rPr>
        <w:t>（二）一般公共预算财政拨款支出决算结构情况</w:t>
      </w:r>
    </w:p>
    <w:p w14:paraId="6F3CF24A">
      <w:pPr>
        <w:spacing w:line="580" w:lineRule="exact"/>
        <w:ind w:firstLine="640"/>
        <w:jc w:val="both"/>
      </w:pPr>
      <w:r>
        <w:rPr>
          <w:rFonts w:ascii="仿宋_GB2312" w:hAnsi="仿宋_GB2312" w:eastAsia="仿宋_GB2312"/>
          <w:b w:val="0"/>
          <w:sz w:val="32"/>
        </w:rPr>
        <w:t>1.社会保障和就业支出(类)715.10万元,占97.76%。</w:t>
      </w:r>
    </w:p>
    <w:p w14:paraId="537AD2A1">
      <w:pPr>
        <w:spacing w:line="580" w:lineRule="exact"/>
        <w:ind w:firstLine="640"/>
        <w:jc w:val="both"/>
      </w:pPr>
      <w:r>
        <w:rPr>
          <w:rFonts w:ascii="仿宋_GB2312" w:hAnsi="仿宋_GB2312" w:eastAsia="仿宋_GB2312"/>
          <w:b w:val="0"/>
          <w:sz w:val="32"/>
        </w:rPr>
        <w:t>2.卫生健康支出(类)7.15万元,占0.98%。</w:t>
      </w:r>
    </w:p>
    <w:p w14:paraId="2E7BF615">
      <w:pPr>
        <w:spacing w:line="580" w:lineRule="exact"/>
        <w:ind w:firstLine="640"/>
        <w:jc w:val="both"/>
      </w:pPr>
      <w:r>
        <w:rPr>
          <w:rFonts w:ascii="仿宋_GB2312" w:hAnsi="仿宋_GB2312" w:eastAsia="仿宋_GB2312"/>
          <w:b w:val="0"/>
          <w:sz w:val="32"/>
        </w:rPr>
        <w:t>3.住房保障支出(类)9.25万元,占1.26%。</w:t>
      </w:r>
    </w:p>
    <w:p w14:paraId="031F95C3">
      <w:pPr>
        <w:spacing w:line="640" w:lineRule="exact"/>
        <w:ind w:firstLine="640"/>
        <w:jc w:val="both"/>
        <w:outlineLvl w:val="3"/>
      </w:pPr>
      <w:r>
        <w:rPr>
          <w:rFonts w:ascii="楷体_GB2312" w:hAnsi="楷体_GB2312" w:eastAsia="楷体_GB2312"/>
          <w:b/>
          <w:sz w:val="32"/>
        </w:rPr>
        <w:t>（三）一般公共预算财政拨款支出决算具体情况</w:t>
      </w:r>
    </w:p>
    <w:p w14:paraId="53412E48">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1.社会保障和就业支出(类)行政事业单位养老支出(款)机关事业单位基本养老保险缴费支出(项):支出决算数为11.72万元，比上年决算增加0.75万元，增长6.84%,主要原因是：本年在职人员调薪，养老保险缴费增加。</w:t>
      </w:r>
    </w:p>
    <w:p w14:paraId="7E0D53C6">
      <w:pPr>
        <w:spacing w:line="580" w:lineRule="exact"/>
        <w:ind w:firstLine="640"/>
        <w:jc w:val="both"/>
      </w:pPr>
      <w:r>
        <w:rPr>
          <w:rFonts w:ascii="仿宋_GB2312" w:hAnsi="仿宋_GB2312" w:eastAsia="仿宋_GB2312"/>
          <w:b w:val="0"/>
          <w:sz w:val="32"/>
        </w:rPr>
        <w:t>2.社会保障和就业支出(类)抚恤(款)死亡抚恤(项):支出决算数为0.00万元，比上年决算减少6.12万元，下降100.00%,主要原因是：较上年减少退役军人事务局无军籍职工丧葬费，无此科目支出。</w:t>
      </w:r>
    </w:p>
    <w:p w14:paraId="00524DD3">
      <w:pPr>
        <w:spacing w:line="580" w:lineRule="exact"/>
        <w:ind w:firstLine="640"/>
        <w:jc w:val="both"/>
      </w:pPr>
      <w:r>
        <w:rPr>
          <w:rFonts w:ascii="仿宋_GB2312" w:hAnsi="仿宋_GB2312" w:eastAsia="仿宋_GB2312"/>
          <w:b w:val="0"/>
          <w:sz w:val="32"/>
        </w:rPr>
        <w:t>3.社会保障和就业支出(类)抚恤(款)义务兵优待(项):支出决算数为72.04万元，比上年决算减少22.56万元，下降23.85%,主要原因是：本年科目调整，级配套的优抚对象补助经费上年在义务兵优待</w:t>
      </w:r>
      <w:r>
        <w:rPr>
          <w:rFonts w:hint="eastAsia" w:ascii="仿宋_GB2312" w:hAnsi="仿宋_GB2312" w:eastAsia="仿宋_GB2312"/>
          <w:b w:val="0"/>
          <w:sz w:val="32"/>
          <w:lang w:val="en-US" w:eastAsia="zh-CN"/>
        </w:rPr>
        <w:t>科目</w:t>
      </w:r>
      <w:r>
        <w:rPr>
          <w:rFonts w:ascii="仿宋_GB2312" w:hAnsi="仿宋_GB2312" w:eastAsia="仿宋_GB2312"/>
          <w:b w:val="0"/>
          <w:sz w:val="32"/>
        </w:rPr>
        <w:t>核算，本年并入其他优抚支出科目核算，导致此科目经费较上年减少。</w:t>
      </w:r>
    </w:p>
    <w:p w14:paraId="4C085D5A">
      <w:pPr>
        <w:spacing w:line="580" w:lineRule="exact"/>
        <w:ind w:firstLine="640"/>
        <w:jc w:val="both"/>
      </w:pPr>
      <w:r>
        <w:rPr>
          <w:rFonts w:ascii="仿宋_GB2312" w:hAnsi="仿宋_GB2312" w:eastAsia="仿宋_GB2312"/>
          <w:b w:val="0"/>
          <w:sz w:val="32"/>
        </w:rPr>
        <w:t>4.社会保障和就业支出(类)抚恤(款)其他优抚支出(项):支出决算数为287.82万元，比上年决算增加13.87万元，增长5.06%,主要原因是：本年科目调整，县级配套的优抚对象补助经费上年在义务兵优待核算，本年并入其他优抚支出科目核算，导致此科目经费较上年增加。</w:t>
      </w:r>
    </w:p>
    <w:p w14:paraId="2CB27342">
      <w:pPr>
        <w:spacing w:line="580" w:lineRule="exact"/>
        <w:ind w:firstLine="640"/>
        <w:jc w:val="both"/>
      </w:pPr>
      <w:r>
        <w:rPr>
          <w:rFonts w:ascii="仿宋_GB2312" w:hAnsi="仿宋_GB2312" w:eastAsia="仿宋_GB2312"/>
          <w:b w:val="0"/>
          <w:sz w:val="32"/>
        </w:rPr>
        <w:t>5.社会保障和就业支出(类)退役安置(款)退役士兵安置(项):支出决算数为111.05万元，比上年决算增加111.05万元，增长100.00%,主要原因是：本年科目调整，退役军人一次性经济补助金上年在其他退役安置支出科目列支，本年并入退役士兵安置科目核算，导致此科目经费较</w:t>
      </w:r>
      <w:r>
        <w:rPr>
          <w:rFonts w:hint="eastAsia" w:ascii="仿宋_GB2312" w:hAnsi="仿宋_GB2312" w:eastAsia="仿宋_GB2312"/>
          <w:b w:val="0"/>
          <w:sz w:val="32"/>
          <w:lang w:val="en-US" w:eastAsia="zh-CN"/>
        </w:rPr>
        <w:t>上年</w:t>
      </w:r>
      <w:r>
        <w:rPr>
          <w:rFonts w:ascii="仿宋_GB2312" w:hAnsi="仿宋_GB2312" w:eastAsia="仿宋_GB2312"/>
          <w:b w:val="0"/>
          <w:sz w:val="32"/>
        </w:rPr>
        <w:t>增加。</w:t>
      </w:r>
    </w:p>
    <w:p w14:paraId="5A123289">
      <w:pPr>
        <w:spacing w:line="580" w:lineRule="exact"/>
        <w:ind w:firstLine="640"/>
        <w:jc w:val="both"/>
      </w:pPr>
      <w:r>
        <w:rPr>
          <w:rFonts w:ascii="仿宋_GB2312" w:hAnsi="仿宋_GB2312" w:eastAsia="仿宋_GB2312"/>
          <w:b w:val="0"/>
          <w:sz w:val="32"/>
        </w:rPr>
        <w:t>6.社会保障和就业支出(类)退役安置(款)军队移交政府的离退休人员安置(项):支出决算数为89.00万元，比上年决算减少19.80万元，下降18.20%,主要原因是：本年减少军休、无军籍职工工资、医保费项目资金，故经费支出减少。</w:t>
      </w:r>
    </w:p>
    <w:p w14:paraId="0020943B">
      <w:pPr>
        <w:spacing w:line="580" w:lineRule="exact"/>
        <w:ind w:firstLine="640"/>
        <w:jc w:val="both"/>
      </w:pPr>
      <w:r>
        <w:rPr>
          <w:rFonts w:ascii="仿宋_GB2312" w:hAnsi="仿宋_GB2312" w:eastAsia="仿宋_GB2312"/>
          <w:b w:val="0"/>
          <w:sz w:val="32"/>
        </w:rPr>
        <w:t>7.社会保障和就业支出(类)退役安置(款)军队移交政府离退休干部管理机构(项):支出决算数为0.00万元，比上年决算减少1.70万元，下降100.00%,主要原因是：本年减少退役军人事务局军休服务管理经费。</w:t>
      </w:r>
    </w:p>
    <w:p w14:paraId="76CA08E1">
      <w:pPr>
        <w:spacing w:line="580" w:lineRule="exact"/>
        <w:ind w:firstLine="640"/>
        <w:jc w:val="both"/>
      </w:pPr>
      <w:r>
        <w:rPr>
          <w:rFonts w:ascii="仿宋_GB2312" w:hAnsi="仿宋_GB2312" w:eastAsia="仿宋_GB2312"/>
          <w:b w:val="0"/>
          <w:sz w:val="32"/>
        </w:rPr>
        <w:t>8.社会保障和就业支出(类)退役安置(款)军队转业干部安置(项):支出决算数为43.05万元，比上年决算增加39.20万元，增长1,018.18%,主要原因是：本年科目调整，自主择业军队转业干部医保费上年在其他退役军人事务管理支出科目列支，本年在军队转业干部安置科目列支，导致经费较上年增加。</w:t>
      </w:r>
    </w:p>
    <w:p w14:paraId="1233EF6B">
      <w:pPr>
        <w:spacing w:line="580" w:lineRule="exact"/>
        <w:ind w:firstLine="640"/>
        <w:jc w:val="both"/>
      </w:pPr>
      <w:r>
        <w:rPr>
          <w:rFonts w:ascii="仿宋_GB2312" w:hAnsi="仿宋_GB2312" w:eastAsia="仿宋_GB2312"/>
          <w:b w:val="0"/>
          <w:sz w:val="32"/>
        </w:rPr>
        <w:t>9.社会保障和就业支出(类)退役安置(款)其他退役安置支出(项):支出决算数为9.40万元，比上年决算减少106.12万元，下降91.86%,主要原因是：本年科目调整，退役军人一次性经济补助金上年在其他退役安置支出科目列支，本年并入退役士兵安置科目核算，导致此科目经费较</w:t>
      </w:r>
      <w:r>
        <w:rPr>
          <w:rFonts w:hint="eastAsia" w:ascii="仿宋_GB2312" w:hAnsi="仿宋_GB2312" w:eastAsia="仿宋_GB2312"/>
          <w:b w:val="0"/>
          <w:sz w:val="32"/>
          <w:lang w:val="en-US" w:eastAsia="zh-CN"/>
        </w:rPr>
        <w:t>上年减少</w:t>
      </w:r>
      <w:r>
        <w:rPr>
          <w:rFonts w:ascii="仿宋_GB2312" w:hAnsi="仿宋_GB2312" w:eastAsia="仿宋_GB2312"/>
          <w:b w:val="0"/>
          <w:sz w:val="32"/>
        </w:rPr>
        <w:t>。</w:t>
      </w:r>
    </w:p>
    <w:p w14:paraId="1C43AF2C">
      <w:pPr>
        <w:spacing w:line="580" w:lineRule="exact"/>
        <w:ind w:firstLine="640"/>
        <w:jc w:val="both"/>
      </w:pPr>
      <w:r>
        <w:rPr>
          <w:rFonts w:ascii="仿宋_GB2312" w:hAnsi="仿宋_GB2312" w:eastAsia="仿宋_GB2312"/>
          <w:b w:val="0"/>
          <w:sz w:val="32"/>
        </w:rPr>
        <w:t>10.社会保障和就业支出(类)退役军人管理事务(款)行政运行(项):支出决算数为91.03万元，比上年决算增加6.52万元，增长7.72%,主要原因是：本年在职人员工资调薪，相关人员经费增加。</w:t>
      </w:r>
    </w:p>
    <w:p w14:paraId="758BDE6F">
      <w:pPr>
        <w:spacing w:line="580" w:lineRule="exact"/>
        <w:ind w:firstLine="640"/>
        <w:jc w:val="both"/>
      </w:pPr>
      <w:r>
        <w:rPr>
          <w:rFonts w:ascii="仿宋_GB2312" w:hAnsi="仿宋_GB2312" w:eastAsia="仿宋_GB2312"/>
          <w:b w:val="0"/>
          <w:sz w:val="32"/>
        </w:rPr>
        <w:t>11.社会保障和就业支出(类)退役军人管理事务(款)其他退役军人事务管理支出(项):支出决算数为0.00万元，比上年决算减少54.20万元，下降100.00%,主要原因是：本年科目调整，自主择业军队转业干部医保费上年在其他退役军人事务管理支出科目列支，本年在军队转业干部安置科目列支，导致此科目经费较上年减少。</w:t>
      </w:r>
    </w:p>
    <w:p w14:paraId="6CE73FB8">
      <w:pPr>
        <w:spacing w:line="580" w:lineRule="exact"/>
        <w:ind w:firstLine="640"/>
        <w:jc w:val="both"/>
      </w:pPr>
      <w:r>
        <w:rPr>
          <w:rFonts w:ascii="仿宋_GB2312" w:hAnsi="仿宋_GB2312" w:eastAsia="仿宋_GB2312"/>
          <w:b w:val="0"/>
          <w:sz w:val="32"/>
        </w:rPr>
        <w:t>12.卫生健康支出(类)行政事业单位医疗(款)行政单位医疗(项):支出决算数为4.98万元，比上年决算增加0.32万元，增长6.87%,主要原因是：本年在职人员工资调薪，医疗保险缴费增加。</w:t>
      </w:r>
    </w:p>
    <w:p w14:paraId="44DBE560">
      <w:pPr>
        <w:spacing w:line="580" w:lineRule="exact"/>
        <w:ind w:firstLine="640"/>
        <w:jc w:val="both"/>
      </w:pPr>
      <w:r>
        <w:rPr>
          <w:rFonts w:ascii="仿宋_GB2312" w:hAnsi="仿宋_GB2312" w:eastAsia="仿宋_GB2312"/>
          <w:b w:val="0"/>
          <w:sz w:val="32"/>
        </w:rPr>
        <w:t>13.卫生健康支出(类)行政事业单位医疗(款)公务员医疗补助(项):支出决算数为0.73万元，比上年决算增加0.07万元，增长10.61%,主要原因是：本年在职人员工资调薪，公务员医疗补助增加。</w:t>
      </w:r>
    </w:p>
    <w:p w14:paraId="1D475259">
      <w:pPr>
        <w:spacing w:line="580" w:lineRule="exact"/>
        <w:ind w:firstLine="640"/>
        <w:jc w:val="both"/>
      </w:pPr>
      <w:r>
        <w:rPr>
          <w:rFonts w:ascii="仿宋_GB2312" w:hAnsi="仿宋_GB2312" w:eastAsia="仿宋_GB2312"/>
          <w:b w:val="0"/>
          <w:sz w:val="32"/>
        </w:rPr>
        <w:t>14.卫生健康支出(类)优抚对象医疗(款)其他优抚对象医疗支出(项):支出决算数为1.44万元，比上年决算减少0.17万元，下降10.56%,主要原因是：本年减少中央优抚对象医疗保障经费项目资金。</w:t>
      </w:r>
    </w:p>
    <w:p w14:paraId="34B60A00">
      <w:pPr>
        <w:spacing w:line="580" w:lineRule="exact"/>
        <w:ind w:firstLine="640"/>
        <w:jc w:val="both"/>
      </w:pPr>
      <w:r>
        <w:rPr>
          <w:rFonts w:ascii="仿宋_GB2312" w:hAnsi="仿宋_GB2312" w:eastAsia="仿宋_GB2312"/>
          <w:b w:val="0"/>
          <w:sz w:val="32"/>
        </w:rPr>
        <w:t>15.住房保障支出(类)住房改革支出(款)住房公积金(项):支出决算数为9.25万元，比上年决算增加1.43万元，增长18.29%,主要原因是：本年在职人员工资调薪，住房公积金缴费增加。</w:t>
      </w:r>
    </w:p>
    <w:p w14:paraId="622F12DC">
      <w:pPr>
        <w:spacing w:line="640" w:lineRule="exact"/>
        <w:ind w:firstLine="640"/>
        <w:jc w:val="both"/>
        <w:outlineLvl w:val="2"/>
      </w:pPr>
      <w:r>
        <w:rPr>
          <w:rFonts w:ascii="黑体" w:hAnsi="黑体" w:eastAsia="黑体"/>
          <w:sz w:val="32"/>
        </w:rPr>
        <w:t>六、一般公共预算财政拨款基本支出决算情况说明</w:t>
      </w:r>
    </w:p>
    <w:p w14:paraId="6F4B6700">
      <w:pPr>
        <w:spacing w:line="580" w:lineRule="exact"/>
        <w:ind w:firstLine="640"/>
        <w:jc w:val="both"/>
      </w:pPr>
      <w:r>
        <w:rPr>
          <w:rFonts w:ascii="仿宋_GB2312" w:hAnsi="仿宋_GB2312" w:eastAsia="仿宋_GB2312"/>
          <w:b w:val="0"/>
          <w:sz w:val="32"/>
        </w:rPr>
        <w:t>2024年度一般公共预算财政拨款基本支出117.70万元，其中：</w:t>
      </w:r>
      <w:r>
        <w:rPr>
          <w:rFonts w:ascii="仿宋_GB2312" w:hAnsi="仿宋_GB2312" w:eastAsia="仿宋_GB2312"/>
          <w:b/>
          <w:sz w:val="32"/>
        </w:rPr>
        <w:t>人员经费113.94万元，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w:t>
      </w:r>
    </w:p>
    <w:p w14:paraId="638645DE">
      <w:pPr>
        <w:spacing w:line="580" w:lineRule="exact"/>
        <w:ind w:firstLine="640"/>
        <w:jc w:val="both"/>
      </w:pPr>
      <w:r>
        <w:rPr>
          <w:rFonts w:ascii="仿宋_GB2312" w:hAnsi="仿宋_GB2312" w:eastAsia="仿宋_GB2312"/>
          <w:b/>
          <w:sz w:val="32"/>
        </w:rPr>
        <w:t>公用经费3.76万元，</w:t>
      </w:r>
      <w:r>
        <w:rPr>
          <w:rFonts w:ascii="仿宋_GB2312" w:hAnsi="仿宋_GB2312" w:eastAsia="仿宋_GB2312"/>
          <w:b w:val="0"/>
          <w:sz w:val="32"/>
        </w:rPr>
        <w:t>包括：办公费、邮电费、差旅费、委托业务费、公务用车运行维护费。</w:t>
      </w:r>
    </w:p>
    <w:p w14:paraId="385E12A3">
      <w:pPr>
        <w:spacing w:line="640" w:lineRule="exact"/>
        <w:ind w:firstLine="640"/>
        <w:jc w:val="both"/>
        <w:outlineLvl w:val="2"/>
      </w:pPr>
      <w:r>
        <w:rPr>
          <w:rFonts w:ascii="黑体" w:hAnsi="黑体" w:eastAsia="黑体"/>
          <w:sz w:val="32"/>
        </w:rPr>
        <w:t>七、政府性基金预算财政拨款收入支出决算情况说明</w:t>
      </w:r>
    </w:p>
    <w:p w14:paraId="38537711">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11E75FD">
      <w:pPr>
        <w:spacing w:line="640" w:lineRule="exact"/>
        <w:ind w:firstLine="640"/>
        <w:jc w:val="both"/>
        <w:outlineLvl w:val="2"/>
      </w:pPr>
      <w:r>
        <w:rPr>
          <w:rFonts w:ascii="黑体" w:hAnsi="黑体" w:eastAsia="黑体"/>
          <w:sz w:val="32"/>
        </w:rPr>
        <w:t>八、国有资本经营预算财政拨款收入支出决算情况说明</w:t>
      </w:r>
    </w:p>
    <w:p w14:paraId="478738B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50F1B2E">
      <w:pPr>
        <w:spacing w:line="640" w:lineRule="exact"/>
        <w:ind w:firstLine="640"/>
        <w:jc w:val="both"/>
        <w:outlineLvl w:val="2"/>
      </w:pPr>
      <w:r>
        <w:rPr>
          <w:rFonts w:ascii="黑体" w:hAnsi="黑体" w:eastAsia="黑体"/>
          <w:sz w:val="32"/>
        </w:rPr>
        <w:t>九、财政拨款“三公”经费支出决算情况说明</w:t>
      </w:r>
    </w:p>
    <w:p w14:paraId="4860F8D4">
      <w:pPr>
        <w:spacing w:line="580" w:lineRule="exact"/>
        <w:ind w:firstLine="640"/>
        <w:jc w:val="both"/>
      </w:pPr>
      <w:r>
        <w:rPr>
          <w:rFonts w:ascii="仿宋_GB2312" w:hAnsi="仿宋_GB2312" w:eastAsia="仿宋_GB2312"/>
          <w:b/>
          <w:sz w:val="32"/>
        </w:rPr>
        <w:t>2024年度财政拨款“三公”经费支出0.64万元，</w:t>
      </w:r>
      <w:r>
        <w:rPr>
          <w:rFonts w:ascii="仿宋_GB2312" w:hAnsi="仿宋_GB2312" w:eastAsia="仿宋_GB2312"/>
          <w:b w:val="0"/>
          <w:sz w:val="32"/>
        </w:rPr>
        <w:t>比上年增加0.64万元，增长100.00%，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0.64万元，占100.00%，比上年增加0.64万元，增长100.00%，主要原因是：本年因业务需求，用车次数增加，燃油费增加，导致公务用车运行维护费较上年增加。公务接待费支出0.00万元，占0.00%，比上年增加0.00万元，增长0.00%，主要原因是：2023年与2024年均未安排公务接待费支出。</w:t>
      </w:r>
    </w:p>
    <w:p w14:paraId="131B8FAE">
      <w:pPr>
        <w:spacing w:line="580" w:lineRule="exact"/>
        <w:ind w:firstLine="640"/>
        <w:jc w:val="both"/>
      </w:pPr>
      <w:r>
        <w:rPr>
          <w:rFonts w:ascii="仿宋_GB2312" w:hAnsi="仿宋_GB2312" w:eastAsia="仿宋_GB2312"/>
          <w:b/>
          <w:sz w:val="32"/>
        </w:rPr>
        <w:t>具体情况如下：</w:t>
      </w:r>
    </w:p>
    <w:p w14:paraId="44673E4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A8FBDC9">
      <w:pPr>
        <w:spacing w:line="580" w:lineRule="exact"/>
        <w:ind w:firstLine="640"/>
        <w:jc w:val="both"/>
      </w:pPr>
      <w:r>
        <w:rPr>
          <w:rFonts w:ascii="仿宋_GB2312" w:hAnsi="仿宋_GB2312" w:eastAsia="仿宋_GB2312"/>
          <w:b w:val="0"/>
          <w:sz w:val="32"/>
        </w:rPr>
        <w:t>公务用车购置及运行维护费0.64万元，其中：公务用车购置费0.00万元，公务用车运行维护费0.64万元。公务用车运行维护费开支内容包括车辆加油费、维修费、保险费。公务用车购置数0辆，公务用车保有量1辆。国有资产占用情况中固定资产车辆1辆，与公务用车保有量差异原因是：本单位固定资产车辆与公务用车保有量一致无差异。</w:t>
      </w:r>
    </w:p>
    <w:p w14:paraId="34390DE6">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BF9457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0.64万元，决算数0.64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0.64万元，决算数0.64万元，预决算差异率0.00%，主要原因是：严格按照预算执行，预决算无差异。公务接待费全年预算数0.00万元，决算数0.00万元，预决算差异率0.00%，主要原因是：本单位无公务接待费。</w:t>
      </w:r>
    </w:p>
    <w:p w14:paraId="5BAC3FB6">
      <w:pPr>
        <w:spacing w:line="640" w:lineRule="exact"/>
        <w:ind w:firstLine="640"/>
        <w:jc w:val="both"/>
        <w:outlineLvl w:val="2"/>
      </w:pPr>
      <w:r>
        <w:rPr>
          <w:rFonts w:ascii="黑体" w:hAnsi="黑体" w:eastAsia="黑体"/>
          <w:sz w:val="32"/>
        </w:rPr>
        <w:t>十、其他重要事项的情况说明</w:t>
      </w:r>
    </w:p>
    <w:p w14:paraId="3E9E87B1">
      <w:pPr>
        <w:spacing w:line="640" w:lineRule="exact"/>
        <w:ind w:firstLine="640"/>
        <w:jc w:val="both"/>
        <w:outlineLvl w:val="3"/>
      </w:pPr>
      <w:r>
        <w:rPr>
          <w:rFonts w:ascii="楷体_GB2312" w:hAnsi="楷体_GB2312" w:eastAsia="楷体_GB2312"/>
          <w:b/>
          <w:sz w:val="32"/>
        </w:rPr>
        <w:t>（一）机关运行经费及公用经费支出情况</w:t>
      </w:r>
    </w:p>
    <w:p w14:paraId="1A4F6182">
      <w:pPr>
        <w:spacing w:line="580" w:lineRule="exact"/>
        <w:ind w:firstLine="640"/>
        <w:jc w:val="both"/>
      </w:pPr>
      <w:r>
        <w:rPr>
          <w:rFonts w:ascii="仿宋_GB2312" w:hAnsi="仿宋_GB2312" w:eastAsia="仿宋_GB2312"/>
          <w:b w:val="0"/>
          <w:sz w:val="32"/>
        </w:rPr>
        <w:t>2024年度麦盖提县退役军人事务局（行政单位和参照公务员法管理事业单位）机关运行经费支出3.76万元，比上年增加2.21万元，增长142.58%，主要原因是：本年更新、维护补充办公用品，导致机关运行经费较上年增加。</w:t>
      </w:r>
    </w:p>
    <w:p w14:paraId="5E270A6C">
      <w:pPr>
        <w:spacing w:line="640" w:lineRule="exact"/>
        <w:ind w:firstLine="640"/>
        <w:jc w:val="both"/>
        <w:outlineLvl w:val="3"/>
      </w:pPr>
      <w:r>
        <w:rPr>
          <w:rFonts w:ascii="楷体_GB2312" w:hAnsi="楷体_GB2312" w:eastAsia="楷体_GB2312"/>
          <w:b/>
          <w:sz w:val="32"/>
        </w:rPr>
        <w:t>（二）政府采购情况</w:t>
      </w:r>
    </w:p>
    <w:p w14:paraId="28412869">
      <w:pPr>
        <w:spacing w:line="580" w:lineRule="exact"/>
        <w:ind w:firstLine="640"/>
        <w:jc w:val="both"/>
      </w:pPr>
      <w:r>
        <w:rPr>
          <w:rFonts w:ascii="仿宋_GB2312" w:hAnsi="仿宋_GB2312" w:eastAsia="仿宋_GB2312"/>
          <w:b w:val="0"/>
          <w:sz w:val="32"/>
        </w:rPr>
        <w:t>2024年度政府采购支出总额0.71万元，其中：政府采购货物支出0.71万元、政府采购工程支出0.00万元、政府采购服务支出0.00万元。</w:t>
      </w:r>
    </w:p>
    <w:p w14:paraId="5026ADB0">
      <w:pPr>
        <w:spacing w:line="580" w:lineRule="exact"/>
        <w:ind w:firstLine="640"/>
        <w:jc w:val="both"/>
      </w:pPr>
      <w:r>
        <w:rPr>
          <w:rFonts w:ascii="仿宋_GB2312" w:hAnsi="仿宋_GB2312" w:eastAsia="仿宋_GB2312"/>
          <w:b w:val="0"/>
          <w:sz w:val="32"/>
        </w:rPr>
        <w:t>授予中小企业合同金额0.71万元，占政府采购支出总额的100.00%，其中：授予小微企业合同金额0.19万元，占政府采购支出总额的26.76%。</w:t>
      </w:r>
    </w:p>
    <w:p w14:paraId="167314D6">
      <w:pPr>
        <w:spacing w:line="640" w:lineRule="exact"/>
        <w:ind w:firstLine="640"/>
        <w:jc w:val="both"/>
        <w:outlineLvl w:val="3"/>
      </w:pPr>
      <w:r>
        <w:rPr>
          <w:rFonts w:ascii="楷体_GB2312" w:hAnsi="楷体_GB2312" w:eastAsia="楷体_GB2312"/>
          <w:b/>
          <w:sz w:val="32"/>
        </w:rPr>
        <w:t>（三）国有资产占用情况说明</w:t>
      </w:r>
    </w:p>
    <w:p w14:paraId="700D58E0">
      <w:pPr>
        <w:spacing w:line="580" w:lineRule="exact"/>
        <w:ind w:firstLine="640"/>
        <w:jc w:val="both"/>
      </w:pPr>
      <w:r>
        <w:rPr>
          <w:rFonts w:ascii="仿宋_GB2312" w:hAnsi="仿宋_GB2312" w:eastAsia="仿宋_GB2312"/>
          <w:b w:val="0"/>
          <w:sz w:val="32"/>
        </w:rPr>
        <w:t>截至2024年12月31日，房屋0.00平方米，价值0.00万元。车辆1辆，价值6.53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38C9B610">
      <w:pPr>
        <w:spacing w:line="640" w:lineRule="exact"/>
        <w:ind w:firstLine="640"/>
        <w:jc w:val="both"/>
        <w:outlineLvl w:val="2"/>
      </w:pPr>
      <w:r>
        <w:rPr>
          <w:rFonts w:ascii="黑体" w:hAnsi="黑体" w:eastAsia="黑体"/>
          <w:sz w:val="32"/>
        </w:rPr>
        <w:t>十一、预算绩效的情况说明</w:t>
      </w:r>
    </w:p>
    <w:p w14:paraId="25A5C863">
      <w:pPr>
        <w:spacing w:line="580" w:lineRule="exact"/>
        <w:ind w:firstLine="640"/>
        <w:jc w:val="both"/>
        <w:rPr>
          <w:rFonts w:hint="eastAsia" w:eastAsia="仿宋_GB2312"/>
          <w:lang w:eastAsia="zh-CN"/>
        </w:rPr>
      </w:pPr>
      <w:r>
        <w:rPr>
          <w:rFonts w:ascii="仿宋_GB2312" w:hAnsi="仿宋_GB2312" w:eastAsia="仿宋_GB2312"/>
          <w:b w:val="0"/>
          <w:sz w:val="32"/>
        </w:rPr>
        <w:t>根据预算绩效管理要求，本单位2024年度预算绩效管理形成整体支出绩效自评表1个，全年预算总额801.14万元，实际执行总额731.50万元；预算绩效评价项目</w:t>
      </w:r>
      <w:r>
        <w:rPr>
          <w:rFonts w:hint="eastAsia" w:ascii="仿宋_GB2312" w:hAnsi="仿宋_GB2312" w:eastAsia="仿宋_GB2312"/>
          <w:b w:val="0"/>
          <w:sz w:val="32"/>
          <w:lang w:val="en-US" w:eastAsia="zh-CN"/>
        </w:rPr>
        <w:t>11</w:t>
      </w:r>
      <w:r>
        <w:rPr>
          <w:rFonts w:ascii="仿宋_GB2312" w:hAnsi="仿宋_GB2312" w:eastAsia="仿宋_GB2312"/>
          <w:b w:val="0"/>
          <w:sz w:val="32"/>
        </w:rPr>
        <w:t>个，全年预算数686.67万元，全年执行数619.60万元。预算绩效管理取得的成效：</w:t>
      </w:r>
      <w:r>
        <w:rPr>
          <w:rFonts w:hint="eastAsia" w:ascii="仿宋_GB2312" w:hAnsi="仿宋_GB2312" w:eastAsia="仿宋_GB2312"/>
          <w:b w:val="0"/>
          <w:sz w:val="32"/>
          <w:lang w:val="en-US" w:eastAsia="zh-CN"/>
        </w:rPr>
        <w:t>本单位绩效自评项目SM不予公开</w:t>
      </w:r>
      <w:r>
        <w:rPr>
          <w:rFonts w:ascii="仿宋_GB2312" w:hAnsi="仿宋_GB2312" w:eastAsia="仿宋_GB2312"/>
          <w:b w:val="0"/>
          <w:sz w:val="32"/>
        </w:rPr>
        <w:t>。发现的问题及原因：</w:t>
      </w:r>
      <w:r>
        <w:rPr>
          <w:rFonts w:hint="eastAsia" w:ascii="仿宋_GB2312" w:hAnsi="仿宋_GB2312" w:eastAsia="仿宋_GB2312"/>
          <w:b w:val="0"/>
          <w:sz w:val="32"/>
          <w:lang w:val="en-US" w:eastAsia="zh-CN"/>
        </w:rPr>
        <w:t>本单位绩效自评项目SM不予公开</w:t>
      </w:r>
      <w:r>
        <w:rPr>
          <w:rFonts w:ascii="仿宋_GB2312" w:hAnsi="仿宋_GB2312" w:eastAsia="仿宋_GB2312"/>
          <w:b w:val="0"/>
          <w:sz w:val="32"/>
        </w:rPr>
        <w:t>。下一步改进措施：</w:t>
      </w:r>
      <w:r>
        <w:rPr>
          <w:rFonts w:hint="eastAsia" w:ascii="仿宋_GB2312" w:hAnsi="仿宋_GB2312" w:eastAsia="仿宋_GB2312"/>
          <w:b w:val="0"/>
          <w:sz w:val="32"/>
          <w:lang w:val="en-US" w:eastAsia="zh-CN"/>
        </w:rPr>
        <w:t>本单位绩效自评项目SM不予公开</w:t>
      </w:r>
      <w:r>
        <w:rPr>
          <w:rFonts w:ascii="仿宋_GB2312" w:hAnsi="仿宋_GB2312" w:eastAsia="仿宋_GB2312"/>
          <w:b w:val="0"/>
          <w:sz w:val="32"/>
        </w:rPr>
        <w:t>。具体附整体支出绩效自评表</w:t>
      </w:r>
      <w:r>
        <w:rPr>
          <w:rFonts w:hint="eastAsia" w:ascii="仿宋_GB2312" w:hAnsi="仿宋_GB2312" w:eastAsia="仿宋_GB2312"/>
          <w:b w:val="0"/>
          <w:sz w:val="32"/>
          <w:lang w:eastAsia="zh-CN"/>
        </w:rPr>
        <w:t>。</w:t>
      </w:r>
    </w:p>
    <w:p w14:paraId="3DED8EF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4EEE693">
        <w:tblPrEx>
          <w:tblCellMar>
            <w:top w:w="0" w:type="dxa"/>
            <w:left w:w="108" w:type="dxa"/>
            <w:bottom w:w="0" w:type="dxa"/>
            <w:right w:w="108" w:type="dxa"/>
          </w:tblCellMar>
        </w:tblPrEx>
        <w:tc>
          <w:tcPr>
            <w:tcW w:w="8847" w:type="dxa"/>
            <w:gridSpan w:val="9"/>
            <w:vAlign w:val="center"/>
          </w:tcPr>
          <w:p w14:paraId="61ABC160">
            <w:pPr>
              <w:jc w:val="center"/>
            </w:pPr>
            <w:r>
              <w:rPr>
                <w:rFonts w:ascii="宋体" w:hAnsi="宋体" w:eastAsia="宋体"/>
                <w:sz w:val="24"/>
              </w:rPr>
              <w:t>单位整体支出绩效自评表</w:t>
            </w:r>
          </w:p>
        </w:tc>
      </w:tr>
      <w:tr w14:paraId="2124170B">
        <w:tblPrEx>
          <w:tblCellMar>
            <w:top w:w="0" w:type="dxa"/>
            <w:left w:w="108" w:type="dxa"/>
            <w:bottom w:w="0" w:type="dxa"/>
            <w:right w:w="108" w:type="dxa"/>
          </w:tblCellMar>
        </w:tblPrEx>
        <w:tc>
          <w:tcPr>
            <w:tcW w:w="8847" w:type="dxa"/>
            <w:gridSpan w:val="9"/>
            <w:vAlign w:val="center"/>
          </w:tcPr>
          <w:p w14:paraId="48E93160">
            <w:pPr>
              <w:jc w:val="center"/>
            </w:pPr>
            <w:r>
              <w:rPr>
                <w:rFonts w:ascii="宋体" w:hAnsi="宋体" w:eastAsia="宋体"/>
                <w:sz w:val="24"/>
              </w:rPr>
              <w:t>（2024年度）</w:t>
            </w:r>
          </w:p>
        </w:tc>
      </w:tr>
      <w:tr w14:paraId="4552857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5D08B7">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5281418">
            <w:pPr>
              <w:jc w:val="center"/>
            </w:pPr>
            <w:r>
              <w:rPr>
                <w:rFonts w:ascii="宋体" w:hAnsi="宋体" w:eastAsia="宋体"/>
                <w:sz w:val="16"/>
              </w:rPr>
              <w:t>麦盖提县退役军人事务局</w:t>
            </w:r>
          </w:p>
        </w:tc>
      </w:tr>
      <w:tr w14:paraId="3BD09D2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5889FE">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96C8F9">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8FF2FD">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979204">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04B13A">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2B0014">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85284A">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E4CFA">
            <w:pPr>
              <w:jc w:val="center"/>
            </w:pPr>
            <w:r>
              <w:rPr>
                <w:rFonts w:ascii="宋体" w:hAnsi="宋体" w:eastAsia="宋体"/>
                <w:sz w:val="16"/>
              </w:rPr>
              <w:t>得分</w:t>
            </w:r>
          </w:p>
        </w:tc>
      </w:tr>
      <w:tr w14:paraId="13FD4E3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9A067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394651">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EC939D">
            <w:pPr>
              <w:jc w:val="center"/>
            </w:pPr>
            <w:r>
              <w:rPr>
                <w:rFonts w:ascii="宋体" w:hAnsi="宋体" w:eastAsia="宋体"/>
                <w:sz w:val="16"/>
              </w:rPr>
              <w:t>758.96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729E69">
            <w:pPr>
              <w:jc w:val="center"/>
            </w:pPr>
            <w:r>
              <w:rPr>
                <w:rFonts w:ascii="宋体" w:hAnsi="宋体" w:eastAsia="宋体"/>
                <w:sz w:val="16"/>
              </w:rPr>
              <w:t>801.14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FB0122">
            <w:pPr>
              <w:jc w:val="center"/>
            </w:pPr>
            <w:r>
              <w:rPr>
                <w:rFonts w:ascii="宋体" w:hAnsi="宋体" w:eastAsia="宋体"/>
                <w:sz w:val="16"/>
              </w:rPr>
              <w:t>731.50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5B864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596DFE">
            <w:pPr>
              <w:jc w:val="center"/>
            </w:pPr>
            <w:r>
              <w:rPr>
                <w:rFonts w:ascii="宋体" w:hAnsi="宋体" w:eastAsia="宋体"/>
                <w:sz w:val="16"/>
              </w:rPr>
              <w:t>91.31%</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6B209">
            <w:pPr>
              <w:jc w:val="center"/>
            </w:pPr>
            <w:r>
              <w:rPr>
                <w:rFonts w:ascii="宋体" w:hAnsi="宋体" w:eastAsia="宋体"/>
                <w:sz w:val="16"/>
              </w:rPr>
              <w:t>9.13</w:t>
            </w:r>
          </w:p>
        </w:tc>
      </w:tr>
      <w:tr w14:paraId="341A7EF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4619B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61351D">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76CC33">
            <w:pPr>
              <w:jc w:val="center"/>
            </w:pPr>
            <w:r>
              <w:rPr>
                <w:rFonts w:ascii="宋体" w:hAnsi="宋体" w:eastAsia="宋体"/>
                <w:sz w:val="16"/>
              </w:rPr>
              <w:t>405.41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0D5C85">
            <w:pPr>
              <w:jc w:val="center"/>
            </w:pPr>
            <w:r>
              <w:rPr>
                <w:rFonts w:ascii="宋体" w:hAnsi="宋体" w:eastAsia="宋体"/>
                <w:sz w:val="16"/>
              </w:rPr>
              <w:t>431.65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02DEA0">
            <w:pPr>
              <w:jc w:val="center"/>
            </w:pPr>
            <w:r>
              <w:rPr>
                <w:rFonts w:ascii="宋体" w:hAnsi="宋体" w:eastAsia="宋体"/>
                <w:sz w:val="16"/>
              </w:rPr>
              <w:t>424.96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2115C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B1BAC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F7128">
            <w:pPr>
              <w:jc w:val="center"/>
            </w:pPr>
            <w:r>
              <w:rPr>
                <w:rFonts w:ascii="宋体" w:hAnsi="宋体" w:eastAsia="宋体"/>
                <w:sz w:val="16"/>
              </w:rPr>
              <w:t>—</w:t>
            </w:r>
          </w:p>
        </w:tc>
      </w:tr>
      <w:tr w14:paraId="5140FA7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5DDFC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84365B">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F08AEF">
            <w:pPr>
              <w:jc w:val="center"/>
            </w:pPr>
            <w:r>
              <w:rPr>
                <w:rFonts w:ascii="宋体" w:hAnsi="宋体" w:eastAsia="宋体"/>
                <w:sz w:val="16"/>
              </w:rPr>
              <w:t>353.55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DC1CA8">
            <w:pPr>
              <w:jc w:val="center"/>
            </w:pPr>
            <w:r>
              <w:rPr>
                <w:rFonts w:ascii="宋体" w:hAnsi="宋体" w:eastAsia="宋体"/>
                <w:sz w:val="16"/>
              </w:rPr>
              <w:t>369.49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192A6C">
            <w:pPr>
              <w:jc w:val="center"/>
            </w:pPr>
            <w:r>
              <w:rPr>
                <w:rFonts w:ascii="宋体" w:hAnsi="宋体" w:eastAsia="宋体"/>
                <w:sz w:val="16"/>
              </w:rPr>
              <w:t>306.54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89C0D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AE736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43AA9">
            <w:pPr>
              <w:jc w:val="center"/>
            </w:pPr>
            <w:r>
              <w:rPr>
                <w:rFonts w:ascii="宋体" w:hAnsi="宋体" w:eastAsia="宋体"/>
                <w:sz w:val="16"/>
              </w:rPr>
              <w:t>—</w:t>
            </w:r>
          </w:p>
        </w:tc>
      </w:tr>
      <w:tr w14:paraId="1F13982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BE3E3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9EDF45">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2DA91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E1046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331FA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A1BB5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086713">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3A929">
            <w:pPr>
              <w:jc w:val="center"/>
            </w:pPr>
            <w:r>
              <w:rPr>
                <w:rFonts w:ascii="宋体" w:hAnsi="宋体" w:eastAsia="宋体"/>
                <w:sz w:val="16"/>
              </w:rPr>
              <w:t>—</w:t>
            </w:r>
          </w:p>
        </w:tc>
      </w:tr>
      <w:tr w14:paraId="4A7CDD4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90F607">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0C89A67">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3236C09">
            <w:pPr>
              <w:jc w:val="center"/>
              <w:rPr>
                <w:rFonts w:hint="eastAsia" w:eastAsia="宋体"/>
                <w:lang w:eastAsia="zh-CN"/>
              </w:rPr>
            </w:pPr>
            <w:r>
              <w:rPr>
                <w:rFonts w:hint="eastAsia" w:ascii="宋体" w:hAnsi="宋体"/>
                <w:sz w:val="16"/>
                <w:lang w:eastAsia="zh-CN"/>
              </w:rPr>
              <w:t>实际完成情况</w:t>
            </w:r>
          </w:p>
        </w:tc>
      </w:tr>
      <w:tr w14:paraId="1BD80AA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F9D7F9"/>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7380DD5">
            <w:pPr>
              <w:jc w:val="both"/>
            </w:pPr>
            <w:r>
              <w:rPr>
                <w:rFonts w:ascii="宋体" w:hAnsi="宋体" w:eastAsia="宋体"/>
                <w:sz w:val="16"/>
              </w:rPr>
              <w:t>1.宣传贯彻落实退役军人思想政治、管理保障和安置优抚等工作政策法规，拟订我县相关工作机制、制度办法并组织实施；</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2.负责烈士及退役军人荣誉奖励、军人公墓管理维护、纪念活动等工作；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3.负责军队转业干部、复员干部、离休退休干部、退役士兵和无军籍退休退职职工的接收安置工作和自主择业、就业退役军人服务管理工作；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4.实施国家关于退役军人特殊保障的相关政策，制定并组织实施全县退役军人优抚保障政策，会同有关部门制定有关退役军人医疗、疗养、养老等机构的规划政策并指导实施。</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5.负责现役军人、退役军人、军队文职人员和军属优待、抚恤等工作；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组织协调落实移交地方的离休退休军人、符合条件的其他退役军人和无军籍退休退职职工的住房保障工作，以及退役军人医疗保障、社会保险等待遇保障工作；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6.组织指导全县伤病残退役军人服务管理和抚恤工作，承担不适宜继续服役的伤病残军人相关服务工作；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7.完成县委、县政府交办的其他任务，配合部队完成退役军人其他相关工作。</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4A3EB4">
            <w:pPr>
              <w:jc w:val="both"/>
            </w:pPr>
            <w:r>
              <w:rPr>
                <w:rFonts w:ascii="宋体" w:hAnsi="宋体" w:eastAsia="宋体"/>
                <w:sz w:val="16"/>
              </w:rPr>
              <w:t>1.已完成宣传贯彻落实了退役军人思想政治、管理保障和安置优抚等工作政策法规，订立了我县相关工作机制、制度办法并组织实施；</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2.已完成负责烈士及退役军人荣誉奖励、军人公墓管理维护、纪念活动等工作；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3.已完成负责军队转业干部、复员干部、离休退休干部、退役士兵和无军籍退休退职职工的接收安置工作和自主择业、就业退役军人服务管理工作，2024年服务退役军人人数达1237人；</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4.已完成实施国家关于退役军人特殊保障的相关政策，制定并组织实施全县退役军人优抚保障政策，会同有关部门制定有关退役军人医疗、疗养、养老等机构的规划政策并指导实施。</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5.已完成负责现役军人、退役军人、军队文职人员和军属优待、抚恤等工作，对各类优抚对象医疗及抚恤补助标准按规定执行率为100%，优抚对象对各类医疗及抚恤补助政策满意度达到100%；</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组织协调落实移交地方的离休退休军人、符合条件的其他退役军人和无军籍退休退职职工的住房保障工作，以及退役军人医疗保障、社会保险等待遇保障工作；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6.已完成组织指导全县伤病残退役军人服务管理和抚恤工作，承担不适宜继续服役的伤病残军人相关服务工作；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7.全年进行慰问3次，申领优待证50件。</w:t>
            </w:r>
          </w:p>
        </w:tc>
      </w:tr>
      <w:tr w14:paraId="2697CA7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AD415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43196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DCA26F">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900F11">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DB9A6E">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B30843">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D85E16">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8FA4E8">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378527">
            <w:pPr>
              <w:jc w:val="center"/>
            </w:pPr>
            <w:r>
              <w:rPr>
                <w:rFonts w:ascii="宋体" w:hAnsi="宋体" w:eastAsia="宋体"/>
                <w:sz w:val="16"/>
              </w:rPr>
              <w:t>得分</w:t>
            </w:r>
          </w:p>
        </w:tc>
      </w:tr>
      <w:tr w14:paraId="634D9CF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87B384">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C0E0A2">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F0D903">
            <w:pPr>
              <w:jc w:val="center"/>
            </w:pPr>
            <w:r>
              <w:rPr>
                <w:rFonts w:ascii="宋体" w:hAnsi="宋体" w:eastAsia="宋体"/>
                <w:sz w:val="16"/>
              </w:rPr>
              <w:t>服务退役军人人数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D552F">
            <w:pPr>
              <w:jc w:val="center"/>
            </w:pPr>
            <w:r>
              <w:rPr>
                <w:rFonts w:ascii="宋体" w:hAnsi="宋体" w:eastAsia="宋体"/>
                <w:sz w:val="16"/>
              </w:rPr>
              <w:t>&gt;=1237人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D94418">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BF5520">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4905B9">
            <w:pPr>
              <w:jc w:val="center"/>
            </w:pPr>
            <w:r>
              <w:rPr>
                <w:rFonts w:ascii="宋体" w:hAnsi="宋体" w:eastAsia="宋体"/>
                <w:sz w:val="16"/>
              </w:rPr>
              <w:t>1237人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086E9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594790">
            <w:pPr>
              <w:jc w:val="center"/>
            </w:pPr>
            <w:r>
              <w:rPr>
                <w:rFonts w:ascii="宋体" w:hAnsi="宋体" w:eastAsia="宋体"/>
                <w:sz w:val="16"/>
              </w:rPr>
              <w:t>18</w:t>
            </w:r>
          </w:p>
        </w:tc>
      </w:tr>
      <w:tr w14:paraId="4685C11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4E761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50357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E860E6">
            <w:pPr>
              <w:jc w:val="center"/>
            </w:pPr>
            <w:r>
              <w:rPr>
                <w:rFonts w:ascii="宋体" w:hAnsi="宋体" w:eastAsia="宋体"/>
                <w:sz w:val="16"/>
              </w:rPr>
              <w:t>慰问次数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5AFE32">
            <w:pPr>
              <w:jc w:val="center"/>
            </w:pPr>
            <w:r>
              <w:rPr>
                <w:rFonts w:ascii="宋体" w:hAnsi="宋体" w:eastAsia="宋体"/>
                <w:sz w:val="16"/>
              </w:rPr>
              <w:t>&gt;=3次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8CEF68">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A7ACA8">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DCCA7A">
            <w:pPr>
              <w:jc w:val="center"/>
            </w:pPr>
            <w:r>
              <w:rPr>
                <w:rFonts w:ascii="宋体" w:hAnsi="宋体" w:eastAsia="宋体"/>
                <w:sz w:val="16"/>
              </w:rPr>
              <w: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BE74D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942053">
            <w:pPr>
              <w:jc w:val="center"/>
            </w:pPr>
            <w:r>
              <w:rPr>
                <w:rFonts w:ascii="宋体" w:hAnsi="宋体" w:eastAsia="宋体"/>
                <w:sz w:val="16"/>
              </w:rPr>
              <w:t>18</w:t>
            </w:r>
          </w:p>
        </w:tc>
      </w:tr>
      <w:tr w14:paraId="3B85CC4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03241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AED27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B4BFDE">
            <w:pPr>
              <w:jc w:val="center"/>
            </w:pPr>
            <w:r>
              <w:rPr>
                <w:rFonts w:ascii="宋体" w:hAnsi="宋体" w:eastAsia="宋体"/>
                <w:sz w:val="16"/>
              </w:rPr>
              <w:t>申领优待证数量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B7C7A6">
            <w:pPr>
              <w:jc w:val="center"/>
            </w:pPr>
            <w:r>
              <w:rPr>
                <w:rFonts w:ascii="宋体" w:hAnsi="宋体" w:eastAsia="宋体"/>
                <w:sz w:val="16"/>
              </w:rPr>
              <w:t>&gt;=50件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D3F2A5">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6C46DD">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D83289">
            <w:pPr>
              <w:jc w:val="center"/>
            </w:pPr>
            <w:r>
              <w:rPr>
                <w:rFonts w:ascii="宋体" w:hAnsi="宋体" w:eastAsia="宋体"/>
                <w:sz w:val="16"/>
              </w:rPr>
              <w:t>50件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1EAC2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67EF4F">
            <w:pPr>
              <w:jc w:val="center"/>
            </w:pPr>
            <w:r>
              <w:rPr>
                <w:rFonts w:ascii="宋体" w:hAnsi="宋体" w:eastAsia="宋体"/>
                <w:sz w:val="16"/>
              </w:rPr>
              <w:t>18</w:t>
            </w:r>
          </w:p>
        </w:tc>
      </w:tr>
      <w:tr w14:paraId="1469CE1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B969A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424BB7">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736FDE">
            <w:pPr>
              <w:jc w:val="center"/>
            </w:pPr>
            <w:r>
              <w:rPr>
                <w:rFonts w:ascii="宋体" w:hAnsi="宋体" w:eastAsia="宋体"/>
                <w:sz w:val="16"/>
              </w:rPr>
              <w:t>对各类优抚对象医疗及抚恤补助标准按规定执行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76594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6F90D1">
            <w:pPr>
              <w:jc w:val="center"/>
            </w:pPr>
            <w:r>
              <w:rPr>
                <w:rFonts w:ascii="宋体" w:hAnsi="宋体" w:eastAsia="宋体"/>
                <w:sz w:val="16"/>
              </w:rPr>
              <w:t>考核标准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51E8DF">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C70F0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18B34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1CAE62">
            <w:pPr>
              <w:jc w:val="center"/>
            </w:pPr>
            <w:r>
              <w:rPr>
                <w:rFonts w:ascii="宋体" w:hAnsi="宋体" w:eastAsia="宋体"/>
                <w:sz w:val="16"/>
              </w:rPr>
              <w:t>18</w:t>
            </w:r>
          </w:p>
        </w:tc>
      </w:tr>
      <w:tr w14:paraId="2BC3716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96A4A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E20DB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52DA70">
            <w:pPr>
              <w:jc w:val="center"/>
            </w:pPr>
            <w:r>
              <w:rPr>
                <w:rFonts w:ascii="宋体" w:hAnsi="宋体" w:eastAsia="宋体"/>
                <w:sz w:val="16"/>
              </w:rPr>
              <w:t>优抚对象对各类医疗及抚恤补助政策满意度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7AAF1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106538">
            <w:pPr>
              <w:jc w:val="center"/>
            </w:pPr>
            <w:r>
              <w:rPr>
                <w:rFonts w:ascii="宋体" w:hAnsi="宋体" w:eastAsia="宋体"/>
                <w:sz w:val="16"/>
              </w:rPr>
              <w:t>考核标准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4B98EB">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85692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9FFE4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D40794">
            <w:pPr>
              <w:jc w:val="center"/>
            </w:pPr>
            <w:r>
              <w:rPr>
                <w:rFonts w:ascii="宋体" w:hAnsi="宋体" w:eastAsia="宋体"/>
                <w:sz w:val="16"/>
              </w:rPr>
              <w:t>18</w:t>
            </w:r>
          </w:p>
        </w:tc>
      </w:tr>
    </w:tbl>
    <w:p w14:paraId="04A2C854">
      <w:r>
        <w:br w:type="page"/>
      </w:r>
    </w:p>
    <w:p w14:paraId="62F0B7D4">
      <w:pPr>
        <w:spacing w:line="640" w:lineRule="exact"/>
        <w:ind w:firstLine="640"/>
        <w:jc w:val="both"/>
        <w:outlineLvl w:val="2"/>
      </w:pPr>
      <w:r>
        <w:rPr>
          <w:rFonts w:ascii="黑体" w:hAnsi="黑体" w:eastAsia="黑体"/>
          <w:sz w:val="32"/>
        </w:rPr>
        <w:t>十二、其他需说明的事项</w:t>
      </w:r>
    </w:p>
    <w:p w14:paraId="0BA4ED8F">
      <w:pPr>
        <w:spacing w:line="580" w:lineRule="exact"/>
        <w:ind w:firstLine="640"/>
        <w:jc w:val="both"/>
      </w:pPr>
      <w:r>
        <w:rPr>
          <w:rFonts w:ascii="仿宋_GB2312" w:hAnsi="仿宋_GB2312" w:eastAsia="仿宋_GB2312"/>
          <w:b w:val="0"/>
          <w:sz w:val="32"/>
        </w:rPr>
        <w:t>本年本单位SM项目11个，全年预算数686.67万元，全年执行数619.60万元。</w:t>
      </w:r>
    </w:p>
    <w:p w14:paraId="3B83BD25">
      <w:r>
        <w:br w:type="page"/>
      </w:r>
    </w:p>
    <w:p w14:paraId="3F231D82">
      <w:pPr>
        <w:spacing w:line="240" w:lineRule="auto"/>
        <w:jc w:val="center"/>
        <w:outlineLvl w:val="1"/>
      </w:pPr>
      <w:r>
        <w:rPr>
          <w:rFonts w:ascii="黑体" w:hAnsi="黑体" w:eastAsia="黑体"/>
          <w:sz w:val="32"/>
        </w:rPr>
        <w:t>第三部分 专业名词解释</w:t>
      </w:r>
    </w:p>
    <w:p w14:paraId="0614050E">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C4DA70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CDA49F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618158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466790F">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026487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9D7319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1D356B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F68304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B9D718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CFD017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769AD77">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457290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54BED2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3D249EA">
      <w:r>
        <w:br w:type="page"/>
      </w:r>
    </w:p>
    <w:p w14:paraId="73220F67">
      <w:pPr>
        <w:spacing w:line="240" w:lineRule="auto"/>
        <w:jc w:val="center"/>
        <w:outlineLvl w:val="1"/>
      </w:pPr>
      <w:r>
        <w:rPr>
          <w:rFonts w:ascii="黑体" w:hAnsi="黑体" w:eastAsia="黑体"/>
          <w:sz w:val="32"/>
        </w:rPr>
        <w:t>第四部分 部门决算报表（见附表）</w:t>
      </w:r>
    </w:p>
    <w:p w14:paraId="6288CF04">
      <w:pPr>
        <w:spacing w:line="240" w:lineRule="auto"/>
        <w:ind w:firstLine="640"/>
        <w:jc w:val="both"/>
      </w:pPr>
      <w:r>
        <w:rPr>
          <w:rFonts w:ascii="仿宋_GB2312" w:hAnsi="仿宋_GB2312" w:eastAsia="仿宋_GB2312"/>
          <w:b w:val="0"/>
          <w:sz w:val="32"/>
        </w:rPr>
        <w:t>一、《收入支出决算总表》</w:t>
      </w:r>
    </w:p>
    <w:p w14:paraId="137D9DA5">
      <w:pPr>
        <w:spacing w:line="240" w:lineRule="auto"/>
        <w:ind w:firstLine="640"/>
        <w:jc w:val="both"/>
      </w:pPr>
      <w:r>
        <w:rPr>
          <w:rFonts w:ascii="仿宋_GB2312" w:hAnsi="仿宋_GB2312" w:eastAsia="仿宋_GB2312"/>
          <w:b w:val="0"/>
          <w:sz w:val="32"/>
        </w:rPr>
        <w:t>二、《收入决算表》</w:t>
      </w:r>
    </w:p>
    <w:p w14:paraId="753990F4">
      <w:pPr>
        <w:spacing w:line="240" w:lineRule="auto"/>
        <w:ind w:firstLine="640"/>
        <w:jc w:val="both"/>
      </w:pPr>
      <w:r>
        <w:rPr>
          <w:rFonts w:ascii="仿宋_GB2312" w:hAnsi="仿宋_GB2312" w:eastAsia="仿宋_GB2312"/>
          <w:b w:val="0"/>
          <w:sz w:val="32"/>
        </w:rPr>
        <w:t>三、《支出决算表》</w:t>
      </w:r>
    </w:p>
    <w:p w14:paraId="69EDB084">
      <w:pPr>
        <w:spacing w:line="240" w:lineRule="auto"/>
        <w:ind w:firstLine="640"/>
        <w:jc w:val="both"/>
      </w:pPr>
      <w:r>
        <w:rPr>
          <w:rFonts w:ascii="仿宋_GB2312" w:hAnsi="仿宋_GB2312" w:eastAsia="仿宋_GB2312"/>
          <w:b w:val="0"/>
          <w:sz w:val="32"/>
        </w:rPr>
        <w:t>四、《财政拨款收入支出决算总表》</w:t>
      </w:r>
    </w:p>
    <w:p w14:paraId="7C69F818">
      <w:pPr>
        <w:spacing w:line="240" w:lineRule="auto"/>
        <w:ind w:firstLine="640"/>
        <w:jc w:val="both"/>
      </w:pPr>
      <w:r>
        <w:rPr>
          <w:rFonts w:ascii="仿宋_GB2312" w:hAnsi="仿宋_GB2312" w:eastAsia="仿宋_GB2312"/>
          <w:b w:val="0"/>
          <w:sz w:val="32"/>
        </w:rPr>
        <w:t>五、《一般公共预算财政拨款支出决算表》</w:t>
      </w:r>
    </w:p>
    <w:p w14:paraId="685CFE99">
      <w:pPr>
        <w:spacing w:line="240" w:lineRule="auto"/>
        <w:ind w:firstLine="640"/>
        <w:jc w:val="both"/>
      </w:pPr>
      <w:r>
        <w:rPr>
          <w:rFonts w:ascii="仿宋_GB2312" w:hAnsi="仿宋_GB2312" w:eastAsia="仿宋_GB2312"/>
          <w:b w:val="0"/>
          <w:sz w:val="32"/>
        </w:rPr>
        <w:t>六、《一般公共预算财政拨款基本支出决算表》</w:t>
      </w:r>
    </w:p>
    <w:p w14:paraId="0EE7C8E5">
      <w:pPr>
        <w:spacing w:line="240" w:lineRule="auto"/>
        <w:ind w:firstLine="640"/>
        <w:jc w:val="both"/>
      </w:pPr>
      <w:r>
        <w:rPr>
          <w:rFonts w:ascii="仿宋_GB2312" w:hAnsi="仿宋_GB2312" w:eastAsia="仿宋_GB2312"/>
          <w:b w:val="0"/>
          <w:sz w:val="32"/>
        </w:rPr>
        <w:t>七、《政府性基金预算财政拨款收入支出决算表》</w:t>
      </w:r>
    </w:p>
    <w:p w14:paraId="277D4E22">
      <w:pPr>
        <w:spacing w:line="240" w:lineRule="auto"/>
        <w:ind w:firstLine="640"/>
        <w:jc w:val="both"/>
      </w:pPr>
      <w:r>
        <w:rPr>
          <w:rFonts w:ascii="仿宋_GB2312" w:hAnsi="仿宋_GB2312" w:eastAsia="仿宋_GB2312"/>
          <w:b w:val="0"/>
          <w:sz w:val="32"/>
        </w:rPr>
        <w:t>八、《国有资本经营预算财政拨款收入支出决算表》</w:t>
      </w:r>
    </w:p>
    <w:p w14:paraId="39AF205B">
      <w:pPr>
        <w:spacing w:line="240" w:lineRule="auto"/>
        <w:ind w:firstLine="640"/>
        <w:jc w:val="both"/>
      </w:pPr>
      <w:r>
        <w:rPr>
          <w:rFonts w:ascii="仿宋_GB2312" w:hAnsi="仿宋_GB2312" w:eastAsia="仿宋_GB2312"/>
          <w:b w:val="0"/>
          <w:sz w:val="32"/>
        </w:rPr>
        <w:t>九、《财政拨款“三公”经费支出决算表》</w:t>
      </w:r>
    </w:p>
    <w:p w14:paraId="407345FC">
      <w:pPr>
        <w:spacing w:line="240" w:lineRule="auto"/>
        <w:ind w:firstLine="640"/>
        <w:jc w:val="both"/>
      </w:pPr>
    </w:p>
    <w:p w14:paraId="6CC0FD4F">
      <w:pPr>
        <w:spacing w:line="240" w:lineRule="auto"/>
        <w:ind w:firstLine="640"/>
        <w:jc w:val="both"/>
      </w:pPr>
    </w:p>
    <w:p w14:paraId="1B2BCA43">
      <w:pPr>
        <w:spacing w:line="240" w:lineRule="auto"/>
        <w:ind w:firstLine="640"/>
        <w:jc w:val="both"/>
      </w:pPr>
    </w:p>
    <w:p w14:paraId="09BB97C6">
      <w:pPr>
        <w:spacing w:line="240" w:lineRule="auto"/>
        <w:ind w:firstLine="640"/>
        <w:jc w:val="both"/>
      </w:pPr>
    </w:p>
    <w:p w14:paraId="24B5438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CAE5115-D51D-4290-B6CC-EC8396094E8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F986E771-24C6-4E06-AF6A-84D36762C205}"/>
  </w:font>
  <w:font w:name="仿宋_GB2312">
    <w:panose1 w:val="02010609030101010101"/>
    <w:charset w:val="86"/>
    <w:family w:val="auto"/>
    <w:pitch w:val="default"/>
    <w:sig w:usb0="00000001" w:usb1="080E0000" w:usb2="00000000" w:usb3="00000000" w:csb0="00040000" w:csb1="00000000"/>
    <w:embedRegular r:id="rId3" w:fontKey="{46477BD3-913D-4D6A-ABB0-0ECF17BC434F}"/>
  </w:font>
  <w:font w:name="楷体_GB2312">
    <w:panose1 w:val="02010609030101010101"/>
    <w:charset w:val="86"/>
    <w:family w:val="auto"/>
    <w:pitch w:val="default"/>
    <w:sig w:usb0="00000001" w:usb1="080E0000" w:usb2="00000000" w:usb3="00000000" w:csb0="00040000" w:csb1="00000000"/>
    <w:embedRegular r:id="rId4" w:fontKey="{C3B7AC26-7CB9-4812-BB82-A12E1BF04C1F}"/>
  </w:font>
  <w:font w:name="WPSEMBED1">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A750A6B"/>
    <w:rsid w:val="2BD4136D"/>
    <w:rsid w:val="2C1965E9"/>
    <w:rsid w:val="2D1136DF"/>
    <w:rsid w:val="2DAE0E44"/>
    <w:rsid w:val="2FD27414"/>
    <w:rsid w:val="313F1D52"/>
    <w:rsid w:val="318029AB"/>
    <w:rsid w:val="31C63837"/>
    <w:rsid w:val="326F0A17"/>
    <w:rsid w:val="3277581B"/>
    <w:rsid w:val="36E25286"/>
    <w:rsid w:val="38006E2C"/>
    <w:rsid w:val="3914510A"/>
    <w:rsid w:val="39290026"/>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6E11ADD"/>
    <w:rsid w:val="583059FA"/>
    <w:rsid w:val="587E6212"/>
    <w:rsid w:val="5AD14611"/>
    <w:rsid w:val="5AFC6609"/>
    <w:rsid w:val="5F3C491D"/>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5331</Words>
  <Characters>6092</Characters>
  <Lines>0</Lines>
  <Paragraphs>0</Paragraphs>
  <TotalTime>1</TotalTime>
  <ScaleCrop>false</ScaleCrop>
  <LinksUpToDate>false</LinksUpToDate>
  <CharactersWithSpaces>6100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2025-09-04T03:45:20Z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