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2024年麦盖提县耕地地力保护补贴项目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麦盖提县农业农村局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麦盖提县农业农村局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李志远</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2025年03月25日</w:t>
      </w:r>
    </w:p>
    <w:p>
      <w:pPr>
        <w:rPr>
          <w:rStyle w:val="17"/>
          <w:rFonts w:hint="eastAsia" w:ascii="仿宋" w:hAnsi="仿宋" w:eastAsia="仿宋" w:cs="仿宋"/>
          <w:b w:val="0"/>
          <w:bCs w:val="0"/>
          <w:spacing w:val="-4"/>
          <w:sz w:val="32"/>
          <w:szCs w:val="32"/>
        </w:rPr>
      </w:pPr>
      <w: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（一）项目概况</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麦盖提县2024年耕地地力保护补贴项目实施前期、过程及效果，评价财政预算资金使用的效率及效益。通过该项目的实施，保护耕地地力，确保耕地地力不降低，增加粮食产量，提高粮食质量，促进粮食安全生产和农民持续增收。</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2024年中央耕地地力保护补贴资金5022万元，自治区农业生产发展资金（耕地地力保护补贴）335.16万元，2023年耕地地力保护补贴结余资金98.401548万元。为扎实推进2024年麦盖提县耕地地力保护补贴工作，确保补贴资金安全，稳步巩固提升政策效能，促进粮食安全生产和农民持续增收，按照《关于提前拨付2024年中央耕地建设与利用资金预算的通知》（麦财农〔2023〕43号）、《关于提前</w:t>
      </w:r>
      <w:r>
        <w:rPr>
          <w:rStyle w:val="17"/>
          <w:rFonts w:hint="eastAsia" w:ascii="仿宋" w:hAnsi="仿宋" w:eastAsia="仿宋" w:cs="仿宋"/>
          <w:b w:val="0"/>
          <w:bCs w:val="0"/>
          <w:spacing w:val="-4"/>
          <w:sz w:val="32"/>
          <w:szCs w:val="32"/>
          <w:lang w:eastAsia="zh-CN"/>
        </w:rPr>
        <w:t>拨付</w:t>
      </w:r>
      <w:r>
        <w:rPr>
          <w:rStyle w:val="17"/>
          <w:rFonts w:hint="eastAsia" w:ascii="仿宋" w:hAnsi="仿宋" w:eastAsia="仿宋" w:cs="仿宋"/>
          <w:b w:val="0"/>
          <w:bCs w:val="0"/>
          <w:spacing w:val="-4"/>
          <w:sz w:val="32"/>
          <w:szCs w:val="32"/>
        </w:rPr>
        <w:t>2024年自治区农业生产发展资金（耕地地力保护补贴）预算的通知》（麦财农〔2023〕51号）精神，制定了实施方案并按要求进行了耕地地力保护补贴实施发放。补贴发放情况如下：</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1.冬小麦补贴标准230元/亩，冬小麦种植补贴面积226764.69亩，补贴种植户15617 户，已兑资金5215.59万元；</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2.对正播籽粒玉米进行补贴，补贴面积65852.96亩，补贴金额118.53万元。</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正播籽粒玉米漏报、正播青贮玉米、正播特色作物（茴香、苜蓿、食葵）进行发放补贴.其中：籽粒玉米补贴面积4434.3亩、补贴标准18元，正播青贮玉米补贴面积5353.57亩、补贴标准120元，苜蓿补贴面积1088.67亩、补贴标准100元，茴香21818.9亩、补贴标准18元，食葵补贴面积2188亩，补贴标准18元，合计补贴金额126.32万元，清退资金20.82万元，实际发放5439.63万元。</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农业农村局二级单位19个（其中：正科级单位1个、副科级单位11个、股级单位6个、局队合一单位1个），全局机构设置为“一队、两办、三股、四中心”，编编制人数182人，其中：行政人员编制10人、工勤4人、参公80人、事业编制88人。实有在职人数165人，其中：行政在职8人、工勤6人、参公60人、事业在职91人。</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《关于提前</w:t>
      </w:r>
      <w:r>
        <w:rPr>
          <w:rStyle w:val="17"/>
          <w:rFonts w:hint="eastAsia" w:ascii="仿宋" w:hAnsi="仿宋" w:eastAsia="仿宋" w:cs="仿宋"/>
          <w:b w:val="0"/>
          <w:bCs w:val="0"/>
          <w:spacing w:val="-4"/>
          <w:sz w:val="32"/>
          <w:szCs w:val="32"/>
          <w:lang w:eastAsia="zh-CN"/>
        </w:rPr>
        <w:t>拨付</w:t>
      </w:r>
      <w:r>
        <w:rPr>
          <w:rStyle w:val="17"/>
          <w:rFonts w:hint="eastAsia" w:ascii="仿宋" w:hAnsi="仿宋" w:eastAsia="仿宋" w:cs="仿宋"/>
          <w:b w:val="0"/>
          <w:bCs w:val="0"/>
          <w:spacing w:val="-4"/>
          <w:sz w:val="32"/>
          <w:szCs w:val="32"/>
        </w:rPr>
        <w:t>2024年中央耕地建设与利用资金预算的通知》（麦财农〔2023〕43号）、《关于提前</w:t>
      </w:r>
      <w:r>
        <w:rPr>
          <w:rStyle w:val="17"/>
          <w:rFonts w:hint="eastAsia" w:ascii="仿宋" w:hAnsi="仿宋" w:eastAsia="仿宋" w:cs="仿宋"/>
          <w:b w:val="0"/>
          <w:bCs w:val="0"/>
          <w:spacing w:val="-4"/>
          <w:sz w:val="32"/>
          <w:szCs w:val="32"/>
          <w:lang w:eastAsia="zh-CN"/>
        </w:rPr>
        <w:t>拨付</w:t>
      </w:r>
      <w:r>
        <w:rPr>
          <w:rStyle w:val="17"/>
          <w:rFonts w:hint="eastAsia" w:ascii="仿宋" w:hAnsi="仿宋" w:eastAsia="仿宋" w:cs="仿宋"/>
          <w:b w:val="0"/>
          <w:bCs w:val="0"/>
          <w:spacing w:val="-4"/>
          <w:sz w:val="32"/>
          <w:szCs w:val="32"/>
        </w:rPr>
        <w:t>2024年自治区农业生产发展资金（耕地地力保护补贴）预算的通知》（麦财农〔2023〕51号）等文件要求，截至2024年12月31日，实际支出共发放资金5439.63万元，预算执行率99.7%。</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根据《关于提前</w:t>
      </w:r>
      <w:r>
        <w:rPr>
          <w:rStyle w:val="17"/>
          <w:rFonts w:hint="eastAsia" w:ascii="仿宋" w:hAnsi="仿宋" w:eastAsia="仿宋" w:cs="仿宋"/>
          <w:b w:val="0"/>
          <w:bCs w:val="0"/>
          <w:spacing w:val="-4"/>
          <w:sz w:val="32"/>
          <w:szCs w:val="32"/>
          <w:lang w:eastAsia="zh-CN"/>
        </w:rPr>
        <w:t>拨付</w:t>
      </w:r>
      <w:r>
        <w:rPr>
          <w:rStyle w:val="17"/>
          <w:rFonts w:hint="eastAsia" w:ascii="仿宋" w:hAnsi="仿宋" w:eastAsia="仿宋" w:cs="仿宋"/>
          <w:b w:val="0"/>
          <w:bCs w:val="0"/>
          <w:spacing w:val="-4"/>
          <w:sz w:val="32"/>
          <w:szCs w:val="32"/>
        </w:rPr>
        <w:t>2024年中央耕地建设与利用资金预算的通知》（麦财农〔2023〕43号）、《关于提前</w:t>
      </w:r>
      <w:r>
        <w:rPr>
          <w:rStyle w:val="17"/>
          <w:rFonts w:hint="eastAsia" w:ascii="仿宋" w:hAnsi="仿宋" w:eastAsia="仿宋" w:cs="仿宋"/>
          <w:b w:val="0"/>
          <w:bCs w:val="0"/>
          <w:spacing w:val="-4"/>
          <w:sz w:val="32"/>
          <w:szCs w:val="32"/>
          <w:lang w:eastAsia="zh-CN"/>
        </w:rPr>
        <w:t>拨付</w:t>
      </w:r>
      <w:r>
        <w:rPr>
          <w:rStyle w:val="17"/>
          <w:rFonts w:hint="eastAsia" w:ascii="仿宋" w:hAnsi="仿宋" w:eastAsia="仿宋" w:cs="仿宋"/>
          <w:b w:val="0"/>
          <w:bCs w:val="0"/>
          <w:spacing w:val="-4"/>
          <w:sz w:val="32"/>
          <w:szCs w:val="32"/>
        </w:rPr>
        <w:t>2024年自治区农业生产发展资金（耕地地力保护补贴）预算的通知》（麦财农〔2023〕51号）文件要求，冬小麦补贴标准230元/亩、正播籽粒玉米补贴标准18元/亩、正播青贮玉米补贴标准120元/亩、苜蓿和茴香等特色作物补贴标准18元/亩。通过项目实施，保护耕地地力，确保耕地地力不降低，增加粮食产量，提高粮食质量，促进粮食安全生产和农民持续增收。</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根据《关于提前</w:t>
      </w:r>
      <w:r>
        <w:rPr>
          <w:rStyle w:val="17"/>
          <w:rFonts w:hint="eastAsia" w:ascii="仿宋" w:hAnsi="仿宋" w:eastAsia="仿宋" w:cs="仿宋"/>
          <w:b w:val="0"/>
          <w:bCs w:val="0"/>
          <w:spacing w:val="-4"/>
          <w:sz w:val="32"/>
          <w:szCs w:val="32"/>
          <w:lang w:eastAsia="zh-CN"/>
        </w:rPr>
        <w:t>拨付</w:t>
      </w:r>
      <w:r>
        <w:rPr>
          <w:rStyle w:val="17"/>
          <w:rFonts w:hint="eastAsia" w:ascii="仿宋" w:hAnsi="仿宋" w:eastAsia="仿宋" w:cs="仿宋"/>
          <w:b w:val="0"/>
          <w:bCs w:val="0"/>
          <w:spacing w:val="-4"/>
          <w:sz w:val="32"/>
          <w:szCs w:val="32"/>
        </w:rPr>
        <w:t>2024年中央耕地建设与利用资金预算的通知》（麦财农〔2023〕43号）、《关于提前</w:t>
      </w:r>
      <w:r>
        <w:rPr>
          <w:rStyle w:val="17"/>
          <w:rFonts w:hint="eastAsia" w:ascii="仿宋" w:hAnsi="仿宋" w:eastAsia="仿宋" w:cs="仿宋"/>
          <w:b w:val="0"/>
          <w:bCs w:val="0"/>
          <w:spacing w:val="-4"/>
          <w:sz w:val="32"/>
          <w:szCs w:val="32"/>
          <w:lang w:eastAsia="zh-CN"/>
        </w:rPr>
        <w:t>拨付</w:t>
      </w:r>
      <w:r>
        <w:rPr>
          <w:rStyle w:val="17"/>
          <w:rFonts w:hint="eastAsia" w:ascii="仿宋" w:hAnsi="仿宋" w:eastAsia="仿宋" w:cs="仿宋"/>
          <w:b w:val="0"/>
          <w:bCs w:val="0"/>
          <w:spacing w:val="-4"/>
          <w:sz w:val="32"/>
          <w:szCs w:val="32"/>
        </w:rPr>
        <w:t>2024年自治区农业生产发展资金（耕地地力保护补贴）预算的通知》（麦财农〔2023〕51号）文件要求，制定《麦盖提县2024年耕地地力保护补贴实施方案》，旨在充分发挥补贴资金的政策效益，稳固农民种粮积极性，保护耕地地力，确保耕地地力不降低，增加粮食产量，提高粮食质量，促进粮食安全生产和农民持续增收。</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、时间和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（二）绩效评价原则、评价指标体系、评价方法评价标准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2024年麦盖提县耕地地力保护补贴项目综合评分表 </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立项程序（2分）               2 </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绩效目标（5分）   绩效目标合理性（3分）         3 </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绩效指标明确性（2分）         2 </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资金投入（5分）   预算编制（3分）               3 </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资金分配合理性（2分）         2 </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预算执行率（3分）             2.98 </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资金使用合规性（4分）         4 </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组织实施（10分）  管理制度健全性（5分）         5 </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制度执行（5分）               5 </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产出成本（15分）  成本节约率（15分）            14.67</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效益（10分） 项目效益（10分）  实施效益（10分）              10</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满意度（10分） 满意度（10分）    满意度（10分）                10</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权重分值：100分                     总得分      99.65</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（三）绩效评价工作过程</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李志远任评价组组长，绩效评价工作职责为负责全盘工作。</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努尔艾合买提·买买依明任评价组成员，绩效评价工作职责为负责资料审核等工作。</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通过实施麦盖提县2024年耕地地力保护补贴项目产生以稳固农民种粮积极性，保护耕地地力，确保耕地地力不降低，增加粮食产量，提高粮食质量，促进粮食安全生产和农民持续增收的效益。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项目决策：该项目主要通过《关于提前</w:t>
      </w:r>
      <w:r>
        <w:rPr>
          <w:rStyle w:val="17"/>
          <w:rFonts w:hint="eastAsia" w:ascii="仿宋" w:hAnsi="仿宋" w:eastAsia="仿宋" w:cs="仿宋"/>
          <w:b w:val="0"/>
          <w:bCs w:val="0"/>
          <w:spacing w:val="-4"/>
          <w:sz w:val="32"/>
          <w:szCs w:val="32"/>
          <w:lang w:eastAsia="zh-CN"/>
        </w:rPr>
        <w:t>拨付</w:t>
      </w:r>
      <w:r>
        <w:rPr>
          <w:rStyle w:val="17"/>
          <w:rFonts w:hint="eastAsia" w:ascii="仿宋" w:hAnsi="仿宋" w:eastAsia="仿宋" w:cs="仿宋"/>
          <w:b w:val="0"/>
          <w:bCs w:val="0"/>
          <w:spacing w:val="-4"/>
          <w:sz w:val="32"/>
          <w:szCs w:val="32"/>
        </w:rPr>
        <w:t>2024年中央耕地建设与利用资金预算的通知》（麦财农〔2023〕43号）、《关于提前</w:t>
      </w:r>
      <w:r>
        <w:rPr>
          <w:rStyle w:val="17"/>
          <w:rFonts w:hint="eastAsia" w:ascii="仿宋" w:hAnsi="仿宋" w:eastAsia="仿宋" w:cs="仿宋"/>
          <w:b w:val="0"/>
          <w:bCs w:val="0"/>
          <w:spacing w:val="-4"/>
          <w:sz w:val="32"/>
          <w:szCs w:val="32"/>
          <w:lang w:eastAsia="zh-CN"/>
        </w:rPr>
        <w:t>拨付</w:t>
      </w:r>
      <w:r>
        <w:rPr>
          <w:rStyle w:val="17"/>
          <w:rFonts w:hint="eastAsia" w:ascii="仿宋" w:hAnsi="仿宋" w:eastAsia="仿宋" w:cs="仿宋"/>
          <w:b w:val="0"/>
          <w:bCs w:val="0"/>
          <w:spacing w:val="-4"/>
          <w:sz w:val="32"/>
          <w:szCs w:val="32"/>
        </w:rPr>
        <w:t>2024年自治区农业生产发展资金（耕地地力保护补贴）预算的通知》（麦财农〔2023〕51号）文件立项，项目实施符合《喀什地区2024年耕地地力保护补贴政策实施方案》要求，项目立项依据充分，立项程序规范。</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过程：麦盖提县2024年耕地地力保护补贴项目预算安排5455.5615万元（2024年中央耕地地力保护补贴资金5022万元，自治区农业生产发展资金（耕地地力保护补贴）335.16万元，2023年耕地地力保护补贴结余资金98.401548万元），实际支出5439.631088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项目产出：</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1.冬小麦补贴标准230元/亩，冬小麦种植补贴面积226764.69亩，补贴种植户15617 户，已兑资金5215.59万元；</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2.对正播籽粒玉米进行补贴，补贴面积65852.96亩，补贴金额118.53万元。</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正播籽粒玉米漏报、正播青贮玉米、正播特色作物（茴香、苜蓿、食葵）进行发放补贴.其中：籽粒玉米补贴面积4434.3亩、补贴标准18元，正播青贮玉米补贴面积5353.57亩、补贴标准120元，苜蓿补贴面积1088.67亩、补贴标准100元，茴香21818.9亩、补贴标准18元，食葵补贴面积2188亩，补贴标准18元，合计补贴金额126.32万元。合计补贴耕地面积32.75万亩，发放补助资金5439.63万元。</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项目效益：通过项目实施，稳固农民种粮积极性，保护耕地地力，确保耕地地力不降低，增加粮食产量，提高粮食质量，促进粮食安全生产和农民持续增收的效益。</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粮油规模种植主体单产提升行动项目进行客观评价，最终评分结果：评价总分99.65分，绩效等级为“优”。</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2024年麦盖提县耕地地力保护补贴项目得分情况表</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一级指标 权重 得分率 实际得分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项目过程 20 99.9% 19.98</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项目产出 45 99.27% 44.67</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项目效益 20 100% 20</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 100 99.65% 99.65</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立项依据充分性：本项目立项符合《农业支持保护补贴资金管理办法》中：“农业支持保护补贴资金是中央财政公共预算安排的专项转移支付资金，用于支持耕地地力保护和粮食适度规模经营”内容，符合行业发展规划和政策要求；本项目立项符合《麦盖提县农业农村局配置内设机构和人员编制规定》中职责范围中的“组织农业资源区划工作”，属于我单位履职所需；根据《财政资金直接支付申请书》，本项目资金性质为“公共财政预算”功能分类为“稳定农民收入补贴”经济分类为“个人农业生产补贴”属于公共财政支持范围，符合中央、地方事权支出责任划分原则；经检查我单位财政管理一体化信息系统，本项目不存在重复。结合麦盖提县农业农村局职责，并组织实施该项目。围绕麦盖提县农业农村局年度工作重点和工作计划制定项目预算，根据评分标准，该指标不扣分，得3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（2）立项程序规范性：根据决策依据编制工作计划和项目预算，经过与农业农村局分管领导进行沟通、筛选确定经费预算计划，上党委会研究确定最终预算方案，根据评分标准，该指标不扣分，得2分。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该项目已设置年度绩效目标，具体内容为“根据《关于提前拨付2024年中央耕地建设与利用资金预算的通知》（麦财农【2023】43号）下达中央直达资金5022万元，《关于提前拨付2024年自治区农业生产发展资金（耕地地力保护补贴）预算的通知》（麦财农【2023】51号）下达自治区直达资金335.16万元，上年结转82.47万元。本项目总投资5439.63万元。主要用于对种植小麦、玉米、苜蓿等作物的32.3万亩耕地进行补贴，涉及20115户，项目的实施提高农作物秸秆综合利用水平，引导农民综合采取秸秆还田、深松整地、减少化肥农药用量、施用有机肥等措施，不露天焚烧秸秆，开展测土配方施肥，主动保护耕地地力，提高农业生态资源保护意识，促进耕地质量提升，实现“藏粮于地”。</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②该项目实际工作内容为：发放32.75万亩耕地地力保护补贴。绩效目标与实际工作内容一致，两者具有相关性。</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③该项目按照绩效目标完成数量指标、质量指标、时效指标、成本指标，完成了32.75万亩耕地地力保护补贴，推动农业可持续发展。</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④该项目批复的预算金额为5455.56万元，《项目支出绩效目标表》中预算金额为5455.56万元，预算确定的项目资金与预算确定的项目投资额相匹配。</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指标明确性：经检查我单位年初设置的《项目支出绩效目标表》，得出如下结论：本项目已将年度绩效目标进行细化为绩效指标体系，共设置一级指标4个，二级指标6个，三级指标8个，定量指标6个，定性指标2个，指标量化率为75%，量化率达70.0%以上，将项目绩效目标细化分解为具体的绩效指标。</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绩效目标申报表》中，数量指标指标值为补贴耕地面积32.75万亩、享受补贴户数20155户，三级指标的年度指标值与年度绩效目标中任务数一致，已设置时效指标“项目结束时间2024年11月”。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（5）预算编制科学性：本项目2024年麦盖提县耕地地力保护补贴项目，即预算编制较科学且经过论证；</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预算申请内容为发放32.75万亩耕地地力保护补贴，项目实际内容为发放32.75万亩耕地地力保护补贴，预算申请与《2024年麦盖提县耕地地力保护补贴项目实施方案》中涉及的项目内容匹配；</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预算申请资金5455.56万元，我单位在预算申请中严格按照项目实施内容及测算标准进行核算，预算确定资金量与实际工作任务相匹配。本项目预算额度测算依据充分，严格按照标准编制，预算确定资金量与实际工作任务相匹配；根据评分标准，该指标不扣分，得3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6）资金分配合理性：本项目实际分配资金以《关于申请2024年麦盖提县耕地地力保护补贴项目资金的请示》和《2024年麦盖提县耕地地力保护补贴项目实施方案》为依据进行资金分配，预算资金分配依据充分。根据《关于提前</w:t>
      </w:r>
      <w:r>
        <w:rPr>
          <w:rStyle w:val="17"/>
          <w:rFonts w:hint="eastAsia" w:ascii="仿宋" w:hAnsi="仿宋" w:eastAsia="仿宋" w:cs="仿宋"/>
          <w:b w:val="0"/>
          <w:bCs w:val="0"/>
          <w:spacing w:val="-4"/>
          <w:sz w:val="32"/>
          <w:szCs w:val="32"/>
          <w:lang w:eastAsia="zh-CN"/>
        </w:rPr>
        <w:t>拨付</w:t>
      </w:r>
      <w:r>
        <w:rPr>
          <w:rStyle w:val="17"/>
          <w:rFonts w:hint="eastAsia" w:ascii="仿宋" w:hAnsi="仿宋" w:eastAsia="仿宋" w:cs="仿宋"/>
          <w:b w:val="0"/>
          <w:bCs w:val="0"/>
          <w:spacing w:val="-4"/>
          <w:sz w:val="32"/>
          <w:szCs w:val="32"/>
        </w:rPr>
        <w:t>2024年中央耕地建设与利用资金预算的通知》（麦财农〔2023〕43号）、《关于提前</w:t>
      </w:r>
      <w:r>
        <w:rPr>
          <w:rStyle w:val="17"/>
          <w:rFonts w:hint="eastAsia" w:ascii="仿宋" w:hAnsi="仿宋" w:eastAsia="仿宋" w:cs="仿宋"/>
          <w:b w:val="0"/>
          <w:bCs w:val="0"/>
          <w:spacing w:val="-4"/>
          <w:sz w:val="32"/>
          <w:szCs w:val="32"/>
          <w:lang w:eastAsia="zh-CN"/>
        </w:rPr>
        <w:t>拨付</w:t>
      </w:r>
      <w:r>
        <w:rPr>
          <w:rStyle w:val="17"/>
          <w:rFonts w:hint="eastAsia" w:ascii="仿宋" w:hAnsi="仿宋" w:eastAsia="仿宋" w:cs="仿宋"/>
          <w:b w:val="0"/>
          <w:bCs w:val="0"/>
          <w:spacing w:val="-4"/>
          <w:sz w:val="32"/>
          <w:szCs w:val="32"/>
        </w:rPr>
        <w:t>2024年自治区农业生产发展资金（耕地地力保护补贴）预算的通知》（麦财农〔2023〕51号），本项目实际到位资金5455.56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 5个三级指标构成，权重分为20分，实际得分19.98分，得分率为99.9%。</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资金到位率：本项目预算资金为5455.56万元，其中：财政安排资金5455.56万元，其他资金0万元，实际到位资金5455.56万元，资金到位率100%；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预算执行率：本项目实际支出资金5439.63万元，预算执行率=（实际支出资金/实际到位资金）×100.0%=99.7%；偏差原因：项目已完成，存在结余资金；改进措施：加强年初预算编制管理，结余资金2025年继续使用。</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根据评分标准，该指标扣0.02分，得2.98分。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资金使用合规性：通过检查项目资金申请文件、国库支付凭证等财务资料，得出本项目资金支出符合国家财经法规、《政府会计制度》《麦盖提县农业农村局资金管理办法》《麦盖提县农业农村局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管理制度健全性：我单位已制定《麦盖提县农业农村局资金管理办法》《麦盖提县农业农村局收支业务管理制度》《麦盖提县农业农村局政府采购业务管理制度》《麦盖提县农业农村局合同管理制度》，相关制度均符合行政事业单位内控管理要求，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制度执行有效性：①该项目的实施符合《麦盖提县农业农村局项目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②经现场查证项目财务支付凭证等资料齐全并及时归档。</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③该项目实施过程中不存在调整事项。</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2024年麦盖提县耕地地力保护补贴项目工作领导小组，由陈文德任组长，负责项目的组织工作；李志远任副组长，负责项目的实施工作；组员包括：努尔艾合买提·买买提依明和迪丽热巴，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项目产出类指标包括产出数量、产出质量、产出时效三方面的内容，由4个三级指标构成，权重分为45分，实际得分44.67分，得分率为99.27%。</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补贴耕地面积，预期指标值为大于等于32.75万亩，实际完成值为32.75万亩，指标完成率为100%，与预期目标一致，根据评分标准，该指标不扣分，得5分。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享受补贴户数，预期指标值为大于等于20155户，实际完成值为20155户，指标完成率为100%，与预期目标一致，根据评分标准，该指标不扣分，得5分。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耕地地理保护补贴资金兑付率，预期指标值为100%，实际完成值为100%，指标完成率为100%，与预期目标一致，根据评分标准，该指标不扣分，得10分。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项目结束时间，预期指标值为2024年11月，实际完成值为2024年10月22日，指标完成率为100，比计划提前完成，根据评分标准，该指标不扣分，得10分。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小麦补贴金额，预期指标值为小于等于5215.59万元，实际完成值为5215.59万元，指标完成率100%，与预期目标一致，根据评分标准，该指标不扣分，得10分。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玉米等其他作物补贴金额，预期指标值为小于等于239.97万元，实际完成值为224.04万元，偏差原因：项目已完成，存在结余资金；改进措施：加强年初预算编制管理，结余资金2025年继续使用。根据评分标准，该指标扣0.33分，得4.67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合计得14.67分。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促进耕地质量提升，预期指标值为有效促进，实际完成值为有效促进，指标完成率100%，与预期目标一致，通过项目实施，种粮农民积极性有所提高，根据评分标准，该指标不扣分，得10分。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（2）对于“经济效益指标”：无</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（3）对于“生态效益指标”：无</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满意度指标：群众对耕地地力保护补贴政策的满意度，该指标预期指标值为100%，实际完成值为100%，指标完成率为100%，与预期目标一致，根据评分标准，该指标不扣分,得10分。</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7"/>
          <w:rFonts w:hint="eastAsia" w:ascii="仿宋" w:hAnsi="仿宋" w:eastAsia="仿宋" w:cs="仿宋"/>
          <w:b w:val="0"/>
          <w:bCs w:val="0"/>
          <w:spacing w:val="-4"/>
          <w:sz w:val="32"/>
          <w:szCs w:val="32"/>
        </w:rPr>
        <w:t>麦盖提县2024年耕地地力保护补贴项目预算安排5455.5615万元（2024年中央耕地地力保护补贴资金5022万元，自治区农业生产发展资金（耕地地力保护补贴）335.16万元，2023年耕地地力保护补贴结余资金98.401548万元），实际支出5439.63万元，预算执行率99.7%。项目绩效指标总体完成率为99.2%，偏差率为0.5%。偏差原因：项目已完成，存在结余资金；改进措施：加强年初预算编制管理，结余资金2025年继续使用。</w:t>
      </w:r>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六、主要经验及做法、存在的问题及原因分析</w:t>
      </w:r>
      <w:r>
        <w:rPr>
          <w:rStyle w:val="17"/>
          <w:rFonts w:hint="eastAsia" w:ascii="黑体" w:hAnsi="黑体" w:eastAsia="黑体" w:cs="黑体"/>
          <w:b w:val="0"/>
          <w:spacing w:val="-4"/>
          <w:sz w:val="32"/>
          <w:szCs w:val="32"/>
          <w:lang w:eastAsia="zh-CN"/>
        </w:rPr>
        <w:t>、下一步改进措施</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是加强组织领导。麦盖提县2024年耕地地力保护补贴工作在县人民政府的正确领导下开展，由分管农业的县委领导和县政府领导负责，县纪委监委、农业农村局、自然资源局、财政局、审计局等部门以及各乡镇（场）具体参与实施。</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是明确责任分工。县农业农村局制定《2024年麦盖提县耕地地力保护补贴实施方案》，明确补贴的总体要求、补贴内容（补贴对象、补贴条件、补贴标准）、方法步骤等。根据实施方案内容，农业农村局负责组织实施、面积核准以及资金监督使用和绩效落实;财政局负责补贴资金落实、资金拨付、绩效评价和资金监管，承担补贴发放主体责任，主要负责补贴政策的组织实施、协调推进、兑付资金、宣传解释和问题反馈等工作，配套相应工作经费，确保面积核实等外业工作保质保量落实到位。乡镇(场)人民政府负责本辖区补贴政策的具体组织实施管理工作，做好补贴面积的申报、统计、核实、张榜公示、信息的审核和“一卡通”系统录入以及政策解释等工作。</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是加强宣传培训。采取周一升国旗宣讲、农民夜校、干部包户走访等形式，宣传2024年耕地地力保护补贴政策，让基层干部群众充分了解政策内容。县农业农村局针对补贴面积界定、补贴面积申报，对各乡镇分管领导和具体工作人员进行培训讲解；乡镇采取以会代训的方式，对各村负责业务的村干部进行业务培训。通过宣传培训，切实提高基层干部群众对政策的理解力和执行力，为补贴政策规范落实奠定思想基础。</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各乡镇（场）干部在填写耕地地力保护补贴（冬小麦）农户发放名单信息及“一卡通”系统信息录入过程中不够精准，不同程度的存在打卡不成功人员信息。</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1.做好打卡失败人员信息审核。根据“一卡通”系统回退打卡失败人员名单，督促相关乡镇进行核实及时更改信息，使补贴尽快发放到农户手中。</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八、其他需要说明的问题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6B715A90"/>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table" w:styleId="20">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21">
    <w:name w:val="标题 1 字符"/>
    <w:basedOn w:val="16"/>
    <w:link w:val="2"/>
    <w:qFormat/>
    <w:uiPriority w:val="9"/>
    <w:rPr>
      <w:rFonts w:asciiTheme="majorHAnsi" w:hAnsiTheme="majorHAnsi" w:eastAsiaTheme="majorEastAsia"/>
      <w:b/>
      <w:bCs/>
      <w:kern w:val="32"/>
      <w:sz w:val="32"/>
      <w:szCs w:val="32"/>
    </w:rPr>
  </w:style>
  <w:style w:type="character" w:customStyle="1" w:styleId="22">
    <w:name w:val="标题 2 字符"/>
    <w:basedOn w:val="16"/>
    <w:link w:val="3"/>
    <w:semiHidden/>
    <w:qFormat/>
    <w:uiPriority w:val="9"/>
    <w:rPr>
      <w:rFonts w:asciiTheme="majorHAnsi" w:hAnsiTheme="majorHAnsi" w:eastAsiaTheme="majorEastAsia"/>
      <w:b/>
      <w:bCs/>
      <w:i/>
      <w:iCs/>
      <w:sz w:val="28"/>
      <w:szCs w:val="28"/>
    </w:rPr>
  </w:style>
  <w:style w:type="character" w:customStyle="1" w:styleId="23">
    <w:name w:val="标题 3 字符"/>
    <w:basedOn w:val="16"/>
    <w:link w:val="4"/>
    <w:semiHidden/>
    <w:qFormat/>
    <w:uiPriority w:val="9"/>
    <w:rPr>
      <w:rFonts w:asciiTheme="majorHAnsi" w:hAnsiTheme="majorHAnsi" w:eastAsiaTheme="majorEastAsia"/>
      <w:b/>
      <w:bCs/>
      <w:sz w:val="26"/>
      <w:szCs w:val="26"/>
    </w:rPr>
  </w:style>
  <w:style w:type="character" w:customStyle="1" w:styleId="24">
    <w:name w:val="标题 4 字符"/>
    <w:basedOn w:val="16"/>
    <w:link w:val="5"/>
    <w:qFormat/>
    <w:uiPriority w:val="9"/>
    <w:rPr>
      <w:b/>
      <w:bCs/>
      <w:sz w:val="28"/>
      <w:szCs w:val="28"/>
    </w:rPr>
  </w:style>
  <w:style w:type="character" w:customStyle="1" w:styleId="25">
    <w:name w:val="标题 5 字符"/>
    <w:basedOn w:val="16"/>
    <w:link w:val="6"/>
    <w:semiHidden/>
    <w:qFormat/>
    <w:uiPriority w:val="9"/>
    <w:rPr>
      <w:b/>
      <w:bCs/>
      <w:i/>
      <w:iCs/>
      <w:sz w:val="26"/>
      <w:szCs w:val="26"/>
    </w:rPr>
  </w:style>
  <w:style w:type="character" w:customStyle="1" w:styleId="26">
    <w:name w:val="标题 6 字符"/>
    <w:basedOn w:val="16"/>
    <w:link w:val="7"/>
    <w:semiHidden/>
    <w:qFormat/>
    <w:uiPriority w:val="9"/>
    <w:rPr>
      <w:b/>
      <w:bCs/>
    </w:rPr>
  </w:style>
  <w:style w:type="character" w:customStyle="1" w:styleId="27">
    <w:name w:val="标题 7 字符"/>
    <w:basedOn w:val="16"/>
    <w:link w:val="8"/>
    <w:semiHidden/>
    <w:qFormat/>
    <w:uiPriority w:val="9"/>
    <w:rPr>
      <w:sz w:val="24"/>
      <w:szCs w:val="24"/>
    </w:rPr>
  </w:style>
  <w:style w:type="character" w:customStyle="1" w:styleId="28">
    <w:name w:val="标题 8 字符"/>
    <w:basedOn w:val="16"/>
    <w:link w:val="9"/>
    <w:semiHidden/>
    <w:qFormat/>
    <w:uiPriority w:val="9"/>
    <w:rPr>
      <w:i/>
      <w:iCs/>
      <w:sz w:val="24"/>
      <w:szCs w:val="24"/>
    </w:rPr>
  </w:style>
  <w:style w:type="character" w:customStyle="1" w:styleId="29">
    <w:name w:val="标题 9 字符"/>
    <w:basedOn w:val="16"/>
    <w:link w:val="10"/>
    <w:semiHidden/>
    <w:qFormat/>
    <w:uiPriority w:val="9"/>
    <w:rPr>
      <w:rFonts w:asciiTheme="majorHAnsi" w:hAnsiTheme="majorHAnsi" w:eastAsiaTheme="majorEastAsia"/>
    </w:rPr>
  </w:style>
  <w:style w:type="character" w:customStyle="1" w:styleId="30">
    <w:name w:val="标题 字符"/>
    <w:basedOn w:val="16"/>
    <w:link w:val="15"/>
    <w:qFormat/>
    <w:uiPriority w:val="10"/>
    <w:rPr>
      <w:rFonts w:asciiTheme="majorHAnsi" w:hAnsiTheme="majorHAnsi" w:eastAsiaTheme="majorEastAsia"/>
      <w:b/>
      <w:bCs/>
      <w:kern w:val="28"/>
      <w:sz w:val="32"/>
      <w:szCs w:val="32"/>
    </w:rPr>
  </w:style>
  <w:style w:type="character" w:customStyle="1" w:styleId="31">
    <w:name w:val="副标题 字符"/>
    <w:basedOn w:val="16"/>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6"/>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6"/>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6"/>
    <w:qFormat/>
    <w:uiPriority w:val="21"/>
    <w:rPr>
      <w:b/>
      <w:i/>
      <w:sz w:val="24"/>
      <w:szCs w:val="24"/>
      <w:u w:val="single"/>
    </w:rPr>
  </w:style>
  <w:style w:type="character" w:customStyle="1" w:styleId="40">
    <w:name w:val="不明显参考1"/>
    <w:basedOn w:val="16"/>
    <w:qFormat/>
    <w:uiPriority w:val="31"/>
    <w:rPr>
      <w:sz w:val="24"/>
      <w:szCs w:val="24"/>
      <w:u w:val="single"/>
    </w:rPr>
  </w:style>
  <w:style w:type="character" w:customStyle="1" w:styleId="41">
    <w:name w:val="明显参考1"/>
    <w:basedOn w:val="16"/>
    <w:qFormat/>
    <w:uiPriority w:val="32"/>
    <w:rPr>
      <w:b/>
      <w:sz w:val="24"/>
      <w:u w:val="single"/>
    </w:rPr>
  </w:style>
  <w:style w:type="character" w:customStyle="1" w:styleId="42">
    <w:name w:val="书籍标题1"/>
    <w:basedOn w:val="16"/>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6"/>
    <w:link w:val="13"/>
    <w:qFormat/>
    <w:uiPriority w:val="99"/>
    <w:rPr>
      <w:rFonts w:ascii="Calibri" w:hAnsi="Calibri" w:eastAsia="宋体"/>
      <w:kern w:val="2"/>
      <w:sz w:val="18"/>
      <w:szCs w:val="18"/>
    </w:rPr>
  </w:style>
  <w:style w:type="character" w:customStyle="1" w:styleId="45">
    <w:name w:val="页脚 字符"/>
    <w:basedOn w:val="16"/>
    <w:link w:val="12"/>
    <w:qFormat/>
    <w:uiPriority w:val="99"/>
    <w:rPr>
      <w:rFonts w:ascii="Calibri" w:hAnsi="Calibri" w:eastAsia="宋体"/>
      <w:kern w:val="2"/>
      <w:sz w:val="18"/>
      <w:szCs w:val="18"/>
    </w:rPr>
  </w:style>
  <w:style w:type="character" w:customStyle="1" w:styleId="46">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64952c-920b-492a-a2ff-60358d81883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Administrator</cp:lastModifiedBy>
  <cp:lastPrinted>2018-12-31T10:56:00Z</cp:lastPrinted>
  <dcterms:modified xsi:type="dcterms:W3CDTF">2025-09-06T03:53:21Z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299A846E7742483FADE25949A45A48D3_12</vt:lpwstr>
  </property>
</Properties>
</file>