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20" w:lineRule="exact"/>
        <w:jc w:val="both"/>
        <w:rPr>
          <w:rFonts w:ascii="Times New Roman" w:hAnsi="Times New Roman" w:eastAsia="黑体" w:cs="宋体"/>
          <w:color w:val="333333"/>
          <w:sz w:val="32"/>
          <w:szCs w:val="32"/>
          <w:lang w:bidi="ar"/>
        </w:rPr>
      </w:pPr>
      <w:bookmarkStart w:id="0" w:name="_GoBack"/>
      <w:bookmarkEnd w:id="0"/>
    </w:p>
    <w:p>
      <w:pPr>
        <w:keepNext w:val="0"/>
        <w:keepLines w:val="0"/>
        <w:pageBreakBefore w:val="0"/>
        <w:kinsoku/>
        <w:wordWrap/>
        <w:overflowPunct/>
        <w:topLinePunct w:val="0"/>
        <w:autoSpaceDE/>
        <w:autoSpaceDN/>
        <w:bidi w:val="0"/>
        <w:adjustRightInd/>
        <w:spacing w:line="520" w:lineRule="exact"/>
        <w:jc w:val="both"/>
        <w:rPr>
          <w:rFonts w:ascii="Times New Roman" w:hAnsi="Times New Roman" w:eastAsia="华文中宋" w:cs="宋体"/>
          <w:b/>
          <w:kern w:val="0"/>
          <w:sz w:val="52"/>
          <w:szCs w:val="52"/>
        </w:rPr>
      </w:pPr>
    </w:p>
    <w:p>
      <w:pPr>
        <w:keepNext w:val="0"/>
        <w:keepLines w:val="0"/>
        <w:pageBreakBefore w:val="0"/>
        <w:kinsoku/>
        <w:wordWrap/>
        <w:overflowPunct/>
        <w:topLinePunct w:val="0"/>
        <w:autoSpaceDE/>
        <w:autoSpaceDN/>
        <w:bidi w:val="0"/>
        <w:adjustRightInd/>
        <w:spacing w:line="520" w:lineRule="exact"/>
        <w:jc w:val="both"/>
        <w:rPr>
          <w:rFonts w:ascii="Times New Roman" w:hAnsi="Times New Roman" w:eastAsia="华文中宋" w:cs="宋体"/>
          <w:b/>
          <w:kern w:val="0"/>
          <w:sz w:val="52"/>
          <w:szCs w:val="52"/>
        </w:rPr>
      </w:pPr>
    </w:p>
    <w:p>
      <w:pPr>
        <w:keepNext w:val="0"/>
        <w:keepLines w:val="0"/>
        <w:pageBreakBefore w:val="0"/>
        <w:kinsoku/>
        <w:wordWrap/>
        <w:overflowPunct/>
        <w:topLinePunct w:val="0"/>
        <w:autoSpaceDE/>
        <w:autoSpaceDN/>
        <w:bidi w:val="0"/>
        <w:adjustRightInd/>
        <w:spacing w:line="520" w:lineRule="exact"/>
        <w:jc w:val="both"/>
        <w:rPr>
          <w:rFonts w:ascii="Times New Roman" w:hAnsi="Times New Roman" w:eastAsia="华文中宋" w:cs="宋体"/>
          <w:b/>
          <w:kern w:val="0"/>
          <w:sz w:val="52"/>
          <w:szCs w:val="52"/>
        </w:rPr>
      </w:pPr>
    </w:p>
    <w:p>
      <w:pPr>
        <w:keepNext w:val="0"/>
        <w:keepLines w:val="0"/>
        <w:pageBreakBefore w:val="0"/>
        <w:kinsoku/>
        <w:wordWrap/>
        <w:overflowPunct/>
        <w:topLinePunct w:val="0"/>
        <w:autoSpaceDE/>
        <w:autoSpaceDN/>
        <w:bidi w:val="0"/>
        <w:adjustRightInd/>
        <w:spacing w:line="520" w:lineRule="exact"/>
        <w:jc w:val="both"/>
        <w:rPr>
          <w:rFonts w:ascii="Times New Roman" w:hAnsi="Times New Roman" w:eastAsia="华文中宋" w:cs="宋体"/>
          <w:b/>
          <w:kern w:val="0"/>
          <w:sz w:val="52"/>
          <w:szCs w:val="52"/>
        </w:rPr>
      </w:pPr>
    </w:p>
    <w:p>
      <w:pPr>
        <w:keepNext w:val="0"/>
        <w:keepLines w:val="0"/>
        <w:pageBreakBefore w:val="0"/>
        <w:kinsoku/>
        <w:wordWrap/>
        <w:overflowPunct/>
        <w:topLinePunct w:val="0"/>
        <w:autoSpaceDE/>
        <w:autoSpaceDN/>
        <w:bidi w:val="0"/>
        <w:adjustRightInd/>
        <w:spacing w:line="520" w:lineRule="exact"/>
        <w:jc w:val="both"/>
        <w:rPr>
          <w:rFonts w:ascii="Times New Roman" w:hAnsi="Times New Roman" w:eastAsia="华文中宋" w:cs="宋体"/>
          <w:b/>
          <w:kern w:val="0"/>
          <w:sz w:val="52"/>
          <w:szCs w:val="52"/>
        </w:rPr>
      </w:pPr>
    </w:p>
    <w:p>
      <w:pPr>
        <w:keepNext w:val="0"/>
        <w:keepLines w:val="0"/>
        <w:pageBreakBefore w:val="0"/>
        <w:kinsoku/>
        <w:wordWrap/>
        <w:overflowPunct/>
        <w:topLinePunct w:val="0"/>
        <w:autoSpaceDE/>
        <w:autoSpaceDN/>
        <w:bidi w:val="0"/>
        <w:adjustRightInd/>
        <w:spacing w:line="520" w:lineRule="exact"/>
        <w:jc w:val="both"/>
        <w:rPr>
          <w:rFonts w:hint="eastAsia" w:ascii="方正黑体_GBK" w:hAnsi="方正黑体_GBK" w:eastAsia="方正黑体_GBK" w:cs="方正黑体_GBK"/>
          <w:b/>
          <w:kern w:val="0"/>
          <w:sz w:val="52"/>
          <w:szCs w:val="52"/>
        </w:rPr>
      </w:pPr>
    </w:p>
    <w:p>
      <w:pPr>
        <w:keepNext w:val="0"/>
        <w:keepLines w:val="0"/>
        <w:pageBreakBefore w:val="0"/>
        <w:kinsoku/>
        <w:wordWrap/>
        <w:overflowPunct/>
        <w:topLinePunct w:val="0"/>
        <w:autoSpaceDE/>
        <w:autoSpaceDN/>
        <w:bidi w:val="0"/>
        <w:adjustRightInd/>
        <w:spacing w:line="520" w:lineRule="exact"/>
        <w:jc w:val="center"/>
        <w:rPr>
          <w:rFonts w:hint="eastAsia" w:ascii="方正黑体_GBK" w:hAnsi="方正黑体_GBK" w:eastAsia="方正黑体_GBK" w:cs="方正黑体_GBK"/>
          <w:b/>
          <w:kern w:val="0"/>
          <w:sz w:val="48"/>
          <w:szCs w:val="48"/>
        </w:rPr>
      </w:pPr>
      <w:r>
        <w:rPr>
          <w:rFonts w:hint="eastAsia" w:ascii="方正黑体_GBK" w:hAnsi="方正黑体_GBK" w:eastAsia="方正黑体_GBK" w:cs="方正黑体_GBK"/>
          <w:b/>
          <w:kern w:val="0"/>
          <w:sz w:val="48"/>
          <w:szCs w:val="48"/>
          <w:lang w:val="en-US" w:eastAsia="zh-CN"/>
        </w:rPr>
        <w:t>麦盖提县部门单位</w:t>
      </w:r>
      <w:r>
        <w:rPr>
          <w:rFonts w:hint="eastAsia" w:ascii="方正黑体_GBK" w:hAnsi="方正黑体_GBK" w:eastAsia="方正黑体_GBK" w:cs="方正黑体_GBK"/>
          <w:b/>
          <w:kern w:val="0"/>
          <w:sz w:val="48"/>
          <w:szCs w:val="48"/>
        </w:rPr>
        <w:t>整体支出</w:t>
      </w:r>
    </w:p>
    <w:p>
      <w:pPr>
        <w:keepNext w:val="0"/>
        <w:keepLines w:val="0"/>
        <w:pageBreakBefore w:val="0"/>
        <w:kinsoku/>
        <w:wordWrap/>
        <w:overflowPunct/>
        <w:topLinePunct w:val="0"/>
        <w:autoSpaceDE/>
        <w:autoSpaceDN/>
        <w:bidi w:val="0"/>
        <w:adjustRightInd/>
        <w:spacing w:line="520" w:lineRule="exact"/>
        <w:jc w:val="center"/>
        <w:rPr>
          <w:rFonts w:hint="eastAsia" w:ascii="方正黑体_GBK" w:hAnsi="方正黑体_GBK" w:eastAsia="方正黑体_GBK" w:cs="方正黑体_GBK"/>
          <w:b/>
          <w:kern w:val="0"/>
          <w:sz w:val="48"/>
          <w:szCs w:val="48"/>
        </w:rPr>
      </w:pPr>
      <w:r>
        <w:rPr>
          <w:rFonts w:hint="eastAsia" w:ascii="方正黑体_GBK" w:hAnsi="方正黑体_GBK" w:eastAsia="方正黑体_GBK" w:cs="方正黑体_GBK"/>
          <w:b/>
          <w:kern w:val="0"/>
          <w:sz w:val="48"/>
          <w:szCs w:val="48"/>
        </w:rPr>
        <w:t>绩效自评报告</w:t>
      </w:r>
    </w:p>
    <w:p>
      <w:pPr>
        <w:keepNext w:val="0"/>
        <w:keepLines w:val="0"/>
        <w:pageBreakBefore w:val="0"/>
        <w:kinsoku/>
        <w:wordWrap/>
        <w:overflowPunct/>
        <w:topLinePunct w:val="0"/>
        <w:autoSpaceDE/>
        <w:autoSpaceDN/>
        <w:bidi w:val="0"/>
        <w:adjustRightInd/>
        <w:spacing w:line="520" w:lineRule="exact"/>
        <w:jc w:val="center"/>
        <w:rPr>
          <w:rFonts w:hint="eastAsia" w:ascii="方正黑体_GBK" w:hAnsi="方正黑体_GBK" w:eastAsia="方正黑体_GBK" w:cs="方正黑体_GBK"/>
          <w:b/>
          <w:kern w:val="0"/>
          <w:sz w:val="52"/>
          <w:szCs w:val="52"/>
        </w:rPr>
      </w:pPr>
    </w:p>
    <w:p>
      <w:pPr>
        <w:keepNext w:val="0"/>
        <w:keepLines w:val="0"/>
        <w:pageBreakBefore w:val="0"/>
        <w:kinsoku/>
        <w:wordWrap/>
        <w:overflowPunct/>
        <w:topLinePunct w:val="0"/>
        <w:autoSpaceDE/>
        <w:autoSpaceDN/>
        <w:bidi w:val="0"/>
        <w:adjustRightInd/>
        <w:spacing w:line="520" w:lineRule="exact"/>
        <w:jc w:val="center"/>
        <w:rPr>
          <w:rFonts w:hint="eastAsia" w:ascii="方正黑体_GBK" w:hAnsi="方正黑体_GBK" w:eastAsia="方正黑体_GBK" w:cs="方正黑体_GBK"/>
          <w:kern w:val="0"/>
          <w:sz w:val="36"/>
          <w:szCs w:val="36"/>
        </w:rPr>
      </w:pPr>
      <w:r>
        <w:rPr>
          <w:rFonts w:hint="eastAsia" w:ascii="方正黑体_GBK" w:hAnsi="方正黑体_GBK" w:eastAsia="方正黑体_GBK" w:cs="方正黑体_GBK"/>
          <w:kern w:val="0"/>
          <w:sz w:val="36"/>
          <w:szCs w:val="36"/>
        </w:rPr>
        <w:t>（202</w:t>
      </w:r>
      <w:r>
        <w:rPr>
          <w:rFonts w:hint="eastAsia" w:ascii="方正黑体_GBK" w:hAnsi="方正黑体_GBK" w:eastAsia="方正黑体_GBK" w:cs="方正黑体_GBK"/>
          <w:kern w:val="0"/>
          <w:sz w:val="36"/>
          <w:szCs w:val="36"/>
          <w:lang w:val="en-US" w:eastAsia="zh-CN"/>
        </w:rPr>
        <w:t>4</w:t>
      </w:r>
      <w:r>
        <w:rPr>
          <w:rFonts w:hint="eastAsia" w:ascii="方正黑体_GBK" w:hAnsi="方正黑体_GBK" w:eastAsia="方正黑体_GBK" w:cs="方正黑体_GBK"/>
          <w:kern w:val="0"/>
          <w:sz w:val="36"/>
          <w:szCs w:val="36"/>
        </w:rPr>
        <w:t>年度）</w:t>
      </w:r>
    </w:p>
    <w:p>
      <w:pPr>
        <w:keepNext w:val="0"/>
        <w:keepLines w:val="0"/>
        <w:pageBreakBefore w:val="0"/>
        <w:kinsoku/>
        <w:wordWrap/>
        <w:overflowPunct/>
        <w:topLinePunct w:val="0"/>
        <w:autoSpaceDE/>
        <w:autoSpaceDN/>
        <w:bidi w:val="0"/>
        <w:adjustRightInd/>
        <w:spacing w:line="520" w:lineRule="exact"/>
        <w:jc w:val="both"/>
        <w:rPr>
          <w:rFonts w:hint="eastAsia" w:ascii="方正黑体_GBK" w:hAnsi="方正黑体_GBK" w:eastAsia="方正黑体_GBK" w:cs="方正黑体_GBK"/>
          <w:kern w:val="0"/>
          <w:sz w:val="30"/>
          <w:szCs w:val="30"/>
        </w:rPr>
      </w:pPr>
    </w:p>
    <w:p>
      <w:pPr>
        <w:keepNext w:val="0"/>
        <w:keepLines w:val="0"/>
        <w:pageBreakBefore w:val="0"/>
        <w:kinsoku/>
        <w:wordWrap/>
        <w:overflowPunct/>
        <w:topLinePunct w:val="0"/>
        <w:autoSpaceDE/>
        <w:autoSpaceDN/>
        <w:bidi w:val="0"/>
        <w:adjustRightInd/>
        <w:spacing w:line="520" w:lineRule="exact"/>
        <w:jc w:val="both"/>
        <w:rPr>
          <w:rFonts w:hint="eastAsia" w:ascii="方正黑体_GBK" w:hAnsi="方正黑体_GBK" w:eastAsia="方正黑体_GBK" w:cs="方正黑体_GBK"/>
          <w:kern w:val="0"/>
          <w:sz w:val="30"/>
          <w:szCs w:val="30"/>
        </w:rPr>
      </w:pPr>
    </w:p>
    <w:p>
      <w:pPr>
        <w:keepNext w:val="0"/>
        <w:keepLines w:val="0"/>
        <w:pageBreakBefore w:val="0"/>
        <w:kinsoku/>
        <w:wordWrap/>
        <w:overflowPunct/>
        <w:topLinePunct w:val="0"/>
        <w:autoSpaceDE/>
        <w:autoSpaceDN/>
        <w:bidi w:val="0"/>
        <w:adjustRightInd/>
        <w:spacing w:line="520" w:lineRule="exact"/>
        <w:jc w:val="both"/>
        <w:rPr>
          <w:rFonts w:hint="eastAsia" w:ascii="方正黑体_GBK" w:hAnsi="方正黑体_GBK" w:eastAsia="方正黑体_GBK" w:cs="方正黑体_GBK"/>
          <w:kern w:val="0"/>
          <w:sz w:val="36"/>
          <w:szCs w:val="36"/>
        </w:rPr>
      </w:pPr>
    </w:p>
    <w:p>
      <w:pPr>
        <w:keepNext w:val="0"/>
        <w:keepLines w:val="0"/>
        <w:pageBreakBefore w:val="0"/>
        <w:kinsoku/>
        <w:wordWrap/>
        <w:overflowPunct/>
        <w:topLinePunct w:val="0"/>
        <w:autoSpaceDE/>
        <w:autoSpaceDN/>
        <w:bidi w:val="0"/>
        <w:adjustRightInd/>
        <w:spacing w:line="520" w:lineRule="exact"/>
        <w:jc w:val="both"/>
        <w:rPr>
          <w:rFonts w:hint="eastAsia" w:ascii="方正黑体_GBK" w:hAnsi="方正黑体_GBK" w:eastAsia="方正黑体_GBK" w:cs="方正黑体_GBK"/>
          <w:kern w:val="0"/>
          <w:sz w:val="30"/>
          <w:szCs w:val="30"/>
        </w:rPr>
      </w:pPr>
    </w:p>
    <w:p>
      <w:pPr>
        <w:keepNext w:val="0"/>
        <w:keepLines w:val="0"/>
        <w:pageBreakBefore w:val="0"/>
        <w:kinsoku/>
        <w:wordWrap/>
        <w:overflowPunct/>
        <w:topLinePunct w:val="0"/>
        <w:autoSpaceDE/>
        <w:autoSpaceDN/>
        <w:bidi w:val="0"/>
        <w:adjustRightInd/>
        <w:spacing w:line="520" w:lineRule="exact"/>
        <w:jc w:val="both"/>
        <w:rPr>
          <w:rFonts w:hint="eastAsia" w:ascii="方正黑体_GBK" w:hAnsi="方正黑体_GBK" w:eastAsia="方正黑体_GBK" w:cs="方正黑体_GBK"/>
          <w:kern w:val="0"/>
          <w:sz w:val="30"/>
          <w:szCs w:val="30"/>
        </w:rPr>
      </w:pPr>
    </w:p>
    <w:p>
      <w:pPr>
        <w:keepNext w:val="0"/>
        <w:keepLines w:val="0"/>
        <w:pageBreakBefore w:val="0"/>
        <w:kinsoku/>
        <w:wordWrap/>
        <w:overflowPunct/>
        <w:topLinePunct w:val="0"/>
        <w:autoSpaceDE/>
        <w:autoSpaceDN/>
        <w:bidi w:val="0"/>
        <w:adjustRightInd/>
        <w:spacing w:line="520" w:lineRule="exact"/>
        <w:jc w:val="both"/>
        <w:rPr>
          <w:rFonts w:hint="eastAsia" w:ascii="方正黑体_GBK" w:hAnsi="方正黑体_GBK" w:eastAsia="方正黑体_GBK" w:cs="方正黑体_GBK"/>
          <w:kern w:val="0"/>
          <w:sz w:val="30"/>
          <w:szCs w:val="30"/>
        </w:rPr>
      </w:pPr>
    </w:p>
    <w:p>
      <w:pPr>
        <w:keepNext w:val="0"/>
        <w:keepLines w:val="0"/>
        <w:pageBreakBefore w:val="0"/>
        <w:kinsoku/>
        <w:wordWrap/>
        <w:overflowPunct/>
        <w:topLinePunct w:val="0"/>
        <w:autoSpaceDE/>
        <w:autoSpaceDN/>
        <w:bidi w:val="0"/>
        <w:adjustRightInd/>
        <w:spacing w:line="520" w:lineRule="exact"/>
        <w:jc w:val="both"/>
        <w:rPr>
          <w:rFonts w:hint="eastAsia" w:ascii="方正黑体_GBK" w:hAnsi="方正黑体_GBK" w:eastAsia="方正黑体_GBK" w:cs="方正黑体_GBK"/>
          <w:kern w:val="0"/>
          <w:sz w:val="36"/>
          <w:szCs w:val="36"/>
        </w:rPr>
      </w:pPr>
      <w:r>
        <w:rPr>
          <w:rFonts w:hint="eastAsia" w:ascii="方正黑体_GBK" w:hAnsi="方正黑体_GBK" w:eastAsia="方正黑体_GBK" w:cs="方正黑体_GBK"/>
          <w:kern w:val="0"/>
          <w:sz w:val="36"/>
          <w:szCs w:val="36"/>
        </w:rPr>
        <w:t xml:space="preserve">  </w:t>
      </w:r>
    </w:p>
    <w:p>
      <w:pPr>
        <w:keepNext w:val="0"/>
        <w:keepLines w:val="0"/>
        <w:pageBreakBefore w:val="0"/>
        <w:kinsoku/>
        <w:wordWrap/>
        <w:overflowPunct/>
        <w:topLinePunct w:val="0"/>
        <w:autoSpaceDE/>
        <w:autoSpaceDN/>
        <w:bidi w:val="0"/>
        <w:adjustRightInd/>
        <w:spacing w:line="520" w:lineRule="exact"/>
        <w:ind w:firstLine="849" w:firstLineChars="236"/>
        <w:jc w:val="both"/>
        <w:rPr>
          <w:rFonts w:hint="eastAsia" w:ascii="方正黑体_GBK" w:hAnsi="方正黑体_GBK" w:eastAsia="方正黑体_GBK" w:cs="方正黑体_GBK"/>
          <w:kern w:val="0"/>
          <w:sz w:val="36"/>
          <w:szCs w:val="36"/>
          <w:lang w:val="en-US" w:eastAsia="zh-CN"/>
        </w:rPr>
      </w:pPr>
      <w:r>
        <w:rPr>
          <w:rFonts w:hint="eastAsia" w:ascii="方正黑体_GBK" w:hAnsi="方正黑体_GBK" w:eastAsia="方正黑体_GBK" w:cs="方正黑体_GBK"/>
          <w:kern w:val="0"/>
          <w:sz w:val="36"/>
          <w:szCs w:val="36"/>
        </w:rPr>
        <w:t>部门单位名称（公章）：</w:t>
      </w:r>
      <w:r>
        <w:rPr>
          <w:rFonts w:hint="eastAsia" w:ascii="方正黑体_GBK" w:hAnsi="方正黑体_GBK" w:eastAsia="方正黑体_GBK" w:cs="方正黑体_GBK"/>
          <w:kern w:val="0"/>
          <w:sz w:val="36"/>
          <w:szCs w:val="36"/>
          <w:lang w:val="en-US" w:eastAsia="zh-CN"/>
        </w:rPr>
        <w:t>麦盖提县农业农村局</w:t>
      </w:r>
    </w:p>
    <w:p>
      <w:pPr>
        <w:keepNext w:val="0"/>
        <w:keepLines w:val="0"/>
        <w:pageBreakBefore w:val="0"/>
        <w:kinsoku/>
        <w:wordWrap/>
        <w:overflowPunct/>
        <w:topLinePunct w:val="0"/>
        <w:autoSpaceDE/>
        <w:autoSpaceDN/>
        <w:bidi w:val="0"/>
        <w:adjustRightInd/>
        <w:spacing w:line="520" w:lineRule="exact"/>
        <w:ind w:firstLine="849" w:firstLineChars="236"/>
        <w:jc w:val="both"/>
        <w:rPr>
          <w:rFonts w:hint="eastAsia" w:ascii="方正黑体_GBK" w:hAnsi="方正黑体_GBK" w:eastAsia="方正黑体_GBK" w:cs="方正黑体_GBK"/>
          <w:kern w:val="0"/>
          <w:sz w:val="36"/>
          <w:szCs w:val="36"/>
        </w:rPr>
      </w:pPr>
      <w:r>
        <w:rPr>
          <w:rFonts w:hint="eastAsia" w:ascii="方正黑体_GBK" w:hAnsi="方正黑体_GBK" w:eastAsia="方正黑体_GBK" w:cs="方正黑体_GBK"/>
          <w:kern w:val="0"/>
          <w:sz w:val="36"/>
          <w:szCs w:val="36"/>
        </w:rPr>
        <w:t>填报时间：</w:t>
      </w:r>
      <w:r>
        <w:rPr>
          <w:rFonts w:hint="eastAsia" w:ascii="方正黑体_GBK" w:hAnsi="方正黑体_GBK" w:eastAsia="方正黑体_GBK" w:cs="方正黑体_GBK"/>
          <w:kern w:val="0"/>
          <w:sz w:val="36"/>
          <w:szCs w:val="36"/>
          <w:lang w:val="en-US" w:eastAsia="zh-CN"/>
        </w:rPr>
        <w:t>2025</w:t>
      </w:r>
      <w:r>
        <w:rPr>
          <w:rFonts w:hint="eastAsia" w:ascii="方正黑体_GBK" w:hAnsi="方正黑体_GBK" w:eastAsia="方正黑体_GBK" w:cs="方正黑体_GBK"/>
          <w:kern w:val="0"/>
          <w:sz w:val="36"/>
          <w:szCs w:val="36"/>
        </w:rPr>
        <w:t>年</w:t>
      </w:r>
      <w:r>
        <w:rPr>
          <w:rFonts w:hint="eastAsia" w:ascii="方正黑体_GBK" w:hAnsi="方正黑体_GBK" w:eastAsia="方正黑体_GBK" w:cs="方正黑体_GBK"/>
          <w:kern w:val="0"/>
          <w:sz w:val="36"/>
          <w:szCs w:val="36"/>
          <w:lang w:val="en-US" w:eastAsia="zh-CN"/>
        </w:rPr>
        <w:t>2</w:t>
      </w:r>
      <w:r>
        <w:rPr>
          <w:rFonts w:hint="eastAsia" w:ascii="方正黑体_GBK" w:hAnsi="方正黑体_GBK" w:eastAsia="方正黑体_GBK" w:cs="方正黑体_GBK"/>
          <w:kern w:val="0"/>
          <w:sz w:val="36"/>
          <w:szCs w:val="36"/>
        </w:rPr>
        <w:t>月</w:t>
      </w:r>
      <w:r>
        <w:rPr>
          <w:rFonts w:hint="eastAsia" w:ascii="方正黑体_GBK" w:hAnsi="方正黑体_GBK" w:eastAsia="方正黑体_GBK" w:cs="方正黑体_GBK"/>
          <w:kern w:val="0"/>
          <w:sz w:val="36"/>
          <w:szCs w:val="36"/>
          <w:lang w:val="en-US" w:eastAsia="zh-CN"/>
        </w:rPr>
        <w:t>23</w:t>
      </w:r>
      <w:r>
        <w:rPr>
          <w:rFonts w:hint="eastAsia" w:ascii="方正黑体_GBK" w:hAnsi="方正黑体_GBK" w:eastAsia="方正黑体_GBK" w:cs="方正黑体_GBK"/>
          <w:kern w:val="0"/>
          <w:sz w:val="36"/>
          <w:szCs w:val="36"/>
        </w:rPr>
        <w:t>日</w:t>
      </w:r>
    </w:p>
    <w:p>
      <w:pPr>
        <w:keepNext w:val="0"/>
        <w:keepLines w:val="0"/>
        <w:pageBreakBefore w:val="0"/>
        <w:widowControl/>
        <w:kinsoku/>
        <w:wordWrap/>
        <w:overflowPunct/>
        <w:topLinePunct w:val="0"/>
        <w:autoSpaceDE/>
        <w:autoSpaceDN/>
        <w:bidi w:val="0"/>
        <w:adjustRightInd/>
        <w:spacing w:line="520" w:lineRule="exact"/>
        <w:jc w:val="both"/>
        <w:rPr>
          <w:rFonts w:ascii="Times New Roman" w:hAnsi="Times New Roman" w:eastAsia="仿宋_GB2312" w:cs="仿宋_GB2312"/>
          <w:kern w:val="0"/>
          <w:sz w:val="32"/>
          <w:szCs w:val="32"/>
        </w:rPr>
      </w:pPr>
      <w:r>
        <w:rPr>
          <w:rFonts w:ascii="Times New Roman" w:hAnsi="Times New Roman" w:eastAsia="仿宋_GB2312" w:cs="仿宋_GB2312"/>
          <w:kern w:val="0"/>
          <w:sz w:val="32"/>
          <w:szCs w:val="32"/>
        </w:rPr>
        <w:br w:type="page"/>
      </w:r>
    </w:p>
    <w:p>
      <w:pPr>
        <w:keepNext w:val="0"/>
        <w:keepLines w:val="0"/>
        <w:pageBreakBefore w:val="0"/>
        <w:numPr>
          <w:ilvl w:val="0"/>
          <w:numId w:val="1"/>
        </w:numPr>
        <w:kinsoku/>
        <w:wordWrap/>
        <w:overflowPunct/>
        <w:topLinePunct w:val="0"/>
        <w:autoSpaceDE/>
        <w:autoSpaceDN/>
        <w:bidi w:val="0"/>
        <w:adjustRightInd/>
        <w:spacing w:beforeAutospacing="0" w:afterAutospacing="0" w:line="570" w:lineRule="exact"/>
        <w:ind w:left="0" w:firstLine="640" w:firstLineChars="200"/>
        <w:jc w:val="both"/>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基本概况</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Cs w:val="0"/>
          <w:spacing w:val="-4"/>
          <w:sz w:val="32"/>
          <w:szCs w:val="32"/>
        </w:rPr>
      </w:pPr>
      <w:r>
        <w:rPr>
          <w:rStyle w:val="12"/>
          <w:rFonts w:hint="eastAsia" w:ascii="方正仿宋_GBK" w:hAnsi="方正仿宋_GBK" w:eastAsia="方正仿宋_GBK" w:cs="方正仿宋_GBK"/>
          <w:bCs w:val="0"/>
          <w:spacing w:val="-4"/>
          <w:sz w:val="32"/>
          <w:szCs w:val="32"/>
          <w:lang w:eastAsia="zh-CN"/>
        </w:rPr>
        <w:t>（</w:t>
      </w:r>
      <w:r>
        <w:rPr>
          <w:rStyle w:val="12"/>
          <w:rFonts w:hint="eastAsia" w:ascii="方正仿宋_GBK" w:hAnsi="方正仿宋_GBK" w:eastAsia="方正仿宋_GBK" w:cs="方正仿宋_GBK"/>
          <w:bCs w:val="0"/>
          <w:spacing w:val="-4"/>
          <w:sz w:val="32"/>
          <w:szCs w:val="32"/>
        </w:rPr>
        <w:t>一</w:t>
      </w:r>
      <w:r>
        <w:rPr>
          <w:rStyle w:val="12"/>
          <w:rFonts w:hint="eastAsia" w:ascii="方正仿宋_GBK" w:hAnsi="方正仿宋_GBK" w:eastAsia="方正仿宋_GBK" w:cs="方正仿宋_GBK"/>
          <w:bCs w:val="0"/>
          <w:spacing w:val="-4"/>
          <w:sz w:val="32"/>
          <w:szCs w:val="32"/>
          <w:lang w:eastAsia="zh-CN"/>
        </w:rPr>
        <w:t>）</w:t>
      </w:r>
      <w:r>
        <w:rPr>
          <w:rStyle w:val="12"/>
          <w:rFonts w:hint="eastAsia" w:ascii="方正仿宋_GBK" w:hAnsi="方正仿宋_GBK" w:eastAsia="方正仿宋_GBK" w:cs="方正仿宋_GBK"/>
          <w:bCs w:val="0"/>
          <w:spacing w:val="-4"/>
          <w:sz w:val="32"/>
          <w:szCs w:val="32"/>
        </w:rPr>
        <w:t>部门单位基本情况</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color w:val="333333"/>
          <w:sz w:val="32"/>
          <w:szCs w:val="32"/>
          <w:lang w:bidi="ar"/>
        </w:rPr>
      </w:pPr>
      <w:r>
        <w:rPr>
          <w:rStyle w:val="12"/>
          <w:rFonts w:hint="eastAsia" w:ascii="方正仿宋_GBK" w:hAnsi="方正仿宋_GBK" w:eastAsia="方正仿宋_GBK" w:cs="方正仿宋_GBK"/>
          <w:spacing w:val="-4"/>
          <w:sz w:val="32"/>
          <w:szCs w:val="32"/>
        </w:rPr>
        <w:t>1</w:t>
      </w: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color w:val="333333"/>
          <w:sz w:val="32"/>
          <w:szCs w:val="32"/>
          <w:lang w:bidi="ar"/>
        </w:rPr>
        <w:t>部门主要职能</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麦盖提县农业农村局是县人民政府工作部门，为正科级。加挂麦盖提县畜牧兽医局牌子。县农村工作领导小组办公室设在县农业农村局，接受县农村工作领导小组的直接领导，承担县委农村工作领导小组办公室具体工作，贯彻落实党中央关于“三农”工作和畜牧兽医工作的方针政策和决策部署，统筹全县乡村振兴战略工作，组织开展“三农”和畜牧兽医工作重大问题的政策研究。协调督促有关方面落实县委农村工作领导小组决定事项、工作部署和要求等。</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县农业农村局贯彻落实党中央、自治区党委、地委关于“三农”工作和畜牧兽医工作的方针政策和决策部署，在履行职责过程中坚持和加强党对“三农”工作和畜牧兽医工作的集中统一领导。主要职责是：</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（一）组织实施全县“三农”工作的发展战略、中长期规划、重大政策；指导监督农业综合执法；参与涉农的财税、价格、收储、金融保险等政策研究。</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（二）统筹推动发展农村社会事业、农村公共服务、农村文化、农村基础设施和乡村治理；牵头组织改善农村人居环境；指导农村精神文明和优秀农耕文化建设。指导农村行业安全生产工作。</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三）贯彻深化农村经济体制改革和巩固完善农村基本经营制度的政策；负责农民承包地、农村宅基地改革和管理有关工作；负责农村集体产权制度改革，指导农村集体经济组织发展和集体资产管理工作；指导农民合作社经济组织、农业社会化服务体系、新型农业经营主体建设与发展。</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四）指导乡村特色产业、农产品加工业、休闲农业和乡镇企业发展工作；提出促进大宗农产品流通的建议，培育、保护农业品牌；发布农业农村经济信息，监测分析农业农村经济运行。承担农业统计和农业农村信息化有关工作。</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五）负责种植业、国有农场、农业机械化等农业各产业的监督管理；指导农业产业化发展。指导粮食等农产品生产。组织构建现代农业产业体系、生产体系、经营体系，指导农业标准化生产。负责渔业监督管理。</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（六）负责农产品质量安全监督管理。组织开展农产品质量安全监测、追溯、风险评估；参与制定农产品质量安全地方标准并会同有关部门组织实施；指导农产品检验检测体系建设。</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七）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（八）负责全县有关农业生产资料和农业投入品的监督管理。组织农业生产资料市场体系建设，参与有关农业生产资料地方标准拟订并监督实施。</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（九）负责农业防灾减灾、农作物重大病虫害防治工作；指导植物防疫检疫体系建设，组织、监督县域内植物防疫检疫工作，发布疫情并组织扑灭。</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负责农业投资管理。提出农业投融资体制机制改革建议。编制中央、自治区、地区及本县投资安排的农业投资项目建设规划，提出农业投资规模方向、扶持农业农村发展财政项目的建议，按规定权限审批农业投资项目，负责农业投资项目资金安排和监督管理。</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一）承担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（十二）指导农业农村人才工作。拟订农业农村人才队伍建设规划并组织实施，指导农业教育和农业职业技能开发，指导新型农民培育、农业科技人才培养和农村实用人才培训工作。</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（十三）牵头开展农业对外合作工作。承办农业涉外事务，参与地区农业贸易促进和有关国际交流合作，参与地区农业对外援助政策和规划制定，协助有关部门组织实施有关农业援外项目。</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（十四）贯彻落实国家和自治区有关畜牧兽医方面的法律、法规和政策等。</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（十五）负责畜牧业、兽药和兽医器械行业、饲料饲草加工行业、畜禽屠宰行业监督管理。</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（十六）组织实施畜牧业、兽药和兽医器械行业、兽医事业发展、动物疫病防治、检疫监督、饲料饲草加工行业、畜禽屠宰行业的政策法规，拟订发展规划并组织实施。</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（十七）拟订和组织实施畜牧业、兽医行业、动物疫病防治、动物卫生、饲料饲草加工行业、畜禽屠宰行业有关标准和技术规范。</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（十八）指导和组织实施畜牧业结构调整、畜禽遗传资源保护与利用、种畜禽管理及良种推广利用、标准化规模化生产、畜禽养殖场备案管理、畜禽粪污资源化利用、病死畜禽无害化处理、畜牧设施装备现代化。</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（十九）指导和组织实施饲草生产加工流通、草牧业转型升级。</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（二十）负责动物疫病防治和疫情管理工作。组织实施动物疫病免疫、效价监测和风险评估，监督指导实施动物疫情扑灭工作。指导动物防疫应急管理。</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（二十一）负责兽医医政监督管理，监督管理兽医相关人员、中兽医和动物诊疗机构。承担兽医体系建设工作。</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（二十二）负责监督动物及动物产品检疫、动物标识及动物产品可追溯、动物卫生监督分级管理工作。</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（二十三）负责兽药及兽医器械、饲料及饲料添加剂、生鲜乳生产收购及运输环节、畜禽屠宰环节质量安全监督管理。</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（二十四）负责畜牧兽医技术推广项目的管理工作。指导行业技术推广体系建设与改革。负责组织畜牧行业科技培训。</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（二十五）组织畜禽养殖、屠宰等牧情调度。承担畜牧业综合生产形势分析和畜牧兽医行业统计有关工作。</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（二十六）拟订畜牧业发展规划。提出相关投资项目需求和安排建议并监督实施。</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（二十七）统筹协调全县林果业发展。</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（二十八）承办县委、县政府交办的其他任务。</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（二十九）职能转变</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1、统筹实施乡村振兴战略，深化农业、畜牧业供给侧结构性改革，提升农业、畜牧业发展质量，扎实推进美丽乡村建设，推动农业全面升级、农村全面进步、农民全面发展，加快实现农业农村、畜牧业现代化。</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2、加强农产品质量安全和相关农业生产资料、农业投入品的监督管理，坚持最严谨的标准、最严格的监督、最严厉的处罚、最严肃的问题，严防、严管、严控质量安全风险，让人民群众吃得放心、安心。</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3、深入推进简政放权，加强对行业内交叉重复以及性质相同、用途相近的农业投资项目的统筹整合，简化审批程序，加强项目实施全过程监督，切实提升国家、自治区、地区和县级支农政策效果和资金使用效益，落实“放管服”要求，加强事中事后监管。</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4、加强畜牧业投入品、生鲜乳和畜禽养殖、屠宰等各环节监督管理和动物疫病防控，严防、严管、严控质量安全风险和重大动物疫病风险。</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（三十）与县市场监督管理局的有关职责分工</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1、县农业农村局负责食用农产品从种植环节到进入批发、零售市场或生产加工企业前的质量安全监督管理；食用农产品进入批发、零售市场或生产加工企业后，由县市场监督管理局监督管理。</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2、县农业农村局负责组织实施动植物疫病检测防控。</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3、县农业农村局与市场监督管理局加强协调配合和工作衔接，建立健全食品安全产地准出、市场准入和追溯机制，形成监管合力。</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（三十一）县农业农村局设下列内设机构：</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1、办公室；</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2、畜牧兽医股；</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3、乡村振兴股；</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570" w:lineRule="exact"/>
        <w:ind w:left="0" w:firstLine="664"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6"/>
          <w:sz w:val="32"/>
          <w:szCs w:val="32"/>
          <w:lang w:val="en-US" w:eastAsia="zh-CN"/>
        </w:rPr>
        <w:t>4、农业生产股。</w:t>
      </w:r>
    </w:p>
    <w:p>
      <w:pPr>
        <w:pStyle w:val="17"/>
        <w:keepNext w:val="0"/>
        <w:keepLines w:val="0"/>
        <w:pageBreakBefore w:val="0"/>
        <w:kinsoku/>
        <w:wordWrap/>
        <w:overflowPunct/>
        <w:topLinePunct w:val="0"/>
        <w:autoSpaceDE/>
        <w:autoSpaceDN/>
        <w:bidi w:val="0"/>
        <w:adjustRightInd/>
        <w:snapToGrid w:val="0"/>
        <w:spacing w:beforeAutospacing="0" w:afterAutospacing="0" w:line="570" w:lineRule="exact"/>
        <w:ind w:left="0" w:firstLine="627" w:firstLineChars="200"/>
        <w:jc w:val="both"/>
        <w:outlineLvl w:val="2"/>
        <w:rPr>
          <w:rStyle w:val="12"/>
          <w:rFonts w:hint="eastAsia" w:ascii="方正仿宋_GBK" w:hAnsi="方正仿宋_GBK" w:eastAsia="方正仿宋_GBK" w:cs="方正仿宋_GBK"/>
          <w:bCs w:val="0"/>
          <w:color w:val="333333"/>
          <w:sz w:val="32"/>
          <w:szCs w:val="32"/>
          <w:lang w:bidi="ar"/>
        </w:rPr>
      </w:pPr>
      <w:r>
        <w:rPr>
          <w:rStyle w:val="12"/>
          <w:rFonts w:hint="eastAsia" w:ascii="方正仿宋_GBK" w:hAnsi="方正仿宋_GBK" w:eastAsia="方正仿宋_GBK" w:cs="方正仿宋_GBK"/>
          <w:spacing w:val="-4"/>
          <w:sz w:val="32"/>
          <w:szCs w:val="32"/>
        </w:rPr>
        <w:t>2</w:t>
      </w: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color w:val="333333"/>
          <w:sz w:val="32"/>
          <w:szCs w:val="32"/>
          <w:lang w:bidi="ar"/>
        </w:rPr>
        <w:t>部门机构设置及人员构成</w:t>
      </w:r>
    </w:p>
    <w:p>
      <w:pPr>
        <w:pStyle w:val="17"/>
        <w:keepNext w:val="0"/>
        <w:keepLines w:val="0"/>
        <w:pageBreakBefore w:val="0"/>
        <w:kinsoku/>
        <w:wordWrap/>
        <w:overflowPunct/>
        <w:topLinePunct w:val="0"/>
        <w:autoSpaceDE/>
        <w:autoSpaceDN/>
        <w:bidi w:val="0"/>
        <w:adjustRightInd/>
        <w:snapToGrid w:val="0"/>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val="en-US" w:eastAsia="zh-CN"/>
        </w:rPr>
        <w:t>麦盖提县农业农村局2024年实有人数共130人，行政人员9名，参照公务员45人，事业人员70人，工勤人员6人</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Cs w:val="0"/>
          <w:spacing w:val="-4"/>
          <w:sz w:val="32"/>
          <w:szCs w:val="32"/>
        </w:rPr>
      </w:pPr>
      <w:r>
        <w:rPr>
          <w:rStyle w:val="12"/>
          <w:rFonts w:hint="eastAsia" w:ascii="方正仿宋_GBK" w:hAnsi="方正仿宋_GBK" w:eastAsia="方正仿宋_GBK" w:cs="方正仿宋_GBK"/>
          <w:bCs w:val="0"/>
          <w:spacing w:val="-4"/>
          <w:sz w:val="32"/>
          <w:szCs w:val="32"/>
          <w:lang w:eastAsia="zh-CN"/>
        </w:rPr>
        <w:t>（</w:t>
      </w:r>
      <w:r>
        <w:rPr>
          <w:rStyle w:val="12"/>
          <w:rFonts w:hint="eastAsia" w:ascii="方正仿宋_GBK" w:hAnsi="方正仿宋_GBK" w:eastAsia="方正仿宋_GBK" w:cs="方正仿宋_GBK"/>
          <w:bCs w:val="0"/>
          <w:spacing w:val="-4"/>
          <w:sz w:val="32"/>
          <w:szCs w:val="32"/>
        </w:rPr>
        <w:t>二</w:t>
      </w:r>
      <w:r>
        <w:rPr>
          <w:rStyle w:val="12"/>
          <w:rFonts w:hint="eastAsia" w:ascii="方正仿宋_GBK" w:hAnsi="方正仿宋_GBK" w:eastAsia="方正仿宋_GBK" w:cs="方正仿宋_GBK"/>
          <w:bCs w:val="0"/>
          <w:spacing w:val="-4"/>
          <w:sz w:val="32"/>
          <w:szCs w:val="32"/>
          <w:lang w:eastAsia="zh-CN"/>
        </w:rPr>
        <w:t>）</w:t>
      </w:r>
      <w:r>
        <w:rPr>
          <w:rStyle w:val="12"/>
          <w:rFonts w:hint="eastAsia" w:ascii="方正仿宋_GBK" w:hAnsi="方正仿宋_GBK" w:eastAsia="方正仿宋_GBK" w:cs="方正仿宋_GBK"/>
          <w:bCs w:val="0"/>
          <w:spacing w:val="-4"/>
          <w:sz w:val="32"/>
          <w:szCs w:val="32"/>
        </w:rPr>
        <w:t>部门单位年度重点工作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spacing w:beforeAutospacing="0" w:afterAutospacing="0" w:line="570" w:lineRule="exact"/>
        <w:ind w:left="0" w:firstLine="616" w:firstLineChars="200"/>
        <w:jc w:val="both"/>
        <w:textAlignment w:val="auto"/>
        <w:rPr>
          <w:rFonts w:hint="eastAsia" w:ascii="方正仿宋_GBK" w:hAnsi="方正仿宋_GBK" w:eastAsia="方正仿宋_GBK" w:cs="方正仿宋_GBK"/>
          <w:b w:val="0"/>
          <w:bCs/>
          <w:spacing w:val="-6"/>
          <w:sz w:val="32"/>
          <w:szCs w:val="32"/>
          <w:lang w:val="en-US" w:eastAsia="zh-CN"/>
        </w:rPr>
      </w:pPr>
      <w:r>
        <w:rPr>
          <w:rFonts w:hint="eastAsia" w:ascii="方正仿宋_GBK" w:hAnsi="方正仿宋_GBK" w:eastAsia="方正仿宋_GBK" w:cs="方正仿宋_GBK"/>
          <w:b w:val="0"/>
          <w:bCs/>
          <w:spacing w:val="-6"/>
          <w:sz w:val="32"/>
          <w:szCs w:val="32"/>
          <w:lang w:val="en-US" w:eastAsia="zh-CN"/>
        </w:rPr>
        <w:t>2024年，在县委、县人民政府的坚强领导下，农业农村局认真学习贯彻落实习近平总书记关于“三农”工作论述摘编、重要指示批示精神，按照中央、自治区党委、地委农村工作会议部署和县委扩大会议、农村工作会议要求，聚焦“两确保、三提升、两强化”重点任务，加快推进农业农村现代化，促进农业增效、农民增收。2024年，全县农林牧渔业总产值预计达到87、1亿元、增速9%。</w:t>
      </w:r>
      <w:r>
        <w:rPr>
          <w:rFonts w:hint="eastAsia" w:ascii="方正仿宋_GBK" w:hAnsi="方正仿宋_GBK" w:eastAsia="方正仿宋_GBK" w:cs="方正仿宋_GBK"/>
          <w:color w:val="auto"/>
          <w:spacing w:val="-6"/>
          <w:kern w:val="2"/>
          <w:sz w:val="32"/>
          <w:szCs w:val="32"/>
          <w:lang w:val="en-US" w:eastAsia="zh-CN" w:bidi="ar-SA"/>
        </w:rPr>
        <w:t>预计</w:t>
      </w:r>
      <w:r>
        <w:rPr>
          <w:rFonts w:hint="eastAsia" w:ascii="方正仿宋_GBK" w:hAnsi="方正仿宋_GBK" w:eastAsia="方正仿宋_GBK" w:cs="方正仿宋_GBK"/>
          <w:b w:val="0"/>
          <w:bCs/>
          <w:spacing w:val="-6"/>
          <w:sz w:val="32"/>
          <w:szCs w:val="32"/>
          <w:lang w:val="en-US" w:eastAsia="zh-CN"/>
        </w:rPr>
        <w:t>农村居民人均可支配收入达到16200元、增速9、5%。</w:t>
      </w:r>
    </w:p>
    <w:p>
      <w:pPr>
        <w:pStyle w:val="10"/>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autoSpaceDE/>
        <w:autoSpaceDN/>
        <w:bidi w:val="0"/>
        <w:adjustRightInd/>
        <w:snapToGrid w:val="0"/>
        <w:spacing w:before="0" w:beforeAutospacing="0" w:after="0" w:afterAutospacing="0" w:line="570" w:lineRule="exact"/>
        <w:ind w:left="0" w:right="0" w:rightChars="0" w:firstLine="616" w:firstLineChars="200"/>
        <w:jc w:val="both"/>
        <w:textAlignment w:val="auto"/>
        <w:rPr>
          <w:rFonts w:hint="eastAsia" w:ascii="方正仿宋_GBK" w:hAnsi="方正仿宋_GBK" w:eastAsia="方正仿宋_GBK" w:cs="方正仿宋_GBK"/>
          <w:color w:val="auto"/>
          <w:spacing w:val="-6"/>
          <w:sz w:val="32"/>
          <w:szCs w:val="32"/>
          <w:lang w:val="en-US" w:eastAsia="zh-CN"/>
        </w:rPr>
      </w:pPr>
      <w:r>
        <w:rPr>
          <w:rFonts w:hint="eastAsia" w:ascii="方正仿宋_GBK" w:hAnsi="方正仿宋_GBK" w:eastAsia="方正仿宋_GBK" w:cs="方正仿宋_GBK"/>
          <w:color w:val="auto"/>
          <w:spacing w:val="-6"/>
          <w:sz w:val="32"/>
          <w:szCs w:val="32"/>
          <w:lang w:val="en-US" w:eastAsia="zh-CN"/>
        </w:rPr>
        <w:t>一、工作开展情况</w:t>
      </w:r>
    </w:p>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snapToGrid/>
        <w:spacing w:before="0" w:beforeAutospacing="0" w:after="0" w:afterAutospacing="0" w:line="570" w:lineRule="exact"/>
        <w:ind w:left="0" w:firstLine="619" w:firstLineChars="200"/>
        <w:jc w:val="both"/>
        <w:textAlignment w:val="auto"/>
        <w:rPr>
          <w:rFonts w:hint="eastAsia" w:ascii="方正仿宋_GBK" w:hAnsi="方正仿宋_GBK" w:eastAsia="方正仿宋_GBK" w:cs="方正仿宋_GBK"/>
          <w:color w:val="000000"/>
          <w:spacing w:val="-6"/>
          <w:sz w:val="32"/>
          <w:szCs w:val="40"/>
          <w:lang w:val="en-US" w:eastAsia="zh-CN"/>
        </w:rPr>
      </w:pPr>
      <w:r>
        <w:rPr>
          <w:rFonts w:hint="eastAsia" w:ascii="方正仿宋_GBK" w:hAnsi="方正仿宋_GBK" w:eastAsia="方正仿宋_GBK" w:cs="方正仿宋_GBK"/>
          <w:b/>
          <w:bCs/>
          <w:color w:val="000000"/>
          <w:spacing w:val="-6"/>
          <w:sz w:val="32"/>
          <w:szCs w:val="40"/>
          <w:lang w:val="en-US" w:eastAsia="zh-CN"/>
        </w:rPr>
        <w:t>（一）加强理论学习，强化使命担当。</w:t>
      </w:r>
      <w:r>
        <w:rPr>
          <w:rFonts w:hint="eastAsia" w:ascii="方正仿宋_GBK" w:hAnsi="方正仿宋_GBK" w:eastAsia="方正仿宋_GBK" w:cs="方正仿宋_GBK"/>
          <w:color w:val="000000"/>
          <w:spacing w:val="-6"/>
          <w:sz w:val="32"/>
          <w:szCs w:val="40"/>
          <w:lang w:val="en-US" w:eastAsia="zh-CN"/>
        </w:rPr>
        <w:t>坚持把学习习近平总书记关于“三农”工作的重要论述和学习运用“千村示范、万村整治”工程</w:t>
      </w:r>
      <w:r>
        <w:rPr>
          <w:rFonts w:hint="eastAsia" w:ascii="方正仿宋_GBK" w:hAnsi="方正仿宋_GBK" w:eastAsia="方正仿宋_GBK" w:cs="方正仿宋_GBK"/>
          <w:color w:val="000000"/>
          <w:spacing w:val="-6"/>
          <w:sz w:val="32"/>
          <w:szCs w:val="40"/>
        </w:rPr>
        <w:t>蕴含的发展理念、工作方法和推进机制</w:t>
      </w:r>
      <w:r>
        <w:rPr>
          <w:rFonts w:hint="eastAsia" w:ascii="方正仿宋_GBK" w:hAnsi="方正仿宋_GBK" w:eastAsia="方正仿宋_GBK" w:cs="方正仿宋_GBK"/>
          <w:color w:val="000000"/>
          <w:spacing w:val="-6"/>
          <w:sz w:val="32"/>
          <w:szCs w:val="40"/>
          <w:lang w:val="en-US" w:eastAsia="zh-CN"/>
        </w:rPr>
        <w:t>作为学习重点，</w:t>
      </w:r>
      <w:r>
        <w:rPr>
          <w:rFonts w:hint="eastAsia" w:ascii="方正仿宋_GBK" w:hAnsi="方正仿宋_GBK" w:eastAsia="方正仿宋_GBK" w:cs="方正仿宋_GBK"/>
          <w:b w:val="0"/>
          <w:bCs w:val="0"/>
          <w:spacing w:val="-6"/>
          <w:kern w:val="2"/>
          <w:sz w:val="32"/>
          <w:szCs w:val="32"/>
          <w:lang w:val="en-US" w:eastAsia="zh-CN" w:bidi="ar-SA"/>
        </w:rPr>
        <w:t>严格落实“第一议题”、中心组、政治理论集体学习等制度，抓实党员教育、办好学习读书班、狠抓国通语达标，通过“学习、考试、实践”检验学习成效，提升了干部能力，筑牢思想根基。坚持把领导干部上讲台作为干部教育培训的重要抓手，党政主要领导带头讲，班子成员、科级干部上台讲，围绕粮食、棉花、林果、畜牧等种养技术，邀请地区农业农村局领导、自治区农科院专家开展各类培训，提升了干部业务能力，解决了干部本领恐慌的问题。累计组织</w:t>
      </w:r>
      <w:r>
        <w:rPr>
          <w:rFonts w:hint="eastAsia" w:ascii="方正仿宋_GBK" w:hAnsi="方正仿宋_GBK" w:eastAsia="方正仿宋_GBK" w:cs="方正仿宋_GBK"/>
          <w:b w:val="0"/>
          <w:bCs w:val="0"/>
          <w:i w:val="0"/>
          <w:iCs w:val="0"/>
          <w:caps w:val="0"/>
          <w:color w:val="auto"/>
          <w:spacing w:val="-6"/>
          <w:sz w:val="32"/>
          <w:szCs w:val="32"/>
          <w:highlight w:val="none"/>
          <w:shd w:val="clear" w:color="auto" w:fill="FFFFFF"/>
          <w:lang w:val="en-US" w:eastAsia="zh-CN"/>
        </w:rPr>
        <w:t>开展理论学习中心组学习13场次，举办干部业务能力提升培训39场次，干部</w:t>
      </w:r>
      <w:r>
        <w:rPr>
          <w:rFonts w:hint="eastAsia" w:ascii="方正仿宋_GBK" w:hAnsi="方正仿宋_GBK" w:eastAsia="方正仿宋_GBK" w:cs="方正仿宋_GBK"/>
          <w:color w:val="000000"/>
          <w:spacing w:val="-6"/>
          <w:sz w:val="32"/>
          <w:szCs w:val="40"/>
          <w:lang w:val="en-US" w:eastAsia="zh-CN"/>
        </w:rPr>
        <w:t xml:space="preserve">外出参加学习48人次，邀请相关专家开展乡村振兴领域专题讲座9场次。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snapToGrid/>
        <w:spacing w:beforeAutospacing="0" w:afterAutospacing="0" w:line="570" w:lineRule="exact"/>
        <w:ind w:left="0" w:leftChars="0" w:right="0" w:firstLine="619" w:firstLineChars="200"/>
        <w:jc w:val="both"/>
        <w:textAlignment w:val="auto"/>
        <w:rPr>
          <w:rFonts w:hint="eastAsia" w:ascii="方正仿宋_GBK" w:hAnsi="方正仿宋_GBK" w:eastAsia="方正仿宋_GBK" w:cs="方正仿宋_GBK"/>
          <w:color w:val="000000"/>
          <w:spacing w:val="-6"/>
          <w:kern w:val="2"/>
          <w:sz w:val="32"/>
          <w:szCs w:val="40"/>
          <w:lang w:val="en-US" w:eastAsia="zh-CN" w:bidi="ar-SA"/>
        </w:rPr>
      </w:pPr>
      <w:r>
        <w:rPr>
          <w:rFonts w:hint="eastAsia" w:ascii="方正仿宋_GBK" w:hAnsi="方正仿宋_GBK" w:eastAsia="方正仿宋_GBK" w:cs="方正仿宋_GBK"/>
          <w:b/>
          <w:bCs/>
          <w:color w:val="000000"/>
          <w:spacing w:val="-6"/>
          <w:kern w:val="2"/>
          <w:sz w:val="32"/>
          <w:szCs w:val="40"/>
          <w:lang w:val="en-US" w:eastAsia="zh-CN" w:bidi="ar-SA"/>
        </w:rPr>
        <w:t>（二）坚持党建引领，凝聚工作合力。</w:t>
      </w:r>
      <w:r>
        <w:rPr>
          <w:rFonts w:hint="eastAsia" w:ascii="方正仿宋_GBK" w:hAnsi="方正仿宋_GBK" w:eastAsia="方正仿宋_GBK" w:cs="方正仿宋_GBK"/>
          <w:color w:val="000000"/>
          <w:spacing w:val="-6"/>
          <w:kern w:val="2"/>
          <w:sz w:val="32"/>
          <w:szCs w:val="40"/>
          <w:lang w:val="en-US" w:eastAsia="zh-CN" w:bidi="ar-SA"/>
        </w:rPr>
        <w:t>学习运用整合撤并“小弱散”改革举措，强化优势互补，结合机构改革，对力量分散的小单位进行归口整合，形成“一队两办三股四中心”运行机制，明确班子成员、股室、中心领导职责，注重从思想上、作风上、业务能力上全面带培干部，营造了相互学习、支持、包容的工作环境。加强11个党支部管理，培养入党积极分子7名、发展预备党员5名，获评“5个好”党支部3个，“4个好”党支部6个。坚持严管就是厚爱，做到权责对等，建立健全请销假、重大事项请示报告、党组议事规则等制度，开展“三学三亮三比”活动，形成了比学赶帮超的工作氛围。</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snapToGrid/>
        <w:spacing w:beforeAutospacing="0" w:afterAutospacing="0" w:line="570" w:lineRule="exact"/>
        <w:ind w:left="0" w:leftChars="0" w:right="0" w:firstLine="619" w:firstLineChars="200"/>
        <w:jc w:val="both"/>
        <w:textAlignment w:val="auto"/>
        <w:rPr>
          <w:rFonts w:hint="eastAsia" w:ascii="方正仿宋_GBK" w:hAnsi="方正仿宋_GBK" w:eastAsia="方正仿宋_GBK" w:cs="方正仿宋_GBK"/>
          <w:color w:val="0000FF"/>
          <w:spacing w:val="-6"/>
          <w:kern w:val="2"/>
          <w:sz w:val="32"/>
          <w:szCs w:val="40"/>
          <w:lang w:val="en-US" w:eastAsia="zh-CN" w:bidi="ar-SA"/>
        </w:rPr>
      </w:pPr>
      <w:r>
        <w:rPr>
          <w:rFonts w:hint="eastAsia" w:ascii="方正仿宋_GBK" w:hAnsi="方正仿宋_GBK" w:eastAsia="方正仿宋_GBK" w:cs="方正仿宋_GBK"/>
          <w:b/>
          <w:bCs/>
          <w:color w:val="000000"/>
          <w:spacing w:val="-6"/>
          <w:kern w:val="2"/>
          <w:sz w:val="32"/>
          <w:szCs w:val="40"/>
          <w:lang w:val="en-US" w:eastAsia="zh-CN" w:bidi="ar-SA"/>
        </w:rPr>
        <w:t>（三）强化警示教育，守住底线红线。</w:t>
      </w:r>
      <w:r>
        <w:rPr>
          <w:rFonts w:hint="eastAsia" w:ascii="方正仿宋_GBK" w:hAnsi="方正仿宋_GBK" w:eastAsia="方正仿宋_GBK" w:cs="方正仿宋_GBK"/>
          <w:color w:val="000000"/>
          <w:spacing w:val="-6"/>
          <w:kern w:val="2"/>
          <w:sz w:val="32"/>
          <w:szCs w:val="40"/>
          <w:lang w:val="en-US" w:eastAsia="zh-CN" w:bidi="ar-SA"/>
        </w:rPr>
        <w:t>坚持用身边的人、身边的事教育身边的人，开展廉政教育6场次，利用各类学习时机组织观看警示教育片31部。常态化开展谈心谈话，组织廉洁家风家教座谈会9场次，签订家庭助廉承诺书104份，教育党员干部守住廉洁底线、树立良好家风。围绕农村集体“三资”管理，“以地谋私”，农机领域，高标准农田等整治重点，坚持人民至上理念，采取超常规举措，</w:t>
      </w:r>
      <w:r>
        <w:rPr>
          <w:rFonts w:hint="eastAsia" w:ascii="方正仿宋_GBK" w:hAnsi="方正仿宋_GBK" w:eastAsia="方正仿宋_GBK" w:cs="方正仿宋_GBK"/>
          <w:color w:val="auto"/>
          <w:spacing w:val="-6"/>
          <w:kern w:val="2"/>
          <w:sz w:val="32"/>
          <w:szCs w:val="40"/>
          <w:lang w:val="en-US" w:eastAsia="zh-CN" w:bidi="ar-SA"/>
        </w:rPr>
        <w:t>摸排梳理群众身边不正之风和腐败问题45条、移交线索17条，维护了公平正义，增强了群众的获得感、幸福感和安全感。</w:t>
      </w:r>
      <w:r>
        <w:rPr>
          <w:rFonts w:hint="eastAsia" w:ascii="方正仿宋_GBK" w:hAnsi="方正仿宋_GBK" w:eastAsia="方正仿宋_GBK" w:cs="方正仿宋_GBK"/>
          <w:color w:val="auto"/>
          <w:spacing w:val="-6"/>
          <w:sz w:val="32"/>
          <w:szCs w:val="32"/>
          <w:highlight w:val="none"/>
          <w:lang w:val="en-US" w:eastAsia="zh-CN"/>
        </w:rPr>
        <w:t>严格落实中央八项规定及其实施细则精神，教育引导党员干部大兴务实之风、弘扬清廉之风、养成俭朴之风</w:t>
      </w:r>
      <w:r>
        <w:rPr>
          <w:rFonts w:hint="eastAsia" w:ascii="方正仿宋_GBK" w:hAnsi="方正仿宋_GBK" w:eastAsia="方正仿宋_GBK" w:cs="方正仿宋_GBK"/>
          <w:color w:val="auto"/>
          <w:spacing w:val="-6"/>
          <w:kern w:val="2"/>
          <w:sz w:val="32"/>
          <w:szCs w:val="40"/>
          <w:lang w:val="en-US" w:eastAsia="zh-CN" w:bidi="ar-SA"/>
        </w:rPr>
        <w:t>，整治“慵懒散慢”等突出问题。运用“第一种形态”处置6</w:t>
      </w:r>
      <w:r>
        <w:rPr>
          <w:rFonts w:hint="eastAsia" w:ascii="方正仿宋_GBK" w:hAnsi="方正仿宋_GBK" w:eastAsia="方正仿宋_GBK" w:cs="方正仿宋_GBK"/>
          <w:color w:val="auto"/>
          <w:spacing w:val="-6"/>
          <w:kern w:val="2"/>
          <w:sz w:val="32"/>
          <w:szCs w:val="40"/>
          <w:lang w:val="en-US" w:eastAsia="zh" w:bidi="ar-SA"/>
        </w:rPr>
        <w:t>人</w:t>
      </w:r>
      <w:r>
        <w:rPr>
          <w:rFonts w:hint="eastAsia" w:ascii="方正仿宋_GBK" w:hAnsi="方正仿宋_GBK" w:eastAsia="方正仿宋_GBK" w:cs="方正仿宋_GBK"/>
          <w:color w:val="auto"/>
          <w:spacing w:val="-6"/>
          <w:kern w:val="2"/>
          <w:sz w:val="32"/>
          <w:szCs w:val="40"/>
          <w:lang w:val="en-US" w:eastAsia="zh-CN" w:bidi="ar-SA"/>
        </w:rPr>
        <w:t>，党纪处分2人，政务处分3人，形成了公平公正，风清气正的工作氛围，创建了事事规范、有序、高效的工作机制，激发了人人想事、干事、成事的工作活力。</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snapToGrid/>
        <w:spacing w:beforeAutospacing="0" w:afterAutospacing="0" w:line="570" w:lineRule="exact"/>
        <w:ind w:left="0" w:firstLine="619" w:firstLineChars="200"/>
        <w:jc w:val="both"/>
        <w:textAlignment w:val="auto"/>
        <w:rPr>
          <w:rFonts w:hint="eastAsia" w:ascii="方正仿宋_GBK" w:hAnsi="方正仿宋_GBK" w:eastAsia="方正仿宋_GBK" w:cs="方正仿宋_GBK"/>
          <w:color w:val="000000"/>
          <w:spacing w:val="-6"/>
          <w:sz w:val="32"/>
          <w:szCs w:val="40"/>
          <w:lang w:val="en-US" w:eastAsia="zh-CN"/>
        </w:rPr>
      </w:pPr>
      <w:r>
        <w:rPr>
          <w:rFonts w:hint="eastAsia" w:ascii="方正仿宋_GBK" w:hAnsi="方正仿宋_GBK" w:eastAsia="方正仿宋_GBK" w:cs="方正仿宋_GBK"/>
          <w:b/>
          <w:bCs/>
          <w:color w:val="000000"/>
          <w:spacing w:val="-6"/>
          <w:kern w:val="2"/>
          <w:sz w:val="32"/>
          <w:szCs w:val="40"/>
          <w:lang w:val="en-US" w:eastAsia="zh-CN" w:bidi="ar-SA"/>
        </w:rPr>
        <w:t>（四）加强服务指导，高效推动落实。</w:t>
      </w:r>
      <w:r>
        <w:rPr>
          <w:rFonts w:hint="eastAsia" w:ascii="方正仿宋_GBK" w:hAnsi="方正仿宋_GBK" w:eastAsia="方正仿宋_GBK" w:cs="方正仿宋_GBK"/>
          <w:color w:val="000000"/>
          <w:spacing w:val="-6"/>
          <w:sz w:val="32"/>
          <w:szCs w:val="40"/>
          <w:lang w:val="en-US" w:eastAsia="zh-CN"/>
        </w:rPr>
        <w:t>牵头制定</w:t>
      </w:r>
      <w:r>
        <w:rPr>
          <w:rFonts w:hint="eastAsia" w:ascii="方正仿宋_GBK" w:hAnsi="方正仿宋_GBK" w:eastAsia="方正仿宋_GBK" w:cs="方正仿宋_GBK"/>
          <w:b w:val="0"/>
          <w:bCs w:val="0"/>
          <w:color w:val="000000"/>
          <w:spacing w:val="-6"/>
          <w:sz w:val="32"/>
          <w:szCs w:val="32"/>
          <w:u w:val="none" w:color="auto"/>
          <w:lang w:val="en-US" w:eastAsia="zh-CN"/>
        </w:rPr>
        <w:t>《麦盖提县2024年促进农民增收工作方案》《</w:t>
      </w:r>
      <w:r>
        <w:rPr>
          <w:rStyle w:val="21"/>
          <w:rFonts w:hint="eastAsia" w:ascii="方正仿宋_GBK" w:hAnsi="方正仿宋_GBK" w:eastAsia="方正仿宋_GBK" w:cs="方正仿宋_GBK"/>
          <w:b w:val="0"/>
          <w:bCs w:val="0"/>
          <w:color w:val="000000"/>
          <w:spacing w:val="-6"/>
          <w:kern w:val="0"/>
          <w:sz w:val="32"/>
          <w:szCs w:val="32"/>
          <w:highlight w:val="none"/>
          <w:lang w:val="en-US" w:eastAsia="zh-CN" w:bidi="ar"/>
        </w:rPr>
        <w:t>麦盖提县困难群众帮扶工作指导方案》《</w:t>
      </w:r>
      <w:r>
        <w:rPr>
          <w:rFonts w:hint="eastAsia" w:ascii="方正仿宋_GBK" w:hAnsi="方正仿宋_GBK" w:eastAsia="方正仿宋_GBK" w:cs="方正仿宋_GBK"/>
          <w:color w:val="000000"/>
          <w:spacing w:val="-6"/>
          <w:sz w:val="32"/>
          <w:szCs w:val="40"/>
          <w:lang w:val="en-US" w:eastAsia="zh-CN"/>
        </w:rPr>
        <w:t>麦盖提县学习运用“千村示范、万村整治”工程经验有力有效推进乡村全面振兴的实施方案》和《重点任务分工方案》，组织成立3个服务指导组，召开全县现场推进会、培训会13场次，调度协调会议18场次，确保了农业农村工作方向不偏、措施不减、力度不降，保障各项重点工作有序、稳步推进。</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snapToGrid/>
        <w:spacing w:beforeAutospacing="0" w:afterAutospacing="0" w:line="570" w:lineRule="exact"/>
        <w:ind w:left="0" w:firstLine="619" w:firstLineChars="200"/>
        <w:jc w:val="both"/>
        <w:textAlignment w:val="auto"/>
        <w:rPr>
          <w:rFonts w:hint="eastAsia" w:ascii="方正仿宋_GBK" w:hAnsi="方正仿宋_GBK" w:eastAsia="方正仿宋_GBK" w:cs="方正仿宋_GBK"/>
          <w:b/>
          <w:bCs/>
          <w:color w:val="000000"/>
          <w:spacing w:val="-6"/>
          <w:sz w:val="32"/>
          <w:szCs w:val="40"/>
          <w:lang w:val="en-US" w:eastAsia="zh-CN"/>
        </w:rPr>
      </w:pPr>
      <w:r>
        <w:rPr>
          <w:rFonts w:hint="eastAsia" w:ascii="方正仿宋_GBK" w:hAnsi="方正仿宋_GBK" w:eastAsia="方正仿宋_GBK" w:cs="方正仿宋_GBK"/>
          <w:b/>
          <w:bCs/>
          <w:color w:val="000000"/>
          <w:spacing w:val="-6"/>
          <w:sz w:val="32"/>
          <w:szCs w:val="40"/>
          <w:lang w:val="en-US" w:eastAsia="zh-CN"/>
        </w:rPr>
        <w:t>（五）守牢“两条底线”，发展基础不断夯实</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color w:val="000000"/>
          <w:spacing w:val="-6"/>
          <w:sz w:val="32"/>
          <w:szCs w:val="32"/>
          <w:shd w:val="clear" w:color="auto" w:fill="FFFFFF"/>
          <w:lang w:val="en-US" w:eastAsia="zh-CN"/>
        </w:rPr>
      </w:pPr>
      <w:r>
        <w:rPr>
          <w:rFonts w:hint="eastAsia" w:ascii="方正仿宋_GBK" w:hAnsi="方正仿宋_GBK" w:eastAsia="方正仿宋_GBK" w:cs="方正仿宋_GBK"/>
          <w:b w:val="0"/>
          <w:bCs w:val="0"/>
          <w:color w:val="000000"/>
          <w:spacing w:val="-6"/>
          <w:sz w:val="32"/>
          <w:szCs w:val="32"/>
          <w:highlight w:val="none"/>
          <w:lang w:val="en-US" w:eastAsia="zh-CN"/>
        </w:rPr>
        <w:t>1、粮棉实现稳产丰收。</w:t>
      </w:r>
      <w:r>
        <w:rPr>
          <w:rFonts w:hint="eastAsia" w:ascii="方正仿宋_GBK" w:hAnsi="方正仿宋_GBK" w:eastAsia="方正仿宋_GBK" w:cs="方正仿宋_GBK"/>
          <w:b w:val="0"/>
          <w:bCs w:val="0"/>
          <w:color w:val="000000"/>
          <w:spacing w:val="-6"/>
          <w:sz w:val="32"/>
          <w:szCs w:val="32"/>
          <w:highlight w:val="none"/>
          <w:lang w:val="en" w:eastAsia="zh-CN"/>
        </w:rPr>
        <w:t>坚持粮食安全党政同责，</w:t>
      </w:r>
      <w:r>
        <w:rPr>
          <w:rFonts w:hint="eastAsia" w:ascii="方正仿宋_GBK" w:hAnsi="方正仿宋_GBK" w:eastAsia="方正仿宋_GBK" w:cs="方正仿宋_GBK"/>
          <w:b w:val="0"/>
          <w:bCs w:val="0"/>
          <w:color w:val="000000"/>
          <w:spacing w:val="-6"/>
          <w:sz w:val="32"/>
          <w:szCs w:val="32"/>
          <w:highlight w:val="none"/>
          <w:lang w:val="en-US" w:eastAsia="zh-CN"/>
        </w:rPr>
        <w:t>普及良田良种良机良法，推进“百千万”创建，种植粮</w:t>
      </w:r>
      <w:r>
        <w:rPr>
          <w:rFonts w:hint="eastAsia" w:ascii="方正仿宋_GBK" w:hAnsi="方正仿宋_GBK" w:eastAsia="方正仿宋_GBK" w:cs="方正仿宋_GBK"/>
          <w:color w:val="000000"/>
          <w:spacing w:val="-6"/>
          <w:sz w:val="32"/>
          <w:szCs w:val="40"/>
          <w:lang w:val="en-US" w:eastAsia="zh-CN"/>
        </w:rPr>
        <w:t>食56、6万亩</w:t>
      </w:r>
      <w:r>
        <w:rPr>
          <w:rFonts w:hint="eastAsia" w:ascii="方正仿宋_GBK" w:hAnsi="方正仿宋_GBK" w:eastAsia="方正仿宋_GBK" w:cs="方正仿宋_GBK"/>
          <w:b w:val="0"/>
          <w:bCs w:val="0"/>
          <w:color w:val="000000"/>
          <w:spacing w:val="-6"/>
          <w:sz w:val="32"/>
          <w:szCs w:val="32"/>
          <w:highlight w:val="none"/>
          <w:lang w:val="en-US" w:eastAsia="zh-CN"/>
        </w:rPr>
        <w:t>（其中：冬小麦24、46万亩、正复播玉米31万亩〈正播10、5万亩、复播20、5万亩&gt;薯类0、37万亩、小米0、49万亩、高粱0、28万亩）、</w:t>
      </w:r>
      <w:r>
        <w:rPr>
          <w:rFonts w:hint="eastAsia" w:ascii="方正仿宋_GBK" w:hAnsi="方正仿宋_GBK" w:eastAsia="方正仿宋_GBK" w:cs="方正仿宋_GBK"/>
          <w:color w:val="000000"/>
          <w:spacing w:val="-6"/>
          <w:sz w:val="32"/>
          <w:szCs w:val="40"/>
          <w:lang w:val="en-US" w:eastAsia="zh-CN"/>
        </w:rPr>
        <w:t>总产29、74万吨。</w:t>
      </w:r>
      <w:r>
        <w:rPr>
          <w:rFonts w:hint="eastAsia" w:ascii="方正仿宋_GBK" w:hAnsi="方正仿宋_GBK" w:eastAsia="方正仿宋_GBK" w:cs="方正仿宋_GBK"/>
          <w:b w:val="0"/>
          <w:bCs w:val="0"/>
          <w:color w:val="000000"/>
          <w:spacing w:val="-6"/>
          <w:sz w:val="32"/>
          <w:szCs w:val="32"/>
          <w:highlight w:val="none"/>
          <w:lang w:val="en-US" w:eastAsia="zh-CN"/>
        </w:rPr>
        <w:t>冬小麦单产达到432、04公斤/亩、总产10、56万吨。正播玉米单产达到585、07公斤、复播玉米单产达到588、65公斤，总产18、21万吨。提升棉花种植效益，引导农户退出次宜棉区，种植棉花</w:t>
      </w:r>
      <w:r>
        <w:rPr>
          <w:rFonts w:hint="eastAsia" w:ascii="方正仿宋_GBK" w:hAnsi="方正仿宋_GBK" w:eastAsia="方正仿宋_GBK" w:cs="方正仿宋_GBK"/>
          <w:color w:val="000000"/>
          <w:spacing w:val="-6"/>
          <w:sz w:val="32"/>
          <w:szCs w:val="40"/>
          <w:lang w:val="en-US" w:eastAsia="zh-CN"/>
        </w:rPr>
        <w:t>78、93</w:t>
      </w:r>
      <w:r>
        <w:rPr>
          <w:rFonts w:hint="eastAsia" w:ascii="方正仿宋_GBK" w:hAnsi="方正仿宋_GBK" w:eastAsia="方正仿宋_GBK" w:cs="方正仿宋_GBK"/>
          <w:b w:val="0"/>
          <w:bCs w:val="0"/>
          <w:color w:val="000000"/>
          <w:spacing w:val="-6"/>
          <w:sz w:val="32"/>
          <w:szCs w:val="32"/>
          <w:highlight w:val="none"/>
          <w:lang w:val="en-US" w:eastAsia="zh-CN"/>
        </w:rPr>
        <w:t>万亩，推广机采棉71、03万亩。</w:t>
      </w:r>
      <w:r>
        <w:rPr>
          <w:rFonts w:hint="eastAsia" w:ascii="方正仿宋_GBK" w:hAnsi="方正仿宋_GBK" w:eastAsia="方正仿宋_GBK" w:cs="方正仿宋_GBK"/>
          <w:color w:val="000000"/>
          <w:spacing w:val="-6"/>
          <w:sz w:val="32"/>
          <w:szCs w:val="32"/>
          <w:shd w:val="clear" w:color="auto" w:fill="FFFFFF"/>
          <w:lang w:val="en-US" w:eastAsia="zh-CN"/>
        </w:rPr>
        <w:t>棉花籽棉、皮棉分别达到380公斤、152公斤，总产达到29、99万吨、11、99万吨。</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b w:val="0"/>
          <w:bCs w:val="0"/>
          <w:color w:val="000000"/>
          <w:spacing w:val="-6"/>
          <w:kern w:val="0"/>
          <w:sz w:val="32"/>
          <w:szCs w:val="32"/>
          <w:highlight w:val="none"/>
          <w:u w:val="none" w:color="auto"/>
          <w:lang w:val="en-US" w:eastAsia="zh-CN"/>
        </w:rPr>
      </w:pPr>
      <w:r>
        <w:rPr>
          <w:rFonts w:hint="eastAsia" w:ascii="方正仿宋_GBK" w:hAnsi="方正仿宋_GBK" w:eastAsia="方正仿宋_GBK" w:cs="方正仿宋_GBK"/>
          <w:b w:val="0"/>
          <w:bCs w:val="0"/>
          <w:color w:val="000000"/>
          <w:spacing w:val="-6"/>
          <w:sz w:val="32"/>
          <w:szCs w:val="32"/>
          <w:highlight w:val="none"/>
          <w:rtl w:val="0"/>
          <w:lang w:val="en-US" w:eastAsia="zh-CN"/>
        </w:rPr>
        <w:t>2、“菜篮子”安全有效保障</w:t>
      </w:r>
      <w:r>
        <w:rPr>
          <w:rFonts w:hint="eastAsia" w:ascii="方正仿宋_GBK" w:hAnsi="方正仿宋_GBK" w:eastAsia="方正仿宋_GBK" w:cs="方正仿宋_GBK"/>
          <w:b w:val="0"/>
          <w:bCs w:val="0"/>
          <w:color w:val="000000"/>
          <w:spacing w:val="-6"/>
          <w:sz w:val="32"/>
          <w:szCs w:val="32"/>
          <w:highlight w:val="none"/>
          <w:lang w:val="en-US" w:eastAsia="zh-CN"/>
        </w:rPr>
        <w:t>。坚</w:t>
      </w:r>
      <w:r>
        <w:rPr>
          <w:rFonts w:hint="eastAsia" w:ascii="方正仿宋_GBK" w:hAnsi="方正仿宋_GBK" w:eastAsia="方正仿宋_GBK" w:cs="方正仿宋_GBK"/>
          <w:b w:val="0"/>
          <w:bCs w:val="0"/>
          <w:color w:val="000000"/>
          <w:spacing w:val="-6"/>
          <w:kern w:val="0"/>
          <w:sz w:val="32"/>
          <w:szCs w:val="32"/>
          <w:highlight w:val="none"/>
          <w:u w:val="none" w:color="auto"/>
          <w:lang w:val="en-US" w:eastAsia="zh-CN"/>
        </w:rPr>
        <w:t>持“春提早、夏排开、秋延迟、冬生产”压茬种植，1970座温室、7865座大田拱棚、22972座庭院拱棚应种尽种。依托设施农业基地，种植拱棚芦笋3096座。全年种植蔬菜面积6、83万亩，其中设施农业1、62万亩、露地蔬菜5、21万亩，预计产量22、02万吨。</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b w:val="0"/>
          <w:bCs w:val="0"/>
          <w:color w:val="000000"/>
          <w:spacing w:val="-6"/>
          <w:kern w:val="0"/>
          <w:sz w:val="32"/>
          <w:szCs w:val="32"/>
          <w:highlight w:val="none"/>
          <w:u w:val="none" w:color="auto"/>
          <w:lang w:val="en-US" w:eastAsia="zh-CN"/>
        </w:rPr>
      </w:pPr>
      <w:r>
        <w:rPr>
          <w:rFonts w:hint="eastAsia" w:ascii="方正仿宋_GBK" w:hAnsi="方正仿宋_GBK" w:eastAsia="方正仿宋_GBK" w:cs="方正仿宋_GBK"/>
          <w:b w:val="0"/>
          <w:bCs w:val="0"/>
          <w:color w:val="000000"/>
          <w:spacing w:val="-6"/>
          <w:sz w:val="32"/>
          <w:szCs w:val="32"/>
          <w:highlight w:val="none"/>
          <w:rtl w:val="0"/>
          <w:lang w:val="en-US" w:eastAsia="zh-CN"/>
        </w:rPr>
        <w:t>3、特色种植规模不断扩大。</w:t>
      </w:r>
      <w:r>
        <w:rPr>
          <w:rFonts w:hint="eastAsia" w:ascii="方正仿宋_GBK" w:hAnsi="方正仿宋_GBK" w:eastAsia="方正仿宋_GBK" w:cs="方正仿宋_GBK"/>
          <w:b w:val="0"/>
          <w:bCs w:val="0"/>
          <w:color w:val="000000"/>
          <w:spacing w:val="-6"/>
          <w:kern w:val="0"/>
          <w:sz w:val="32"/>
          <w:szCs w:val="32"/>
          <w:highlight w:val="none"/>
          <w:u w:val="none" w:color="auto"/>
          <w:lang w:val="en-US" w:eastAsia="zh-CN"/>
        </w:rPr>
        <w:t>紧贴市场需求，坚持规模化、产业化发展方向，积极发展“订单”和“基地”农业，特色作物面积达到28、1万亩，其中：种植小茴香16、47万亩、西甜瓜0、85万亩、中草药10、49万亩、食葵0、29万亩。</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b w:val="0"/>
          <w:bCs w:val="0"/>
          <w:color w:val="auto"/>
          <w:spacing w:val="-6"/>
          <w:kern w:val="0"/>
          <w:sz w:val="32"/>
          <w:szCs w:val="32"/>
          <w:highlight w:val="none"/>
          <w:u w:val="none" w:color="auto"/>
          <w:lang w:val="en-US" w:eastAsia="zh-CN"/>
        </w:rPr>
      </w:pPr>
      <w:r>
        <w:rPr>
          <w:rFonts w:hint="eastAsia" w:ascii="方正仿宋_GBK" w:hAnsi="方正仿宋_GBK" w:eastAsia="方正仿宋_GBK" w:cs="方正仿宋_GBK"/>
          <w:b w:val="0"/>
          <w:bCs w:val="0"/>
          <w:color w:val="auto"/>
          <w:spacing w:val="-6"/>
          <w:sz w:val="32"/>
          <w:szCs w:val="32"/>
          <w:highlight w:val="none"/>
          <w:rtl w:val="0"/>
          <w:lang w:val="en-US" w:eastAsia="zh-CN"/>
        </w:rPr>
        <w:t>4、畜牧业持续健康发展。</w:t>
      </w:r>
      <w:r>
        <w:rPr>
          <w:rFonts w:hint="eastAsia" w:ascii="方正仿宋_GBK" w:hAnsi="方正仿宋_GBK" w:eastAsia="方正仿宋_GBK" w:cs="方正仿宋_GBK"/>
          <w:b w:val="0"/>
          <w:bCs w:val="0"/>
          <w:color w:val="auto"/>
          <w:spacing w:val="-6"/>
          <w:sz w:val="32"/>
          <w:szCs w:val="32"/>
        </w:rPr>
        <w:t>按照“肉牛、肉羊为主，家禽为辅”的</w:t>
      </w:r>
      <w:r>
        <w:rPr>
          <w:rFonts w:hint="eastAsia" w:ascii="方正仿宋_GBK" w:hAnsi="方正仿宋_GBK" w:eastAsia="方正仿宋_GBK" w:cs="方正仿宋_GBK"/>
          <w:b w:val="0"/>
          <w:bCs w:val="0"/>
          <w:color w:val="auto"/>
          <w:spacing w:val="-6"/>
          <w:sz w:val="32"/>
          <w:szCs w:val="32"/>
          <w:lang w:eastAsia="zh-CN"/>
        </w:rPr>
        <w:t>畜牧业</w:t>
      </w:r>
      <w:r>
        <w:rPr>
          <w:rFonts w:hint="eastAsia" w:ascii="方正仿宋_GBK" w:hAnsi="方正仿宋_GBK" w:eastAsia="方正仿宋_GBK" w:cs="方正仿宋_GBK"/>
          <w:b w:val="0"/>
          <w:bCs w:val="0"/>
          <w:color w:val="auto"/>
          <w:spacing w:val="-6"/>
          <w:sz w:val="32"/>
          <w:szCs w:val="32"/>
        </w:rPr>
        <w:t>发展思路，</w:t>
      </w:r>
      <w:r>
        <w:rPr>
          <w:rFonts w:hint="eastAsia" w:ascii="方正仿宋_GBK" w:hAnsi="方正仿宋_GBK" w:eastAsia="方正仿宋_GBK" w:cs="方正仿宋_GBK"/>
          <w:b w:val="0"/>
          <w:bCs w:val="0"/>
          <w:color w:val="auto"/>
          <w:spacing w:val="-6"/>
          <w:kern w:val="0"/>
          <w:sz w:val="32"/>
          <w:szCs w:val="32"/>
          <w:highlight w:val="none"/>
          <w:u w:val="none" w:color="auto"/>
          <w:lang w:val="en-US" w:eastAsia="zh-CN"/>
        </w:rPr>
        <w:t>加强9座肉牛繁育场、2座肉羊良种繁育中心、1座种禽养殖小区管理，</w:t>
      </w:r>
      <w:r>
        <w:rPr>
          <w:rFonts w:hint="eastAsia" w:ascii="方正仿宋_GBK" w:hAnsi="方正仿宋_GBK" w:eastAsia="方正仿宋_GBK" w:cs="方正仿宋_GBK"/>
          <w:b w:val="0"/>
          <w:bCs w:val="0"/>
          <w:color w:val="auto"/>
          <w:spacing w:val="-6"/>
          <w:sz w:val="32"/>
          <w:szCs w:val="32"/>
          <w:highlight w:val="none"/>
          <w:u w:val="none"/>
          <w:lang w:val="en-US" w:eastAsia="zh-CN"/>
        </w:rPr>
        <w:t>用好产业到户项目政策，推广肉牛“放母收犊”1789只，庭院家禽养殖38、8万只，发放奖补资金2024、143万元（引进良种母牛3435头、母羊4375只、自繁新增母牛946头、母羊2562只，发展家禽11、11万只），</w:t>
      </w:r>
      <w:r>
        <w:rPr>
          <w:rFonts w:hint="eastAsia" w:ascii="方正仿宋_GBK" w:hAnsi="方正仿宋_GBK" w:eastAsia="方正仿宋_GBK" w:cs="方正仿宋_GBK"/>
          <w:b w:val="0"/>
          <w:bCs w:val="0"/>
          <w:color w:val="auto"/>
          <w:spacing w:val="-6"/>
          <w:kern w:val="0"/>
          <w:sz w:val="32"/>
          <w:szCs w:val="32"/>
          <w:highlight w:val="none"/>
          <w:u w:val="none" w:color="auto"/>
          <w:lang w:val="en-US" w:eastAsia="zh-CN"/>
        </w:rPr>
        <w:t xml:space="preserve">带动千家万户发展养殖。目前，全县牲畜存栏达到45、03万头只，其中肉牛存栏7、57万头、肉羊存栏36、2万只、生猪存栏0、95万头、其他畜存栏0、31万头。家禽存栏133、44万只羽；牲畜出栏32、7万头只，家禽出栏33、25万只羽。肉奶蛋产量分别达到1、55万吨、0、53万吨、0、29万吨，同比提升13、97%、1、76%、0、69%。 </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color w:val="auto"/>
          <w:spacing w:val="-6"/>
          <w:sz w:val="32"/>
          <w:szCs w:val="32"/>
          <w:highlight w:val="none"/>
          <w:u w:val="none" w:color="auto"/>
          <w:lang w:val="en-US" w:eastAsia="zh-CN"/>
        </w:rPr>
      </w:pPr>
      <w:r>
        <w:rPr>
          <w:rFonts w:hint="eastAsia" w:ascii="方正仿宋_GBK" w:hAnsi="方正仿宋_GBK" w:eastAsia="方正仿宋_GBK" w:cs="方正仿宋_GBK"/>
          <w:b w:val="0"/>
          <w:bCs w:val="0"/>
          <w:color w:val="auto"/>
          <w:spacing w:val="-6"/>
          <w:sz w:val="32"/>
          <w:szCs w:val="32"/>
          <w:highlight w:val="none"/>
          <w:rtl w:val="0"/>
          <w:lang w:val="en-US" w:eastAsia="zh-CN"/>
        </w:rPr>
        <w:t>5、农业现代化持续推进。</w:t>
      </w:r>
      <w:r>
        <w:rPr>
          <w:rFonts w:hint="eastAsia" w:ascii="方正仿宋_GBK" w:hAnsi="方正仿宋_GBK" w:eastAsia="方正仿宋_GBK" w:cs="方正仿宋_GBK"/>
          <w:color w:val="auto"/>
          <w:spacing w:val="-6"/>
          <w:sz w:val="32"/>
          <w:szCs w:val="32"/>
          <w:highlight w:val="none"/>
          <w:u w:val="none" w:color="auto"/>
          <w:lang w:val="en-US" w:eastAsia="zh-CN"/>
        </w:rPr>
        <w:t>坚持产业融合发展方向，做强加工链，拓展功能链，农业产业化龙头企业达到25家（其中：国家级1家、自治区级7家、地区级17家），培育新申报地区级农业产业化龙头企业3家、自治区级2家，加快自治区级麦盖提县红枣现代农业产业园创建，主要农产品初加工率、精深加工率分别达到92、89%、38、27%。</w:t>
      </w:r>
      <w:r>
        <w:rPr>
          <w:rFonts w:hint="eastAsia" w:ascii="方正仿宋_GBK" w:hAnsi="方正仿宋_GBK" w:eastAsia="方正仿宋_GBK" w:cs="方正仿宋_GBK"/>
          <w:color w:val="auto"/>
          <w:spacing w:val="-6"/>
          <w:sz w:val="32"/>
          <w:szCs w:val="32"/>
          <w:lang w:val="en-US" w:eastAsia="zh-CN"/>
        </w:rPr>
        <w:t>推进农民合作社质量提升，全县农民合作社435家，其中地区级以上示范社17家；家庭农场37家，其中地区级以上家庭农场24家。</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color w:val="auto"/>
          <w:spacing w:val="-6"/>
          <w:sz w:val="32"/>
          <w:szCs w:val="32"/>
          <w:lang w:val="en-US" w:eastAsia="zh-CN"/>
        </w:rPr>
      </w:pPr>
      <w:r>
        <w:rPr>
          <w:rFonts w:hint="eastAsia" w:ascii="方正仿宋_GBK" w:hAnsi="方正仿宋_GBK" w:eastAsia="方正仿宋_GBK" w:cs="方正仿宋_GBK"/>
          <w:b w:val="0"/>
          <w:bCs w:val="0"/>
          <w:color w:val="auto"/>
          <w:spacing w:val="-6"/>
          <w:sz w:val="32"/>
          <w:szCs w:val="32"/>
          <w:highlight w:val="none"/>
          <w:rtl w:val="0"/>
          <w:lang w:val="en-US" w:eastAsia="zh-CN"/>
        </w:rPr>
        <w:t>6、高标准农田建设加快建设。</w:t>
      </w:r>
      <w:r>
        <w:rPr>
          <w:rFonts w:hint="eastAsia" w:ascii="方正仿宋_GBK" w:hAnsi="方正仿宋_GBK" w:eastAsia="方正仿宋_GBK" w:cs="方正仿宋_GBK"/>
          <w:color w:val="auto"/>
          <w:spacing w:val="-6"/>
          <w:sz w:val="32"/>
          <w:szCs w:val="32"/>
          <w:lang w:val="en-US" w:eastAsia="zh-CN"/>
        </w:rPr>
        <w:t>制定《麦盖提县高标准农田建设评价激励实施办法》，健全多元化投入、运维管护机制，</w:t>
      </w:r>
      <w:r>
        <w:rPr>
          <w:rFonts w:hint="eastAsia" w:ascii="方正仿宋_GBK" w:hAnsi="方正仿宋_GBK" w:eastAsia="方正仿宋_GBK" w:cs="方正仿宋_GBK"/>
          <w:color w:val="auto"/>
          <w:spacing w:val="-6"/>
          <w:sz w:val="32"/>
          <w:szCs w:val="32"/>
          <w:highlight w:val="none"/>
          <w:u w:val="none" w:color="auto"/>
          <w:lang w:val="en-US" w:eastAsia="zh-CN"/>
        </w:rPr>
        <w:t>新建、改造提升高标准农田1、53万亩。全县耕地面积120、73万亩，其中：永久基本农田面积86、89万亩，建成高标准农田79、45万亩，</w:t>
      </w:r>
      <w:r>
        <w:rPr>
          <w:rFonts w:hint="eastAsia" w:ascii="方正仿宋_GBK" w:hAnsi="方正仿宋_GBK" w:eastAsia="方正仿宋_GBK" w:cs="方正仿宋_GBK"/>
          <w:color w:val="auto"/>
          <w:spacing w:val="-6"/>
          <w:sz w:val="32"/>
          <w:szCs w:val="32"/>
        </w:rPr>
        <w:t>“田成方、林成网、渠相连、路相通”的高标准农田建设格局</w:t>
      </w:r>
      <w:r>
        <w:rPr>
          <w:rFonts w:hint="eastAsia" w:ascii="方正仿宋_GBK" w:hAnsi="方正仿宋_GBK" w:eastAsia="方正仿宋_GBK" w:cs="方正仿宋_GBK"/>
          <w:color w:val="auto"/>
          <w:spacing w:val="-6"/>
          <w:sz w:val="32"/>
          <w:szCs w:val="32"/>
          <w:lang w:eastAsia="zh-CN"/>
        </w:rPr>
        <w:t>初步形成</w:t>
      </w:r>
      <w:r>
        <w:rPr>
          <w:rFonts w:hint="eastAsia" w:ascii="方正仿宋_GBK" w:hAnsi="方正仿宋_GBK" w:eastAsia="方正仿宋_GBK" w:cs="方正仿宋_GBK"/>
          <w:color w:val="auto"/>
          <w:spacing w:val="-6"/>
          <w:sz w:val="32"/>
          <w:szCs w:val="32"/>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b w:val="0"/>
          <w:color w:val="auto"/>
          <w:spacing w:val="-6"/>
          <w:kern w:val="2"/>
          <w:sz w:val="32"/>
          <w:szCs w:val="32"/>
          <w:highlight w:val="yellow"/>
          <w:lang w:val="en-US" w:eastAsia="zh-CN" w:bidi="ar-SA"/>
        </w:rPr>
      </w:pPr>
      <w:r>
        <w:rPr>
          <w:rFonts w:hint="eastAsia" w:ascii="方正仿宋_GBK" w:hAnsi="方正仿宋_GBK" w:eastAsia="方正仿宋_GBK" w:cs="方正仿宋_GBK"/>
          <w:b w:val="0"/>
          <w:bCs w:val="0"/>
          <w:color w:val="auto"/>
          <w:spacing w:val="-6"/>
          <w:sz w:val="32"/>
          <w:szCs w:val="32"/>
          <w:highlight w:val="none"/>
          <w:rtl w:val="0"/>
          <w:lang w:val="en-US" w:eastAsia="zh-CN"/>
        </w:rPr>
        <w:t>7、脱贫攻坚成果同乡村振兴有效衔接持续得到巩固。</w:t>
      </w:r>
      <w:r>
        <w:rPr>
          <w:rFonts w:hint="eastAsia" w:ascii="方正仿宋_GBK" w:hAnsi="方正仿宋_GBK" w:eastAsia="方正仿宋_GBK" w:cs="方正仿宋_GBK"/>
          <w:b/>
          <w:bCs/>
          <w:snapToGrid w:val="0"/>
          <w:color w:val="auto"/>
          <w:spacing w:val="-6"/>
          <w:sz w:val="32"/>
          <w:szCs w:val="32"/>
          <w:highlight w:val="none"/>
          <w:u w:val="none" w:color="auto"/>
          <w:rtl w:val="0"/>
          <w:lang w:val="en-US" w:eastAsia="zh-CN" w:bidi="ar-SA"/>
        </w:rPr>
        <w:t>一是持续做好防返贫监测。</w:t>
      </w:r>
      <w:r>
        <w:rPr>
          <w:rFonts w:hint="eastAsia" w:ascii="方正仿宋_GBK" w:hAnsi="方正仿宋_GBK" w:eastAsia="方正仿宋_GBK" w:cs="方正仿宋_GBK"/>
          <w:color w:val="auto"/>
          <w:spacing w:val="-6"/>
          <w:kern w:val="0"/>
          <w:sz w:val="32"/>
          <w:szCs w:val="32"/>
          <w:highlight w:val="none"/>
          <w:rtl w:val="0"/>
          <w:lang w:val="en-US" w:eastAsia="zh-CN"/>
        </w:rPr>
        <w:t>常态</w:t>
      </w:r>
      <w:r>
        <w:rPr>
          <w:rFonts w:hint="eastAsia" w:ascii="方正仿宋_GBK" w:hAnsi="方正仿宋_GBK" w:eastAsia="方正仿宋_GBK" w:cs="方正仿宋_GBK"/>
          <w:color w:val="auto"/>
          <w:spacing w:val="-6"/>
          <w:kern w:val="0"/>
          <w:sz w:val="32"/>
          <w:szCs w:val="32"/>
          <w:highlight w:val="none"/>
          <w:lang w:val="en-US" w:eastAsia="zh-CN"/>
        </w:rPr>
        <w:t>坚</w:t>
      </w:r>
      <w:r>
        <w:rPr>
          <w:rFonts w:hint="eastAsia" w:ascii="方正仿宋_GBK" w:hAnsi="方正仿宋_GBK" w:eastAsia="方正仿宋_GBK" w:cs="方正仿宋_GBK"/>
          <w:color w:val="auto"/>
          <w:spacing w:val="-6"/>
          <w:sz w:val="32"/>
          <w:szCs w:val="32"/>
          <w:lang w:val="en-US" w:eastAsia="zh-CN"/>
        </w:rPr>
        <w:t>持“</w:t>
      </w:r>
      <w:r>
        <w:rPr>
          <w:rFonts w:hint="eastAsia" w:ascii="方正仿宋_GBK" w:hAnsi="方正仿宋_GBK" w:eastAsia="方正仿宋_GBK" w:cs="方正仿宋_GBK"/>
          <w:color w:val="auto"/>
          <w:spacing w:val="-6"/>
          <w:kern w:val="0"/>
          <w:sz w:val="32"/>
          <w:szCs w:val="32"/>
          <w:highlight w:val="none"/>
          <w:lang w:val="en-US" w:eastAsia="zh-CN"/>
        </w:rPr>
        <w:t>四位一体”监测机制，加大对全县48461户168218名乡村人口（其中：</w:t>
      </w:r>
      <w:r>
        <w:rPr>
          <w:rFonts w:hint="eastAsia" w:ascii="方正仿宋_GBK" w:hAnsi="方正仿宋_GBK" w:eastAsia="方正仿宋_GBK" w:cs="方正仿宋_GBK"/>
          <w:color w:val="auto"/>
          <w:spacing w:val="-6"/>
          <w:sz w:val="32"/>
          <w:szCs w:val="32"/>
          <w:u w:val="none" w:color="auto"/>
          <w:lang w:val="en-US" w:eastAsia="zh-CN"/>
        </w:rPr>
        <w:t>13205户46971名</w:t>
      </w:r>
      <w:r>
        <w:rPr>
          <w:rFonts w:hint="eastAsia" w:ascii="方正仿宋_GBK" w:hAnsi="方正仿宋_GBK" w:eastAsia="方正仿宋_GBK" w:cs="方正仿宋_GBK"/>
          <w:color w:val="auto"/>
          <w:spacing w:val="-6"/>
          <w:kern w:val="0"/>
          <w:sz w:val="32"/>
          <w:szCs w:val="32"/>
          <w:highlight w:val="none"/>
          <w:lang w:val="en-US" w:eastAsia="zh-CN"/>
        </w:rPr>
        <w:t>已脱贫户和</w:t>
      </w:r>
      <w:r>
        <w:rPr>
          <w:rFonts w:hint="eastAsia" w:ascii="方正仿宋_GBK" w:hAnsi="方正仿宋_GBK" w:eastAsia="方正仿宋_GBK" w:cs="方正仿宋_GBK"/>
          <w:color w:val="auto"/>
          <w:spacing w:val="-6"/>
          <w:sz w:val="32"/>
          <w:szCs w:val="32"/>
          <w:u w:val="none" w:color="auto"/>
          <w:lang w:val="en-US" w:eastAsia="zh-CN"/>
        </w:rPr>
        <w:t>3820户13827名</w:t>
      </w:r>
      <w:r>
        <w:rPr>
          <w:rFonts w:hint="eastAsia" w:ascii="方正仿宋_GBK" w:hAnsi="方正仿宋_GBK" w:eastAsia="方正仿宋_GBK" w:cs="方正仿宋_GBK"/>
          <w:color w:val="auto"/>
          <w:spacing w:val="-6"/>
          <w:kern w:val="0"/>
          <w:sz w:val="32"/>
          <w:szCs w:val="32"/>
          <w:highlight w:val="none"/>
          <w:lang w:val="en-US" w:eastAsia="zh-CN"/>
        </w:rPr>
        <w:t>监测对象）的监测力度，今年新识别162户580人、风险消除41户122人，累计风险消除3102户11833人，风险消除率为85、58%。对未消除风险的718户1994名监测对象，</w:t>
      </w:r>
      <w:r>
        <w:rPr>
          <w:rFonts w:hint="eastAsia" w:ascii="方正仿宋_GBK" w:hAnsi="方正仿宋_GBK" w:eastAsia="方正仿宋_GBK" w:cs="方正仿宋_GBK"/>
          <w:b w:val="0"/>
          <w:bCs w:val="0"/>
          <w:color w:val="auto"/>
          <w:spacing w:val="-6"/>
          <w:sz w:val="32"/>
          <w:szCs w:val="32"/>
          <w:highlight w:val="none"/>
          <w:u w:val="none" w:color="auto"/>
          <w:lang w:val="en-US" w:eastAsia="zh-CN"/>
        </w:rPr>
        <w:t>因户因人精准施策，守住了不发生规模性返贫底线。</w:t>
      </w:r>
      <w:r>
        <w:rPr>
          <w:rFonts w:hint="eastAsia" w:ascii="方正仿宋_GBK" w:hAnsi="方正仿宋_GBK" w:eastAsia="方正仿宋_GBK" w:cs="方正仿宋_GBK"/>
          <w:b/>
          <w:bCs/>
          <w:snapToGrid w:val="0"/>
          <w:color w:val="auto"/>
          <w:spacing w:val="-6"/>
          <w:sz w:val="32"/>
          <w:szCs w:val="32"/>
          <w:highlight w:val="none"/>
          <w:u w:val="none" w:color="auto"/>
          <w:rtl w:val="0"/>
          <w:lang w:val="en-US" w:eastAsia="zh-CN" w:bidi="ar-SA"/>
        </w:rPr>
        <w:t>二是加大项目支持力度。</w:t>
      </w:r>
      <w:r>
        <w:rPr>
          <w:rFonts w:hint="eastAsia" w:ascii="方正仿宋_GBK" w:hAnsi="方正仿宋_GBK" w:eastAsia="方正仿宋_GBK" w:cs="方正仿宋_GBK"/>
          <w:color w:val="auto"/>
          <w:spacing w:val="-6"/>
          <w:kern w:val="0"/>
          <w:sz w:val="32"/>
          <w:szCs w:val="32"/>
          <w:highlight w:val="none"/>
          <w:u w:val="none" w:color="auto"/>
          <w:rtl w:val="0"/>
          <w:lang w:val="en-US" w:eastAsia="zh-CN" w:bidi="ar-SA"/>
        </w:rPr>
        <w:t>中央衔接资金的66、17%用于扶持乡村特色产业发展，实施衔接项目49个，到位资金3、43亿元，支出资金3、376亿元，资金支出率98、4%。</w:t>
      </w:r>
      <w:r>
        <w:rPr>
          <w:rFonts w:hint="eastAsia" w:ascii="方正仿宋_GBK" w:hAnsi="方正仿宋_GBK" w:eastAsia="方正仿宋_GBK" w:cs="方正仿宋_GBK"/>
          <w:b/>
          <w:bCs/>
          <w:color w:val="auto"/>
          <w:spacing w:val="-6"/>
          <w:sz w:val="32"/>
          <w:szCs w:val="32"/>
          <w:highlight w:val="none"/>
          <w:lang w:val="en-US" w:eastAsia="zh-CN"/>
        </w:rPr>
        <w:t>三是推动实现脱贫群众稳岗就业。</w:t>
      </w:r>
      <w:r>
        <w:rPr>
          <w:rFonts w:hint="eastAsia" w:ascii="方正仿宋_GBK" w:hAnsi="方正仿宋_GBK" w:eastAsia="方正仿宋_GBK" w:cs="方正仿宋_GBK"/>
          <w:b w:val="0"/>
          <w:bCs w:val="0"/>
          <w:color w:val="auto"/>
          <w:spacing w:val="-6"/>
          <w:w w:val="100"/>
          <w:kern w:val="0"/>
          <w:sz w:val="32"/>
          <w:szCs w:val="32"/>
          <w:highlight w:val="none"/>
          <w:u w:val="none" w:color="auto"/>
          <w:lang w:val="en-US" w:eastAsia="zh-CN"/>
        </w:rPr>
        <w:t>坚持把脱贫人口稳定就业作为促进实现大幅增收的主要路径，全方位拓展就业渠道。全县农村劳动力外出务工63877人次，同比增加2、1%。其中：脱贫劳动力外出务工21741人、同比增加1、6%，有序外出其他省市1145人、同比增加20、9%，落实一次性交通补贴427、64万元。</w:t>
      </w:r>
      <w:r>
        <w:rPr>
          <w:rFonts w:hint="eastAsia" w:ascii="方正仿宋_GBK" w:hAnsi="方正仿宋_GBK" w:eastAsia="方正仿宋_GBK" w:cs="方正仿宋_GBK"/>
          <w:b/>
          <w:bCs/>
          <w:color w:val="auto"/>
          <w:spacing w:val="-6"/>
          <w:sz w:val="32"/>
          <w:szCs w:val="32"/>
          <w:highlight w:val="none"/>
          <w:lang w:val="en-US" w:eastAsia="zh-CN"/>
        </w:rPr>
        <w:t>四是持续加强产业政策保障。</w:t>
      </w:r>
      <w:r>
        <w:rPr>
          <w:rFonts w:hint="eastAsia" w:ascii="方正仿宋_GBK" w:hAnsi="方正仿宋_GBK" w:eastAsia="方正仿宋_GBK" w:cs="方正仿宋_GBK"/>
          <w:color w:val="auto"/>
          <w:spacing w:val="-6"/>
          <w:kern w:val="0"/>
          <w:sz w:val="32"/>
          <w:szCs w:val="32"/>
          <w:lang w:val="en-US" w:eastAsia="zh-CN" w:bidi="ar"/>
        </w:rPr>
        <w:t>投入到户产业补助资金6922万元，帮助12896户脱贫人口和监测对象发展到户产业。</w:t>
      </w:r>
      <w:r>
        <w:rPr>
          <w:rFonts w:hint="eastAsia" w:ascii="方正仿宋_GBK" w:hAnsi="方正仿宋_GBK" w:eastAsia="方正仿宋_GBK" w:cs="方正仿宋_GBK"/>
          <w:b w:val="0"/>
          <w:bCs w:val="0"/>
          <w:color w:val="auto"/>
          <w:spacing w:val="-6"/>
          <w:w w:val="100"/>
          <w:kern w:val="0"/>
          <w:sz w:val="32"/>
          <w:szCs w:val="32"/>
          <w:highlight w:val="none"/>
          <w:u w:val="none" w:color="auto"/>
          <w:lang w:val="en-US" w:eastAsia="zh-CN"/>
        </w:rPr>
        <w:t>开展帮扶项目资产摸底确权，2013—2023年共形成帮扶项目资产247个10、79亿元，全部确权到村，带动就业1461人、发放工资3032、9251万元，年综合收益率达4、15%。积极落实脱贫人口小额信贷政策</w:t>
      </w:r>
      <w:r>
        <w:rPr>
          <w:rFonts w:hint="eastAsia" w:ascii="方正仿宋_GBK" w:hAnsi="方正仿宋_GBK" w:eastAsia="方正仿宋_GBK" w:cs="方正仿宋_GBK"/>
          <w:color w:val="auto"/>
          <w:spacing w:val="-6"/>
          <w:w w:val="100"/>
          <w:kern w:val="0"/>
          <w:sz w:val="32"/>
          <w:szCs w:val="32"/>
          <w:highlight w:val="none"/>
          <w:u w:val="none" w:color="auto"/>
          <w:rtl w:val="0"/>
          <w:lang w:val="en-US" w:eastAsia="zh-CN"/>
        </w:rPr>
        <w:t>，新增发放贷款</w:t>
      </w:r>
      <w:r>
        <w:rPr>
          <w:rFonts w:hint="eastAsia" w:ascii="方正仿宋_GBK" w:hAnsi="方正仿宋_GBK" w:eastAsia="方正仿宋_GBK" w:cs="方正仿宋_GBK"/>
          <w:b w:val="0"/>
          <w:color w:val="auto"/>
          <w:spacing w:val="-6"/>
          <w:kern w:val="2"/>
          <w:position w:val="0"/>
          <w:sz w:val="32"/>
          <w:szCs w:val="32"/>
          <w:highlight w:val="none"/>
          <w:rtl w:val="0"/>
          <w:lang w:val="en-US" w:eastAsia="zh-CN" w:bidi="ar-SA"/>
        </w:rPr>
        <w:t>1299、9万元，</w:t>
      </w:r>
      <w:r>
        <w:rPr>
          <w:rFonts w:hint="eastAsia" w:ascii="方正仿宋_GBK" w:hAnsi="方正仿宋_GBK" w:eastAsia="方正仿宋_GBK" w:cs="方正仿宋_GBK"/>
          <w:color w:val="auto"/>
          <w:spacing w:val="-6"/>
          <w:w w:val="100"/>
          <w:kern w:val="0"/>
          <w:sz w:val="32"/>
          <w:szCs w:val="32"/>
          <w:highlight w:val="none"/>
          <w:u w:val="none" w:color="auto"/>
          <w:rtl w:val="0"/>
          <w:lang w:val="en-US" w:eastAsia="zh-CN"/>
        </w:rPr>
        <w:t>贴息205、36万元，</w:t>
      </w:r>
      <w:r>
        <w:rPr>
          <w:rFonts w:hint="eastAsia" w:ascii="方正仿宋_GBK" w:hAnsi="方正仿宋_GBK" w:eastAsia="方正仿宋_GBK" w:cs="方正仿宋_GBK"/>
          <w:b w:val="0"/>
          <w:bCs w:val="0"/>
          <w:color w:val="auto"/>
          <w:spacing w:val="-6"/>
          <w:kern w:val="0"/>
          <w:sz w:val="32"/>
          <w:szCs w:val="32"/>
          <w:highlight w:val="none"/>
          <w:u w:val="none" w:color="auto"/>
          <w:rtl w:val="0"/>
          <w:lang w:val="en-US" w:eastAsia="zh-CN"/>
        </w:rPr>
        <w:t>带动400户脱贫人口发展产业</w:t>
      </w:r>
      <w:r>
        <w:rPr>
          <w:rFonts w:hint="eastAsia" w:ascii="方正仿宋_GBK" w:hAnsi="方正仿宋_GBK" w:eastAsia="方正仿宋_GBK" w:cs="方正仿宋_GBK"/>
          <w:b w:val="0"/>
          <w:bCs w:val="0"/>
          <w:color w:val="auto"/>
          <w:spacing w:val="-6"/>
          <w:w w:val="100"/>
          <w:kern w:val="0"/>
          <w:sz w:val="32"/>
          <w:szCs w:val="32"/>
          <w:highlight w:val="none"/>
          <w:u w:val="none" w:color="auto"/>
          <w:rtl w:val="0"/>
          <w:lang w:val="en-US" w:eastAsia="zh-CN"/>
        </w:rPr>
        <w:t>。落实农业保险政策，承保农作物面积60、99万亩、林果业面积10、77万亩，参保牲畜</w:t>
      </w:r>
      <w:r>
        <w:rPr>
          <w:rFonts w:hint="eastAsia" w:ascii="方正仿宋_GBK" w:hAnsi="方正仿宋_GBK" w:eastAsia="方正仿宋_GBK" w:cs="方正仿宋_GBK"/>
          <w:b w:val="0"/>
          <w:bCs w:val="0"/>
          <w:color w:val="auto"/>
          <w:spacing w:val="-6"/>
          <w:w w:val="100"/>
          <w:kern w:val="0"/>
          <w:sz w:val="32"/>
          <w:szCs w:val="32"/>
          <w:highlight w:val="none"/>
          <w:u w:val="none" w:color="auto"/>
          <w:lang w:val="en-US" w:eastAsia="zh-CN"/>
        </w:rPr>
        <w:t>1、23万</w:t>
      </w:r>
      <w:r>
        <w:rPr>
          <w:rFonts w:hint="eastAsia" w:ascii="方正仿宋_GBK" w:hAnsi="方正仿宋_GBK" w:eastAsia="方正仿宋_GBK" w:cs="方正仿宋_GBK"/>
          <w:b w:val="0"/>
          <w:bCs w:val="0"/>
          <w:color w:val="auto"/>
          <w:spacing w:val="-6"/>
          <w:w w:val="100"/>
          <w:kern w:val="0"/>
          <w:sz w:val="32"/>
          <w:szCs w:val="32"/>
          <w:highlight w:val="none"/>
          <w:u w:val="none" w:color="auto"/>
          <w:rtl w:val="0"/>
          <w:lang w:val="en-US" w:eastAsia="zh-CN"/>
        </w:rPr>
        <w:t>头只，合计理赔2514万元。积极推广红枣“保险+期货”项目8万亩，惠及农户5500户。</w:t>
      </w:r>
      <w:r>
        <w:rPr>
          <w:rFonts w:hint="eastAsia" w:ascii="方正仿宋_GBK" w:hAnsi="方正仿宋_GBK" w:eastAsia="方正仿宋_GBK" w:cs="方正仿宋_GBK"/>
          <w:b/>
          <w:bCs/>
          <w:color w:val="auto"/>
          <w:spacing w:val="-6"/>
          <w:sz w:val="32"/>
          <w:szCs w:val="32"/>
          <w:highlight w:val="none"/>
          <w:u w:val="none" w:color="auto"/>
          <w:lang w:val="en-US" w:eastAsia="zh-CN"/>
        </w:rPr>
        <w:t>五是抓好乡村建设。</w:t>
      </w:r>
      <w:r>
        <w:rPr>
          <w:rFonts w:hint="eastAsia" w:ascii="方正仿宋_GBK" w:hAnsi="方正仿宋_GBK" w:eastAsia="方正仿宋_GBK" w:cs="方正仿宋_GBK"/>
          <w:color w:val="auto"/>
          <w:spacing w:val="-6"/>
          <w:sz w:val="32"/>
          <w:szCs w:val="32"/>
          <w:highlight w:val="none"/>
          <w:lang w:val="en-US" w:eastAsia="zh-CN"/>
        </w:rPr>
        <w:t>2024年稳步推进2个自治区级、10个地区级示范村创建，实施4个村粪污一体化建设，按照缺什么补什么的原则，完成美丽庭院建设3732户、累计完成43591户，实现全覆盖；按照“两有两化四防”改厕标准，完成户厕整改5200座，累计整改户厕18131座。</w:t>
      </w:r>
      <w:r>
        <w:rPr>
          <w:rFonts w:hint="eastAsia" w:ascii="方正仿宋_GBK" w:hAnsi="方正仿宋_GBK" w:eastAsia="方正仿宋_GBK" w:cs="方正仿宋_GBK"/>
          <w:b/>
          <w:bCs/>
          <w:color w:val="auto"/>
          <w:spacing w:val="-6"/>
          <w:sz w:val="32"/>
          <w:szCs w:val="32"/>
          <w:highlight w:val="none"/>
          <w:u w:val="none" w:color="auto"/>
          <w:lang w:val="en-US" w:eastAsia="zh-CN"/>
        </w:rPr>
        <w:t>六是抓好乡村振兴反馈问题整改。</w:t>
      </w:r>
      <w:r>
        <w:rPr>
          <w:rFonts w:hint="eastAsia" w:ascii="方正仿宋_GBK" w:hAnsi="方正仿宋_GBK" w:eastAsia="方正仿宋_GBK" w:cs="方正仿宋_GBK"/>
          <w:b w:val="0"/>
          <w:color w:val="auto"/>
          <w:spacing w:val="-6"/>
          <w:kern w:val="2"/>
          <w:sz w:val="32"/>
          <w:szCs w:val="32"/>
          <w:highlight w:val="none"/>
          <w:lang w:val="en-US" w:eastAsia="zh-CN" w:bidi="ar-SA"/>
        </w:rPr>
        <w:t>充分发挥农办统筹协调作用，召开专题会议5次、培训会议3次、调度会议4次，现场推进会议1次，12个乡镇场共认领问题230条，164个村（社区）共认领问题2568条，</w:t>
      </w:r>
      <w:r>
        <w:rPr>
          <w:rFonts w:hint="eastAsia" w:ascii="方正仿宋_GBK" w:hAnsi="方正仿宋_GBK" w:eastAsia="方正仿宋_GBK" w:cs="方正仿宋_GBK"/>
          <w:b w:val="0"/>
          <w:bCs w:val="0"/>
          <w:snapToGrid w:val="0"/>
          <w:color w:val="auto"/>
          <w:spacing w:val="-6"/>
          <w:kern w:val="0"/>
          <w:sz w:val="32"/>
          <w:szCs w:val="32"/>
          <w:highlight w:val="none"/>
          <w:u w:val="none" w:color="auto"/>
          <w:lang w:val="en-US" w:eastAsia="zh-CN" w:bidi="ar-SA"/>
        </w:rPr>
        <w:t>均已整改完毕。</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b w:val="0"/>
          <w:color w:val="auto"/>
          <w:spacing w:val="-6"/>
          <w:kern w:val="2"/>
          <w:sz w:val="32"/>
          <w:szCs w:val="32"/>
          <w:rtl w:val="0"/>
          <w:lang w:val="en-US" w:eastAsia="zh-CN" w:bidi="ar-SA"/>
        </w:rPr>
      </w:pPr>
      <w:r>
        <w:rPr>
          <w:rFonts w:hint="eastAsia" w:ascii="方正仿宋_GBK" w:hAnsi="方正仿宋_GBK" w:eastAsia="方正仿宋_GBK" w:cs="方正仿宋_GBK"/>
          <w:b w:val="0"/>
          <w:bCs w:val="0"/>
          <w:color w:val="auto"/>
          <w:spacing w:val="-6"/>
          <w:sz w:val="32"/>
          <w:szCs w:val="32"/>
          <w:highlight w:val="none"/>
          <w:rtl w:val="0"/>
          <w:lang w:val="en-US" w:eastAsia="zh-CN"/>
        </w:rPr>
        <w:t>8、全面深化农村改革。</w:t>
      </w:r>
      <w:r>
        <w:rPr>
          <w:rFonts w:hint="eastAsia" w:ascii="方正仿宋_GBK" w:hAnsi="方正仿宋_GBK" w:eastAsia="方正仿宋_GBK" w:cs="方正仿宋_GBK"/>
          <w:b/>
          <w:bCs/>
          <w:color w:val="auto"/>
          <w:spacing w:val="-6"/>
          <w:sz w:val="32"/>
          <w:szCs w:val="32"/>
          <w:shd w:val="clear" w:color="auto" w:fill="FFFFFF"/>
        </w:rPr>
        <w:t>一是稳妥推进土地流转。</w:t>
      </w:r>
      <w:r>
        <w:rPr>
          <w:rFonts w:hint="eastAsia" w:ascii="方正仿宋_GBK" w:hAnsi="方正仿宋_GBK" w:eastAsia="方正仿宋_GBK" w:cs="方正仿宋_GBK"/>
          <w:color w:val="auto"/>
          <w:spacing w:val="-6"/>
          <w:kern w:val="0"/>
          <w:sz w:val="32"/>
          <w:szCs w:val="32"/>
          <w:highlight w:val="none"/>
          <w:u w:val="none" w:color="auto"/>
          <w:rtl w:val="0"/>
          <w:lang w:val="en-US" w:eastAsia="zh-CN" w:bidi="ar-SA"/>
        </w:rPr>
        <w:t>引导农户依法、有序、自愿开展土地流转，发展适度规模经营，全县农户30年承包地面积52、96万亩，流转面积16、2万亩，流转率30、62%，较2023增长8、16%。加强集体土地管理，</w:t>
      </w:r>
      <w:r>
        <w:rPr>
          <w:rFonts w:hint="eastAsia" w:ascii="方正仿宋_GBK" w:hAnsi="方正仿宋_GBK" w:eastAsia="方正仿宋_GBK" w:cs="方正仿宋_GBK"/>
          <w:color w:val="auto"/>
          <w:spacing w:val="-6"/>
          <w:sz w:val="32"/>
          <w:szCs w:val="32"/>
          <w:highlight w:val="none"/>
          <w:u w:val="none" w:color="auto"/>
          <w:lang w:val="en-US" w:eastAsia="zh-CN"/>
        </w:rPr>
        <w:t>规范流转程序，健全出租发包土地合理增价机制，预计村集体土地承包费收入6683万元，预计同比增加2070万元。</w:t>
      </w:r>
      <w:r>
        <w:rPr>
          <w:rFonts w:hint="eastAsia" w:ascii="方正仿宋_GBK" w:hAnsi="方正仿宋_GBK" w:eastAsia="方正仿宋_GBK" w:cs="方正仿宋_GBK"/>
          <w:b/>
          <w:bCs/>
          <w:color w:val="auto"/>
          <w:spacing w:val="-6"/>
          <w:sz w:val="32"/>
          <w:szCs w:val="32"/>
          <w:shd w:val="clear" w:color="auto" w:fill="FFFFFF"/>
        </w:rPr>
        <w:t>二是</w:t>
      </w:r>
      <w:r>
        <w:rPr>
          <w:rFonts w:hint="eastAsia" w:ascii="方正仿宋_GBK" w:hAnsi="方正仿宋_GBK" w:eastAsia="方正仿宋_GBK" w:cs="方正仿宋_GBK"/>
          <w:b/>
          <w:bCs/>
          <w:color w:val="auto"/>
          <w:spacing w:val="-6"/>
          <w:sz w:val="32"/>
          <w:szCs w:val="32"/>
          <w:shd w:val="clear" w:color="auto" w:fill="FFFFFF"/>
          <w:lang w:eastAsia="zh-CN"/>
        </w:rPr>
        <w:t>抓好农村“三资”管理</w:t>
      </w:r>
      <w:r>
        <w:rPr>
          <w:rFonts w:hint="eastAsia" w:ascii="方正仿宋_GBK" w:hAnsi="方正仿宋_GBK" w:eastAsia="方正仿宋_GBK" w:cs="方正仿宋_GBK"/>
          <w:b/>
          <w:bCs/>
          <w:color w:val="auto"/>
          <w:spacing w:val="-6"/>
          <w:sz w:val="32"/>
          <w:szCs w:val="32"/>
          <w:shd w:val="clear" w:color="auto" w:fill="FFFFFF"/>
        </w:rPr>
        <w:t>。</w:t>
      </w:r>
      <w:r>
        <w:rPr>
          <w:rFonts w:hint="eastAsia" w:ascii="方正仿宋_GBK" w:hAnsi="方正仿宋_GBK" w:eastAsia="方正仿宋_GBK" w:cs="方正仿宋_GBK"/>
          <w:b w:val="0"/>
          <w:bCs w:val="0"/>
          <w:color w:val="auto"/>
          <w:spacing w:val="-6"/>
          <w:kern w:val="2"/>
          <w:sz w:val="32"/>
          <w:szCs w:val="32"/>
          <w:rtl w:val="0"/>
          <w:lang w:val="en-US" w:eastAsia="zh-CN" w:bidi="ar-SA"/>
        </w:rPr>
        <w:t>完成三资平台资产、资源、资金录入，</w:t>
      </w:r>
      <w:r>
        <w:rPr>
          <w:rFonts w:hint="eastAsia" w:ascii="方正仿宋_GBK" w:hAnsi="方正仿宋_GBK" w:eastAsia="方正仿宋_GBK" w:cs="方正仿宋_GBK"/>
          <w:b w:val="0"/>
          <w:color w:val="auto"/>
          <w:spacing w:val="-6"/>
          <w:kern w:val="2"/>
          <w:sz w:val="32"/>
          <w:szCs w:val="32"/>
          <w:rtl w:val="0"/>
          <w:lang w:val="en-US" w:eastAsia="zh-CN" w:bidi="ar-SA"/>
        </w:rPr>
        <w:t>全县140个村集体资金7195、62万元已全部划入140个村集体股份经济合作社，进行规范化管理，140个村集体经济组织实现了“政经分离”，正常运行。</w:t>
      </w:r>
      <w:r>
        <w:rPr>
          <w:rFonts w:hint="eastAsia" w:ascii="方正仿宋_GBK" w:hAnsi="方正仿宋_GBK" w:eastAsia="方正仿宋_GBK" w:cs="方正仿宋_GBK"/>
          <w:b/>
          <w:bCs/>
          <w:color w:val="auto"/>
          <w:spacing w:val="-6"/>
          <w:kern w:val="2"/>
          <w:sz w:val="32"/>
          <w:szCs w:val="32"/>
          <w:rtl w:val="0"/>
          <w:lang w:val="en-US" w:eastAsia="zh-CN" w:bidi="ar-SA"/>
        </w:rPr>
        <w:t>三是抓实农村集体“三资”集中整治。</w:t>
      </w:r>
      <w:r>
        <w:rPr>
          <w:rFonts w:hint="eastAsia" w:ascii="方正仿宋_GBK" w:hAnsi="方正仿宋_GBK" w:eastAsia="方正仿宋_GBK" w:cs="方正仿宋_GBK"/>
          <w:b w:val="0"/>
          <w:color w:val="auto"/>
          <w:spacing w:val="-6"/>
          <w:kern w:val="2"/>
          <w:sz w:val="32"/>
          <w:szCs w:val="32"/>
          <w:rtl w:val="0"/>
          <w:lang w:val="en-US" w:eastAsia="zh-CN" w:bidi="ar-SA"/>
        </w:rPr>
        <w:t>农村集体“三资”管理集中整治以来，共发现问题11条，目前已整改问题10条，正在整改问题1条。</w:t>
      </w:r>
      <w:r>
        <w:rPr>
          <w:rFonts w:hint="eastAsia" w:ascii="方正仿宋_GBK" w:hAnsi="方正仿宋_GBK" w:eastAsia="方正仿宋_GBK" w:cs="方正仿宋_GBK"/>
          <w:color w:val="auto"/>
          <w:spacing w:val="-6"/>
          <w:sz w:val="32"/>
          <w:szCs w:val="32"/>
          <w:highlight w:val="none"/>
          <w:u w:val="none" w:color="auto"/>
          <w:lang w:val="en-US" w:eastAsia="zh-CN"/>
        </w:rPr>
        <w:t>落实“四个一批”要求，盘活利用效益低、带动能力弱的扶贫资产，发展壮大村集体经济。2024年经营性扶贫资产项目</w:t>
      </w:r>
      <w:r>
        <w:rPr>
          <w:rFonts w:hint="eastAsia" w:ascii="方正仿宋_GBK" w:hAnsi="方正仿宋_GBK" w:eastAsia="方正仿宋_GBK" w:cs="方正仿宋_GBK"/>
          <w:b w:val="0"/>
          <w:bCs w:val="0"/>
          <w:color w:val="auto"/>
          <w:spacing w:val="-6"/>
          <w:w w:val="100"/>
          <w:kern w:val="0"/>
          <w:sz w:val="32"/>
          <w:szCs w:val="32"/>
          <w:highlight w:val="none"/>
          <w:u w:val="none" w:color="auto"/>
          <w:lang w:val="en-US" w:eastAsia="zh-CN"/>
        </w:rPr>
        <w:t>预计收益1538、4569万元，较2023年增加84、9129万元。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b/>
          <w:bCs/>
          <w:color w:val="auto"/>
          <w:spacing w:val="-6"/>
          <w:kern w:val="2"/>
          <w:sz w:val="32"/>
          <w:szCs w:val="32"/>
          <w:highlight w:val="none"/>
          <w:rtl w:val="0"/>
          <w:lang w:val="en-US" w:eastAsia="zh-CN" w:bidi="ar-SA"/>
        </w:rPr>
      </w:pPr>
      <w:r>
        <w:rPr>
          <w:rFonts w:hint="eastAsia" w:ascii="方正仿宋_GBK" w:hAnsi="方正仿宋_GBK" w:eastAsia="方正仿宋_GBK" w:cs="方正仿宋_GBK"/>
          <w:b w:val="0"/>
          <w:bCs w:val="0"/>
          <w:color w:val="auto"/>
          <w:spacing w:val="-6"/>
          <w:sz w:val="32"/>
          <w:szCs w:val="32"/>
          <w:highlight w:val="none"/>
          <w:rtl w:val="0"/>
          <w:lang w:val="en-US" w:eastAsia="zh-CN"/>
        </w:rPr>
        <w:t>9、推动农业绿色优质高效。</w:t>
      </w:r>
      <w:r>
        <w:rPr>
          <w:rFonts w:hint="eastAsia" w:ascii="方正仿宋_GBK" w:hAnsi="方正仿宋_GBK" w:eastAsia="方正仿宋_GBK" w:cs="方正仿宋_GBK"/>
          <w:color w:val="auto"/>
          <w:spacing w:val="-6"/>
          <w:sz w:val="32"/>
          <w:szCs w:val="32"/>
          <w:highlight w:val="none"/>
          <w:u w:val="none" w:color="auto"/>
          <w:lang w:val="en-US" w:eastAsia="zh-CN"/>
        </w:rPr>
        <w:t>落实农药化肥减量增效、盐碱地改良等沃土措施，农药同比减少3、51吨、同比下降2、46%，化肥减量21吨、同比下降0、1%。开展盐地碱蓬、耐盐碱油菜种植，推广加厚地膜56、31万亩，残膜回收率达85、47%。加强“三品一标”创建，申报绿色有机农产品2家、完成农产品溯源追溯企业22家、产品10余种。开展农作物秸秆综合利用，预计收集农作物秸秆59、84万吨，综合利用量达55、04万吨，综合利用率达到92、7%。</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color w:val="auto"/>
          <w:spacing w:val="-6"/>
          <w:sz w:val="32"/>
          <w:szCs w:val="32"/>
          <w:highlight w:val="none"/>
          <w:u w:val="none" w:color="auto"/>
          <w:lang w:val="en-US" w:eastAsia="zh-CN"/>
        </w:rPr>
      </w:pPr>
      <w:r>
        <w:rPr>
          <w:rFonts w:hint="eastAsia" w:ascii="方正仿宋_GBK" w:hAnsi="方正仿宋_GBK" w:eastAsia="方正仿宋_GBK" w:cs="方正仿宋_GBK"/>
          <w:b w:val="0"/>
          <w:bCs w:val="0"/>
          <w:color w:val="auto"/>
          <w:spacing w:val="-6"/>
          <w:sz w:val="32"/>
          <w:szCs w:val="32"/>
          <w:highlight w:val="none"/>
          <w:rtl w:val="0"/>
          <w:lang w:val="en-US" w:eastAsia="zh-CN"/>
        </w:rPr>
        <w:t>10、强化农业科技支撑。</w:t>
      </w:r>
      <w:r>
        <w:rPr>
          <w:rFonts w:hint="eastAsia" w:ascii="方正仿宋_GBK" w:hAnsi="方正仿宋_GBK" w:eastAsia="方正仿宋_GBK" w:cs="方正仿宋_GBK"/>
          <w:color w:val="auto"/>
          <w:spacing w:val="-6"/>
          <w:sz w:val="32"/>
          <w:szCs w:val="32"/>
          <w:highlight w:val="none"/>
          <w:u w:val="none" w:color="auto"/>
          <w:lang w:val="en-US" w:eastAsia="zh-CN"/>
        </w:rPr>
        <w:t>加快小麦水肥一体化、玉米密植栽培、棉花干播湿出、化控等主推技术推广，小麦、玉米、棉花主要农作物良种实现全覆盖。完成多浪羊基因组测序，群体平均产羔率由初期的107%上升至150%，多胎基因杂合子母羊产羔率达202%。推广北斗导航播种机、农用无人机、分流式整地机等新机具，扩大农机社会化服务覆盖面，推动农作物耕种收机械化率达到88、1%。</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b/>
          <w:bCs/>
          <w:color w:val="auto"/>
          <w:spacing w:val="-6"/>
          <w:kern w:val="2"/>
          <w:sz w:val="32"/>
          <w:szCs w:val="32"/>
          <w:highlight w:val="none"/>
          <w:rtl w:val="0"/>
          <w:lang w:val="en-US" w:eastAsia="zh-CN" w:bidi="ar-SA"/>
        </w:rPr>
      </w:pPr>
      <w:r>
        <w:rPr>
          <w:rFonts w:hint="eastAsia" w:ascii="方正仿宋_GBK" w:hAnsi="方正仿宋_GBK" w:eastAsia="方正仿宋_GBK" w:cs="方正仿宋_GBK"/>
          <w:b w:val="0"/>
          <w:bCs w:val="0"/>
          <w:color w:val="auto"/>
          <w:spacing w:val="-6"/>
          <w:sz w:val="32"/>
          <w:szCs w:val="32"/>
          <w:highlight w:val="none"/>
          <w:rtl w:val="0"/>
          <w:lang w:val="en-US" w:eastAsia="zh-CN"/>
        </w:rPr>
        <w:t>11、严格农产品质量安全监测。</w:t>
      </w:r>
      <w:r>
        <w:rPr>
          <w:rFonts w:hint="eastAsia" w:ascii="方正仿宋_GBK" w:hAnsi="方正仿宋_GBK" w:eastAsia="方正仿宋_GBK" w:cs="方正仿宋_GBK"/>
          <w:color w:val="auto"/>
          <w:spacing w:val="-6"/>
          <w:sz w:val="32"/>
          <w:szCs w:val="32"/>
          <w:highlight w:val="none"/>
          <w:u w:val="none" w:color="auto"/>
          <w:rtl w:val="0"/>
          <w:lang w:val="en-US" w:eastAsia="zh-CN"/>
        </w:rPr>
        <w:t>投入260万元持续补齐检验检测中心设备、环境等短板弱项，通过自治区评审考核，获得检测参数能力154个，顺利通过自治区农产品质量安全检测机构能力验证。坚持检测和监督抽查相结合抽检方式，累计抽检463批次，其中：监督抽查250批次、合格率达99、6%，例行监测213批次、合格率达99、53%；</w:t>
      </w:r>
      <w:r>
        <w:rPr>
          <w:rFonts w:hint="eastAsia" w:ascii="方正仿宋_GBK" w:hAnsi="方正仿宋_GBK" w:eastAsia="方正仿宋_GBK" w:cs="方正仿宋_GBK"/>
          <w:b w:val="0"/>
          <w:bCs w:val="0"/>
          <w:color w:val="auto"/>
          <w:spacing w:val="-6"/>
          <w:sz w:val="32"/>
          <w:szCs w:val="32"/>
          <w:rtl w:val="0"/>
          <w:lang w:val="en-US" w:eastAsia="zh-CN"/>
        </w:rPr>
        <w:t>快速检测任务10800批次，已完成11046批次，完成率102、2％。</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color w:val="auto"/>
          <w:spacing w:val="-6"/>
          <w:sz w:val="32"/>
          <w:szCs w:val="32"/>
          <w:highlight w:val="none"/>
          <w:u w:val="none" w:color="auto"/>
          <w:rtl w:val="0"/>
          <w:lang w:val="en-US" w:eastAsia="zh-CN"/>
        </w:rPr>
      </w:pPr>
      <w:r>
        <w:rPr>
          <w:rFonts w:hint="eastAsia" w:ascii="方正仿宋_GBK" w:hAnsi="方正仿宋_GBK" w:eastAsia="方正仿宋_GBK" w:cs="方正仿宋_GBK"/>
          <w:b w:val="0"/>
          <w:bCs w:val="0"/>
          <w:color w:val="auto"/>
          <w:spacing w:val="-6"/>
          <w:sz w:val="32"/>
          <w:szCs w:val="32"/>
          <w:highlight w:val="none"/>
          <w:rtl w:val="0"/>
          <w:lang w:val="en-US" w:eastAsia="zh-CN"/>
        </w:rPr>
        <w:t>12、依法开展农业综合行政执法。</w:t>
      </w:r>
      <w:r>
        <w:rPr>
          <w:rFonts w:hint="eastAsia" w:ascii="方正仿宋_GBK" w:hAnsi="方正仿宋_GBK" w:eastAsia="方正仿宋_GBK" w:cs="方正仿宋_GBK"/>
          <w:b w:val="0"/>
          <w:bCs w:val="0"/>
          <w:color w:val="auto"/>
          <w:spacing w:val="-6"/>
          <w:sz w:val="32"/>
          <w:szCs w:val="32"/>
          <w:rtl w:val="0"/>
          <w:lang w:val="en-US" w:eastAsia="zh-CN"/>
        </w:rPr>
        <w:t>加强农业综合行政执法力度，共立案161起，结案133起，行政处罚21、22万元，没收违法所得0、15万元，没收违法财物货值0、23万元，为农业农村经济高质量发展保驾护航。</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autoSpaceDE/>
        <w:autoSpaceDN/>
        <w:bidi w:val="0"/>
        <w:adjustRightInd w:val="0"/>
        <w:snapToGrid w:val="0"/>
        <w:spacing w:beforeAutospacing="0" w:afterAutospacing="0" w:line="570" w:lineRule="exact"/>
        <w:ind w:left="0" w:firstLine="616" w:firstLineChars="200"/>
        <w:jc w:val="both"/>
        <w:textAlignment w:val="top"/>
        <w:outlineLvl w:val="9"/>
        <w:rPr>
          <w:rFonts w:hint="eastAsia" w:ascii="方正仿宋_GBK" w:hAnsi="方正仿宋_GBK" w:eastAsia="方正仿宋_GBK" w:cs="方正仿宋_GBK"/>
          <w:color w:val="auto"/>
          <w:spacing w:val="-6"/>
          <w:sz w:val="32"/>
          <w:szCs w:val="32"/>
          <w:highlight w:val="none"/>
          <w:u w:val="none" w:color="auto"/>
          <w:rtl w:val="0"/>
          <w:lang w:val="en-US" w:eastAsia="zh-CN"/>
        </w:rPr>
      </w:pPr>
      <w:r>
        <w:rPr>
          <w:rFonts w:hint="eastAsia" w:ascii="方正仿宋_GBK" w:hAnsi="方正仿宋_GBK" w:eastAsia="方正仿宋_GBK" w:cs="方正仿宋_GBK"/>
          <w:b w:val="0"/>
          <w:bCs w:val="0"/>
          <w:color w:val="auto"/>
          <w:spacing w:val="-6"/>
          <w:sz w:val="32"/>
          <w:szCs w:val="32"/>
          <w:highlight w:val="none"/>
          <w:rtl w:val="0"/>
          <w:lang w:val="en-US" w:eastAsia="zh-CN"/>
        </w:rPr>
        <w:t>13、加快第三次全国土壤普查。</w:t>
      </w:r>
      <w:r>
        <w:rPr>
          <w:rFonts w:hint="eastAsia" w:ascii="方正仿宋_GBK" w:hAnsi="方正仿宋_GBK" w:eastAsia="方正仿宋_GBK" w:cs="方正仿宋_GBK"/>
          <w:color w:val="auto"/>
          <w:spacing w:val="-6"/>
          <w:sz w:val="32"/>
          <w:szCs w:val="32"/>
          <w:highlight w:val="none"/>
          <w:u w:val="none" w:color="auto"/>
          <w:rtl w:val="0"/>
          <w:lang w:val="en-US" w:eastAsia="zh-CN"/>
        </w:rPr>
        <w:t>麦盖提县第三次全国土壤普查工作累积普查点位1645个，其中盐碱地普查点位1254个，全面铺开普查点位391个，普查样点已全部采集、流转、制备完毕。土壤普查预算资金437、39万元，资金支付率100%。</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Cs w:val="0"/>
          <w:spacing w:val="-4"/>
          <w:sz w:val="32"/>
          <w:szCs w:val="32"/>
        </w:rPr>
      </w:pPr>
      <w:r>
        <w:rPr>
          <w:rStyle w:val="12"/>
          <w:rFonts w:hint="eastAsia" w:ascii="方正仿宋_GBK" w:hAnsi="方正仿宋_GBK" w:eastAsia="方正仿宋_GBK" w:cs="方正仿宋_GBK"/>
          <w:bCs w:val="0"/>
          <w:spacing w:val="-4"/>
          <w:sz w:val="32"/>
          <w:szCs w:val="32"/>
          <w:lang w:eastAsia="zh-CN"/>
        </w:rPr>
        <w:t>（</w:t>
      </w:r>
      <w:r>
        <w:rPr>
          <w:rStyle w:val="12"/>
          <w:rFonts w:hint="eastAsia" w:ascii="方正仿宋_GBK" w:hAnsi="方正仿宋_GBK" w:eastAsia="方正仿宋_GBK" w:cs="方正仿宋_GBK"/>
          <w:bCs w:val="0"/>
          <w:spacing w:val="-4"/>
          <w:sz w:val="32"/>
          <w:szCs w:val="32"/>
        </w:rPr>
        <w:t>三</w:t>
      </w:r>
      <w:r>
        <w:rPr>
          <w:rStyle w:val="12"/>
          <w:rFonts w:hint="eastAsia" w:ascii="方正仿宋_GBK" w:hAnsi="方正仿宋_GBK" w:eastAsia="方正仿宋_GBK" w:cs="方正仿宋_GBK"/>
          <w:bCs w:val="0"/>
          <w:spacing w:val="-4"/>
          <w:sz w:val="32"/>
          <w:szCs w:val="32"/>
          <w:lang w:eastAsia="zh-CN"/>
        </w:rPr>
        <w:t>）</w:t>
      </w:r>
      <w:r>
        <w:rPr>
          <w:rStyle w:val="12"/>
          <w:rFonts w:hint="eastAsia" w:ascii="方正仿宋_GBK" w:hAnsi="方正仿宋_GBK" w:eastAsia="方正仿宋_GBK" w:cs="方正仿宋_GBK"/>
          <w:bCs w:val="0"/>
          <w:spacing w:val="-4"/>
          <w:sz w:val="32"/>
          <w:szCs w:val="32"/>
        </w:rPr>
        <w:t>部门单位整体预算规模及安排情况</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spacing w:val="-4"/>
          <w:sz w:val="32"/>
          <w:szCs w:val="32"/>
        </w:rPr>
      </w:pPr>
      <w:r>
        <w:rPr>
          <w:rStyle w:val="12"/>
          <w:rFonts w:hint="eastAsia" w:ascii="方正仿宋_GBK" w:hAnsi="方正仿宋_GBK" w:eastAsia="方正仿宋_GBK" w:cs="方正仿宋_GBK"/>
          <w:spacing w:val="-4"/>
          <w:sz w:val="32"/>
          <w:szCs w:val="32"/>
        </w:rPr>
        <w:t>1</w:t>
      </w: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spacing w:val="-4"/>
          <w:sz w:val="32"/>
          <w:szCs w:val="32"/>
        </w:rPr>
        <w:t>年初预算安排情况</w:t>
      </w:r>
    </w:p>
    <w:p>
      <w:pPr>
        <w:pStyle w:val="17"/>
        <w:keepNext w:val="0"/>
        <w:keepLines w:val="0"/>
        <w:pageBreakBefore w:val="0"/>
        <w:kinsoku/>
        <w:wordWrap/>
        <w:overflowPunct/>
        <w:topLinePunct w:val="0"/>
        <w:autoSpaceDE/>
        <w:autoSpaceDN/>
        <w:bidi w:val="0"/>
        <w:adjustRightInd/>
        <w:snapToGrid w:val="0"/>
        <w:spacing w:beforeAutospacing="0" w:afterAutospacing="0" w:line="570" w:lineRule="exact"/>
        <w:ind w:left="0" w:firstLine="640" w:firstLineChars="200"/>
        <w:jc w:val="both"/>
        <w:rPr>
          <w:rStyle w:val="12"/>
          <w:rFonts w:hint="eastAsia" w:ascii="方正仿宋_GBK" w:hAnsi="方正仿宋_GBK" w:eastAsia="方正仿宋_GBK" w:cs="方正仿宋_GBK"/>
          <w:b w:val="0"/>
          <w:sz w:val="32"/>
          <w:szCs w:val="32"/>
          <w:highlight w:val="none"/>
          <w:lang w:eastAsia="zh-CN" w:bidi="ar"/>
        </w:rPr>
      </w:pPr>
      <w:r>
        <w:rPr>
          <w:rStyle w:val="12"/>
          <w:rFonts w:hint="eastAsia" w:ascii="方正仿宋_GBK" w:hAnsi="方正仿宋_GBK" w:eastAsia="方正仿宋_GBK" w:cs="方正仿宋_GBK"/>
          <w:b w:val="0"/>
          <w:sz w:val="32"/>
          <w:szCs w:val="32"/>
          <w:lang w:bidi="ar"/>
        </w:rPr>
        <w:t>我单位年</w:t>
      </w:r>
      <w:r>
        <w:rPr>
          <w:rStyle w:val="12"/>
          <w:rFonts w:hint="eastAsia" w:ascii="方正仿宋_GBK" w:hAnsi="方正仿宋_GBK" w:eastAsia="方正仿宋_GBK" w:cs="方正仿宋_GBK"/>
          <w:b w:val="0"/>
          <w:sz w:val="32"/>
          <w:szCs w:val="32"/>
          <w:highlight w:val="none"/>
          <w:lang w:bidi="ar"/>
        </w:rPr>
        <w:t>初预算数为</w:t>
      </w:r>
      <w:r>
        <w:rPr>
          <w:rStyle w:val="12"/>
          <w:rFonts w:hint="eastAsia" w:ascii="方正仿宋_GBK" w:hAnsi="方正仿宋_GBK" w:eastAsia="方正仿宋_GBK" w:cs="方正仿宋_GBK"/>
          <w:b w:val="0"/>
          <w:sz w:val="32"/>
          <w:szCs w:val="32"/>
          <w:highlight w:val="none"/>
          <w:lang w:val="en-US" w:eastAsia="zh-CN" w:bidi="ar"/>
        </w:rPr>
        <w:t>27347、15</w:t>
      </w:r>
      <w:r>
        <w:rPr>
          <w:rStyle w:val="12"/>
          <w:rFonts w:hint="eastAsia" w:ascii="方正仿宋_GBK" w:hAnsi="方正仿宋_GBK" w:eastAsia="方正仿宋_GBK" w:cs="方正仿宋_GBK"/>
          <w:b w:val="0"/>
          <w:sz w:val="32"/>
          <w:szCs w:val="32"/>
          <w:highlight w:val="none"/>
          <w:lang w:bidi="ar"/>
        </w:rPr>
        <w:t>万元，实际预算执行数</w:t>
      </w:r>
      <w:r>
        <w:rPr>
          <w:rStyle w:val="12"/>
          <w:rFonts w:hint="eastAsia" w:ascii="方正仿宋_GBK" w:hAnsi="方正仿宋_GBK" w:eastAsia="方正仿宋_GBK" w:cs="方正仿宋_GBK"/>
          <w:b w:val="0"/>
          <w:sz w:val="32"/>
          <w:szCs w:val="32"/>
          <w:highlight w:val="none"/>
          <w:lang w:val="en-US" w:eastAsia="zh-CN" w:bidi="ar"/>
        </w:rPr>
        <w:t>26423、87</w:t>
      </w:r>
      <w:r>
        <w:rPr>
          <w:rStyle w:val="12"/>
          <w:rFonts w:hint="eastAsia" w:ascii="方正仿宋_GBK" w:hAnsi="方正仿宋_GBK" w:eastAsia="方正仿宋_GBK" w:cs="方正仿宋_GBK"/>
          <w:b w:val="0"/>
          <w:sz w:val="32"/>
          <w:szCs w:val="32"/>
          <w:highlight w:val="none"/>
          <w:lang w:bidi="ar"/>
        </w:rPr>
        <w:t>万元，预算执行率为</w:t>
      </w:r>
      <w:r>
        <w:rPr>
          <w:rStyle w:val="12"/>
          <w:rFonts w:hint="eastAsia" w:ascii="方正仿宋_GBK" w:hAnsi="方正仿宋_GBK" w:eastAsia="方正仿宋_GBK" w:cs="方正仿宋_GBK"/>
          <w:b w:val="0"/>
          <w:sz w:val="32"/>
          <w:szCs w:val="32"/>
          <w:highlight w:val="none"/>
          <w:lang w:val="en-US" w:eastAsia="zh-CN" w:bidi="ar"/>
        </w:rPr>
        <w:t>96、62</w:t>
      </w:r>
      <w:r>
        <w:rPr>
          <w:rStyle w:val="12"/>
          <w:rFonts w:hint="eastAsia" w:ascii="方正仿宋_GBK" w:hAnsi="方正仿宋_GBK" w:eastAsia="方正仿宋_GBK" w:cs="方正仿宋_GBK"/>
          <w:b w:val="0"/>
          <w:sz w:val="32"/>
          <w:szCs w:val="32"/>
          <w:highlight w:val="none"/>
          <w:lang w:bidi="ar"/>
        </w:rPr>
        <w:t>%。</w:t>
      </w:r>
      <w:r>
        <w:rPr>
          <w:rStyle w:val="12"/>
          <w:rFonts w:hint="eastAsia" w:ascii="方正仿宋_GBK" w:hAnsi="方正仿宋_GBK" w:eastAsia="方正仿宋_GBK" w:cs="方正仿宋_GBK"/>
          <w:b w:val="0"/>
          <w:sz w:val="32"/>
          <w:szCs w:val="32"/>
          <w:highlight w:val="none"/>
          <w:lang w:val="en-US" w:eastAsia="zh-CN" w:bidi="ar"/>
        </w:rPr>
        <w:t>其中，基本支出</w:t>
      </w:r>
      <w:r>
        <w:rPr>
          <w:rStyle w:val="12"/>
          <w:rFonts w:hint="eastAsia" w:ascii="方正仿宋_GBK" w:hAnsi="方正仿宋_GBK" w:eastAsia="方正仿宋_GBK" w:cs="方正仿宋_GBK"/>
          <w:b w:val="0"/>
          <w:sz w:val="32"/>
          <w:szCs w:val="32"/>
          <w:highlight w:val="none"/>
          <w:lang w:bidi="ar"/>
        </w:rPr>
        <w:t>年初预算数为</w:t>
      </w:r>
      <w:r>
        <w:rPr>
          <w:rStyle w:val="12"/>
          <w:rFonts w:hint="eastAsia" w:ascii="方正仿宋_GBK" w:hAnsi="方正仿宋_GBK" w:eastAsia="方正仿宋_GBK" w:cs="方正仿宋_GBK"/>
          <w:b w:val="0"/>
          <w:sz w:val="32"/>
          <w:szCs w:val="32"/>
          <w:highlight w:val="none"/>
          <w:lang w:val="en-US" w:eastAsia="zh-CN" w:bidi="ar"/>
        </w:rPr>
        <w:t>2336、22</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z w:val="32"/>
          <w:szCs w:val="32"/>
          <w:highlight w:val="none"/>
          <w:lang w:val="en-US" w:eastAsia="zh-CN" w:bidi="ar"/>
        </w:rPr>
        <w:t>基本支出</w:t>
      </w:r>
      <w:r>
        <w:rPr>
          <w:rStyle w:val="12"/>
          <w:rFonts w:hint="eastAsia" w:ascii="方正仿宋_GBK" w:hAnsi="方正仿宋_GBK" w:eastAsia="方正仿宋_GBK" w:cs="方正仿宋_GBK"/>
          <w:b w:val="0"/>
          <w:sz w:val="32"/>
          <w:szCs w:val="32"/>
          <w:highlight w:val="none"/>
          <w:lang w:eastAsia="zh-CN" w:bidi="ar"/>
        </w:rPr>
        <w:t>年初</w:t>
      </w:r>
      <w:r>
        <w:rPr>
          <w:rStyle w:val="12"/>
          <w:rFonts w:hint="eastAsia" w:ascii="方正仿宋_GBK" w:hAnsi="方正仿宋_GBK" w:eastAsia="方正仿宋_GBK" w:cs="方正仿宋_GBK"/>
          <w:b w:val="0"/>
          <w:sz w:val="32"/>
          <w:szCs w:val="32"/>
          <w:highlight w:val="none"/>
          <w:lang w:bidi="ar"/>
        </w:rPr>
        <w:t>预算执行数</w:t>
      </w:r>
      <w:r>
        <w:rPr>
          <w:rStyle w:val="12"/>
          <w:rFonts w:hint="eastAsia" w:ascii="方正仿宋_GBK" w:hAnsi="方正仿宋_GBK" w:eastAsia="方正仿宋_GBK" w:cs="方正仿宋_GBK"/>
          <w:b w:val="0"/>
          <w:sz w:val="32"/>
          <w:szCs w:val="32"/>
          <w:highlight w:val="none"/>
          <w:lang w:val="en-US" w:eastAsia="zh-CN" w:bidi="ar"/>
        </w:rPr>
        <w:t>2267、88</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z w:val="32"/>
          <w:szCs w:val="32"/>
          <w:highlight w:val="none"/>
          <w:lang w:val="en-US" w:eastAsia="zh-CN" w:bidi="ar"/>
        </w:rPr>
        <w:t>基本支出</w:t>
      </w:r>
      <w:r>
        <w:rPr>
          <w:rStyle w:val="12"/>
          <w:rFonts w:hint="eastAsia" w:ascii="方正仿宋_GBK" w:hAnsi="方正仿宋_GBK" w:eastAsia="方正仿宋_GBK" w:cs="方正仿宋_GBK"/>
          <w:b w:val="0"/>
          <w:sz w:val="32"/>
          <w:szCs w:val="32"/>
          <w:highlight w:val="none"/>
          <w:lang w:bidi="ar"/>
        </w:rPr>
        <w:t>预算执行率为</w:t>
      </w:r>
      <w:r>
        <w:rPr>
          <w:rStyle w:val="12"/>
          <w:rFonts w:hint="eastAsia" w:ascii="方正仿宋_GBK" w:hAnsi="方正仿宋_GBK" w:eastAsia="方正仿宋_GBK" w:cs="方正仿宋_GBK"/>
          <w:b w:val="0"/>
          <w:sz w:val="32"/>
          <w:szCs w:val="32"/>
          <w:highlight w:val="none"/>
          <w:lang w:val="en-US" w:eastAsia="zh-CN" w:bidi="ar"/>
        </w:rPr>
        <w:t>97、07</w:t>
      </w:r>
      <w:r>
        <w:rPr>
          <w:rStyle w:val="12"/>
          <w:rFonts w:hint="eastAsia" w:ascii="方正仿宋_GBK" w:hAnsi="方正仿宋_GBK" w:eastAsia="方正仿宋_GBK" w:cs="方正仿宋_GBK"/>
          <w:b w:val="0"/>
          <w:sz w:val="32"/>
          <w:szCs w:val="32"/>
          <w:highlight w:val="none"/>
          <w:lang w:bidi="ar"/>
        </w:rPr>
        <w:t>%</w:t>
      </w:r>
      <w:r>
        <w:rPr>
          <w:rStyle w:val="12"/>
          <w:rFonts w:hint="eastAsia" w:ascii="方正仿宋_GBK" w:hAnsi="方正仿宋_GBK" w:eastAsia="方正仿宋_GBK" w:cs="方正仿宋_GBK"/>
          <w:b w:val="0"/>
          <w:sz w:val="32"/>
          <w:szCs w:val="32"/>
          <w:highlight w:val="none"/>
          <w:lang w:eastAsia="zh-CN" w:bidi="ar"/>
        </w:rPr>
        <w:t>；</w:t>
      </w:r>
      <w:r>
        <w:rPr>
          <w:rStyle w:val="12"/>
          <w:rFonts w:hint="eastAsia" w:ascii="方正仿宋_GBK" w:hAnsi="方正仿宋_GBK" w:eastAsia="方正仿宋_GBK" w:cs="方正仿宋_GBK"/>
          <w:b w:val="0"/>
          <w:sz w:val="32"/>
          <w:szCs w:val="32"/>
          <w:highlight w:val="none"/>
          <w:lang w:val="en-US" w:eastAsia="zh-CN" w:bidi="ar"/>
        </w:rPr>
        <w:t>项目支出</w:t>
      </w:r>
      <w:r>
        <w:rPr>
          <w:rStyle w:val="12"/>
          <w:rFonts w:hint="eastAsia" w:ascii="方正仿宋_GBK" w:hAnsi="方正仿宋_GBK" w:eastAsia="方正仿宋_GBK" w:cs="方正仿宋_GBK"/>
          <w:b w:val="0"/>
          <w:sz w:val="32"/>
          <w:szCs w:val="32"/>
          <w:highlight w:val="none"/>
          <w:lang w:bidi="ar"/>
        </w:rPr>
        <w:t>年初预算数为</w:t>
      </w:r>
      <w:r>
        <w:rPr>
          <w:rStyle w:val="12"/>
          <w:rFonts w:hint="eastAsia" w:ascii="方正仿宋_GBK" w:hAnsi="方正仿宋_GBK" w:eastAsia="方正仿宋_GBK" w:cs="方正仿宋_GBK"/>
          <w:b w:val="0"/>
          <w:sz w:val="32"/>
          <w:szCs w:val="32"/>
          <w:highlight w:val="none"/>
          <w:lang w:val="en-US" w:eastAsia="zh-CN" w:bidi="ar"/>
        </w:rPr>
        <w:t>25010、93</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z w:val="32"/>
          <w:szCs w:val="32"/>
          <w:highlight w:val="none"/>
          <w:lang w:val="en-US" w:eastAsia="zh-CN" w:bidi="ar"/>
        </w:rPr>
        <w:t>项目支出年初</w:t>
      </w:r>
      <w:r>
        <w:rPr>
          <w:rStyle w:val="12"/>
          <w:rFonts w:hint="eastAsia" w:ascii="方正仿宋_GBK" w:hAnsi="方正仿宋_GBK" w:eastAsia="方正仿宋_GBK" w:cs="方正仿宋_GBK"/>
          <w:b w:val="0"/>
          <w:sz w:val="32"/>
          <w:szCs w:val="32"/>
          <w:highlight w:val="none"/>
          <w:lang w:bidi="ar"/>
        </w:rPr>
        <w:t>预算执行数</w:t>
      </w:r>
      <w:r>
        <w:rPr>
          <w:rStyle w:val="12"/>
          <w:rFonts w:hint="eastAsia" w:ascii="方正仿宋_GBK" w:hAnsi="方正仿宋_GBK" w:eastAsia="方正仿宋_GBK" w:cs="方正仿宋_GBK"/>
          <w:b w:val="0"/>
          <w:sz w:val="32"/>
          <w:szCs w:val="32"/>
          <w:highlight w:val="none"/>
          <w:lang w:val="en-US" w:eastAsia="zh-CN" w:bidi="ar"/>
        </w:rPr>
        <w:t>24155、99</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z w:val="32"/>
          <w:szCs w:val="32"/>
          <w:highlight w:val="none"/>
          <w:lang w:val="en-US" w:eastAsia="zh-CN" w:bidi="ar"/>
        </w:rPr>
        <w:t>项目支出</w:t>
      </w:r>
      <w:r>
        <w:rPr>
          <w:rStyle w:val="12"/>
          <w:rFonts w:hint="eastAsia" w:ascii="方正仿宋_GBK" w:hAnsi="方正仿宋_GBK" w:eastAsia="方正仿宋_GBK" w:cs="方正仿宋_GBK"/>
          <w:b w:val="0"/>
          <w:sz w:val="32"/>
          <w:szCs w:val="32"/>
          <w:highlight w:val="none"/>
          <w:lang w:bidi="ar"/>
        </w:rPr>
        <w:t>预算执行率为</w:t>
      </w:r>
      <w:r>
        <w:rPr>
          <w:rStyle w:val="12"/>
          <w:rFonts w:hint="eastAsia" w:ascii="方正仿宋_GBK" w:hAnsi="方正仿宋_GBK" w:eastAsia="方正仿宋_GBK" w:cs="方正仿宋_GBK"/>
          <w:b w:val="0"/>
          <w:sz w:val="32"/>
          <w:szCs w:val="32"/>
          <w:highlight w:val="none"/>
          <w:lang w:val="en-US" w:eastAsia="zh-CN" w:bidi="ar"/>
        </w:rPr>
        <w:t>96、58</w:t>
      </w:r>
      <w:r>
        <w:rPr>
          <w:rStyle w:val="12"/>
          <w:rFonts w:hint="eastAsia" w:ascii="方正仿宋_GBK" w:hAnsi="方正仿宋_GBK" w:eastAsia="方正仿宋_GBK" w:cs="方正仿宋_GBK"/>
          <w:b w:val="0"/>
          <w:sz w:val="32"/>
          <w:szCs w:val="32"/>
          <w:highlight w:val="none"/>
          <w:lang w:bidi="ar"/>
        </w:rPr>
        <w:t>%</w:t>
      </w:r>
      <w:r>
        <w:rPr>
          <w:rStyle w:val="12"/>
          <w:rFonts w:hint="eastAsia" w:ascii="方正仿宋_GBK" w:hAnsi="方正仿宋_GBK" w:eastAsia="方正仿宋_GBK" w:cs="方正仿宋_GBK"/>
          <w:b w:val="0"/>
          <w:sz w:val="32"/>
          <w:szCs w:val="32"/>
          <w:highlight w:val="none"/>
          <w:lang w:eastAsia="zh-CN" w:bidi="ar"/>
        </w:rPr>
        <w:t>；</w:t>
      </w:r>
    </w:p>
    <w:p>
      <w:pPr>
        <w:pStyle w:val="17"/>
        <w:keepNext w:val="0"/>
        <w:keepLines w:val="0"/>
        <w:pageBreakBefore w:val="0"/>
        <w:kinsoku/>
        <w:wordWrap/>
        <w:overflowPunct/>
        <w:topLinePunct w:val="0"/>
        <w:autoSpaceDE/>
        <w:autoSpaceDN/>
        <w:bidi w:val="0"/>
        <w:adjustRightInd/>
        <w:snapToGrid w:val="0"/>
        <w:spacing w:beforeAutospacing="0" w:afterAutospacing="0" w:line="570" w:lineRule="exact"/>
        <w:ind w:left="0" w:firstLine="640" w:firstLineChars="200"/>
        <w:jc w:val="both"/>
        <w:rPr>
          <w:rStyle w:val="12"/>
          <w:rFonts w:hint="eastAsia" w:ascii="方正仿宋_GBK" w:hAnsi="方正仿宋_GBK" w:eastAsia="方正仿宋_GBK" w:cs="方正仿宋_GBK"/>
          <w:b w:val="0"/>
          <w:sz w:val="32"/>
          <w:szCs w:val="32"/>
          <w:highlight w:val="none"/>
          <w:lang w:bidi="ar"/>
        </w:rPr>
      </w:pPr>
      <w:r>
        <w:rPr>
          <w:rStyle w:val="12"/>
          <w:rFonts w:hint="eastAsia" w:ascii="方正仿宋_GBK" w:hAnsi="方正仿宋_GBK" w:eastAsia="方正仿宋_GBK" w:cs="方正仿宋_GBK"/>
          <w:b w:val="0"/>
          <w:sz w:val="32"/>
          <w:szCs w:val="32"/>
          <w:highlight w:val="none"/>
          <w:lang w:bidi="ar"/>
        </w:rPr>
        <w:t>综上所述，部门预算安排与单位职能关联度较高，预算安排结构清晰明了，能够直观展示各项费用的分配情况，预算规模合理，为单位的稳健发展和高效运行提供了有力保障。</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spacing w:val="-4"/>
          <w:sz w:val="32"/>
          <w:szCs w:val="32"/>
          <w:highlight w:val="none"/>
        </w:rPr>
      </w:pPr>
      <w:r>
        <w:rPr>
          <w:rStyle w:val="12"/>
          <w:rFonts w:hint="eastAsia" w:ascii="方正仿宋_GBK" w:hAnsi="方正仿宋_GBK" w:eastAsia="方正仿宋_GBK" w:cs="方正仿宋_GBK"/>
          <w:spacing w:val="-4"/>
          <w:sz w:val="32"/>
          <w:szCs w:val="32"/>
          <w:highlight w:val="none"/>
        </w:rPr>
        <w:t>2</w:t>
      </w:r>
      <w:r>
        <w:rPr>
          <w:rStyle w:val="12"/>
          <w:rFonts w:hint="eastAsia" w:ascii="方正仿宋_GBK" w:hAnsi="方正仿宋_GBK" w:eastAsia="方正仿宋_GBK" w:cs="方正仿宋_GBK"/>
          <w:spacing w:val="-4"/>
          <w:sz w:val="32"/>
          <w:szCs w:val="32"/>
          <w:highlight w:val="none"/>
          <w:lang w:eastAsia="zh-CN"/>
        </w:rPr>
        <w:t>、</w:t>
      </w:r>
      <w:r>
        <w:rPr>
          <w:rStyle w:val="12"/>
          <w:rFonts w:hint="eastAsia" w:ascii="方正仿宋_GBK" w:hAnsi="方正仿宋_GBK" w:eastAsia="方正仿宋_GBK" w:cs="方正仿宋_GBK"/>
          <w:spacing w:val="-4"/>
          <w:sz w:val="32"/>
          <w:szCs w:val="32"/>
          <w:highlight w:val="none"/>
        </w:rPr>
        <w:t>预算调整情况</w:t>
      </w:r>
    </w:p>
    <w:p>
      <w:pPr>
        <w:pStyle w:val="17"/>
        <w:keepNext w:val="0"/>
        <w:keepLines w:val="0"/>
        <w:pageBreakBefore w:val="0"/>
        <w:kinsoku/>
        <w:wordWrap/>
        <w:overflowPunct/>
        <w:topLinePunct w:val="0"/>
        <w:autoSpaceDE/>
        <w:autoSpaceDN/>
        <w:bidi w:val="0"/>
        <w:adjustRightInd/>
        <w:snapToGrid w:val="0"/>
        <w:spacing w:beforeAutospacing="0" w:afterAutospacing="0" w:line="570" w:lineRule="exact"/>
        <w:ind w:left="0" w:firstLine="640" w:firstLineChars="200"/>
        <w:jc w:val="both"/>
        <w:rPr>
          <w:rStyle w:val="12"/>
          <w:rFonts w:hint="eastAsia" w:ascii="方正仿宋_GBK" w:hAnsi="方正仿宋_GBK" w:eastAsia="方正仿宋_GBK" w:cs="方正仿宋_GBK"/>
          <w:b w:val="0"/>
          <w:color w:val="FF0000"/>
          <w:sz w:val="32"/>
          <w:szCs w:val="32"/>
          <w:highlight w:val="none"/>
          <w:lang w:bidi="ar"/>
        </w:rPr>
      </w:pPr>
      <w:r>
        <w:rPr>
          <w:rStyle w:val="12"/>
          <w:rFonts w:hint="eastAsia" w:ascii="方正仿宋_GBK" w:hAnsi="方正仿宋_GBK" w:eastAsia="方正仿宋_GBK" w:cs="方正仿宋_GBK"/>
          <w:b w:val="0"/>
          <w:sz w:val="32"/>
          <w:szCs w:val="32"/>
          <w:highlight w:val="none"/>
          <w:lang w:bidi="ar"/>
        </w:rPr>
        <w:t>我单位年初批复预算</w:t>
      </w:r>
      <w:r>
        <w:rPr>
          <w:rStyle w:val="12"/>
          <w:rFonts w:hint="eastAsia" w:ascii="方正仿宋_GBK" w:hAnsi="方正仿宋_GBK" w:eastAsia="方正仿宋_GBK" w:cs="方正仿宋_GBK"/>
          <w:b w:val="0"/>
          <w:sz w:val="32"/>
          <w:szCs w:val="32"/>
          <w:highlight w:val="none"/>
          <w:lang w:eastAsia="zh-CN" w:bidi="ar"/>
        </w:rPr>
        <w:t>金额</w:t>
      </w:r>
      <w:r>
        <w:rPr>
          <w:rStyle w:val="12"/>
          <w:rFonts w:hint="eastAsia" w:ascii="方正仿宋_GBK" w:hAnsi="方正仿宋_GBK" w:eastAsia="方正仿宋_GBK" w:cs="方正仿宋_GBK"/>
          <w:b w:val="0"/>
          <w:sz w:val="32"/>
          <w:szCs w:val="32"/>
          <w:highlight w:val="none"/>
          <w:lang w:val="en-US" w:eastAsia="zh-CN" w:bidi="ar"/>
        </w:rPr>
        <w:t>27347、15</w:t>
      </w:r>
      <w:r>
        <w:rPr>
          <w:rStyle w:val="12"/>
          <w:rFonts w:hint="eastAsia" w:ascii="方正仿宋_GBK" w:hAnsi="方正仿宋_GBK" w:eastAsia="方正仿宋_GBK" w:cs="方正仿宋_GBK"/>
          <w:b w:val="0"/>
          <w:sz w:val="32"/>
          <w:szCs w:val="32"/>
          <w:highlight w:val="none"/>
          <w:lang w:bidi="ar"/>
        </w:rPr>
        <w:t>万元，年中追加资金</w:t>
      </w:r>
      <w:r>
        <w:rPr>
          <w:rStyle w:val="12"/>
          <w:rFonts w:hint="eastAsia" w:ascii="方正仿宋_GBK" w:hAnsi="方正仿宋_GBK" w:eastAsia="方正仿宋_GBK" w:cs="方正仿宋_GBK"/>
          <w:b w:val="0"/>
          <w:sz w:val="32"/>
          <w:szCs w:val="32"/>
          <w:highlight w:val="none"/>
          <w:lang w:val="en-US" w:eastAsia="zh-CN" w:bidi="ar"/>
        </w:rPr>
        <w:t>41529、31</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z w:val="32"/>
          <w:szCs w:val="32"/>
          <w:highlight w:val="none"/>
          <w:lang w:eastAsia="zh-CN" w:bidi="ar"/>
        </w:rPr>
        <w:t>，年中追减资金</w:t>
      </w:r>
      <w:r>
        <w:rPr>
          <w:rStyle w:val="12"/>
          <w:rFonts w:hint="eastAsia" w:ascii="方正仿宋_GBK" w:hAnsi="方正仿宋_GBK" w:eastAsia="方正仿宋_GBK" w:cs="方正仿宋_GBK"/>
          <w:b w:val="0"/>
          <w:sz w:val="32"/>
          <w:szCs w:val="32"/>
          <w:highlight w:val="none"/>
          <w:lang w:val="en-US" w:eastAsia="zh-CN" w:bidi="ar"/>
        </w:rPr>
        <w:t>1390、95</w:t>
      </w:r>
      <w:r>
        <w:rPr>
          <w:rStyle w:val="12"/>
          <w:rFonts w:hint="eastAsia" w:ascii="方正仿宋_GBK" w:hAnsi="方正仿宋_GBK" w:eastAsia="方正仿宋_GBK" w:cs="方正仿宋_GBK"/>
          <w:b w:val="0"/>
          <w:sz w:val="32"/>
          <w:szCs w:val="32"/>
          <w:highlight w:val="none"/>
          <w:lang w:eastAsia="zh-CN" w:bidi="ar"/>
        </w:rPr>
        <w:t>万元，</w:t>
      </w:r>
      <w:r>
        <w:rPr>
          <w:rStyle w:val="12"/>
          <w:rFonts w:hint="eastAsia" w:ascii="方正仿宋_GBK" w:hAnsi="方正仿宋_GBK" w:eastAsia="方正仿宋_GBK" w:cs="方正仿宋_GBK"/>
          <w:b w:val="0"/>
          <w:sz w:val="32"/>
          <w:szCs w:val="32"/>
          <w:highlight w:val="none"/>
          <w:lang w:bidi="ar"/>
        </w:rPr>
        <w:t>年中调整数</w:t>
      </w:r>
      <w:r>
        <w:rPr>
          <w:rStyle w:val="12"/>
          <w:rFonts w:hint="eastAsia" w:ascii="方正仿宋_GBK" w:hAnsi="方正仿宋_GBK" w:eastAsia="方正仿宋_GBK" w:cs="方正仿宋_GBK"/>
          <w:b w:val="0"/>
          <w:sz w:val="32"/>
          <w:szCs w:val="32"/>
          <w:highlight w:val="none"/>
          <w:lang w:val="en-US" w:eastAsia="zh-CN" w:bidi="ar"/>
        </w:rPr>
        <w:t>40138、36</w:t>
      </w:r>
      <w:r>
        <w:rPr>
          <w:rStyle w:val="12"/>
          <w:rFonts w:hint="eastAsia" w:ascii="方正仿宋_GBK" w:hAnsi="方正仿宋_GBK" w:eastAsia="方正仿宋_GBK" w:cs="方正仿宋_GBK"/>
          <w:b w:val="0"/>
          <w:sz w:val="32"/>
          <w:szCs w:val="32"/>
          <w:highlight w:val="none"/>
          <w:lang w:bidi="ar"/>
        </w:rPr>
        <w:t>万元，调整后全年预算数</w:t>
      </w:r>
      <w:r>
        <w:rPr>
          <w:rStyle w:val="12"/>
          <w:rFonts w:hint="eastAsia" w:ascii="方正仿宋_GBK" w:hAnsi="方正仿宋_GBK" w:eastAsia="方正仿宋_GBK" w:cs="方正仿宋_GBK"/>
          <w:b w:val="0"/>
          <w:sz w:val="32"/>
          <w:szCs w:val="32"/>
          <w:highlight w:val="none"/>
          <w:lang w:val="en-US" w:eastAsia="zh-CN" w:bidi="ar"/>
        </w:rPr>
        <w:t>67485、51</w:t>
      </w:r>
      <w:r>
        <w:rPr>
          <w:rStyle w:val="12"/>
          <w:rFonts w:hint="eastAsia" w:ascii="方正仿宋_GBK" w:hAnsi="方正仿宋_GBK" w:eastAsia="方正仿宋_GBK" w:cs="方正仿宋_GBK"/>
          <w:b w:val="0"/>
          <w:sz w:val="32"/>
          <w:szCs w:val="32"/>
          <w:highlight w:val="none"/>
          <w:lang w:bidi="ar"/>
        </w:rPr>
        <w:t>万元，预算调整率</w:t>
      </w:r>
      <w:r>
        <w:rPr>
          <w:rStyle w:val="12"/>
          <w:rFonts w:hint="eastAsia" w:ascii="方正仿宋_GBK" w:hAnsi="方正仿宋_GBK" w:eastAsia="方正仿宋_GBK" w:cs="方正仿宋_GBK"/>
          <w:b w:val="0"/>
          <w:sz w:val="32"/>
          <w:szCs w:val="32"/>
          <w:highlight w:val="none"/>
          <w:lang w:val="en-US" w:eastAsia="zh-CN" w:bidi="ar"/>
        </w:rPr>
        <w:t>146、8</w:t>
      </w:r>
      <w:r>
        <w:rPr>
          <w:rStyle w:val="12"/>
          <w:rFonts w:hint="eastAsia" w:ascii="方正仿宋_GBK" w:hAnsi="方正仿宋_GBK" w:eastAsia="方正仿宋_GBK" w:cs="方正仿宋_GBK"/>
          <w:b w:val="0"/>
          <w:sz w:val="32"/>
          <w:szCs w:val="32"/>
          <w:highlight w:val="none"/>
          <w:lang w:bidi="ar"/>
        </w:rPr>
        <w:t>%。</w:t>
      </w:r>
    </w:p>
    <w:p>
      <w:pPr>
        <w:keepNext w:val="0"/>
        <w:keepLines w:val="0"/>
        <w:pageBreakBefore w:val="0"/>
        <w:kinsoku/>
        <w:wordWrap/>
        <w:overflowPunct/>
        <w:topLinePunct w:val="0"/>
        <w:autoSpaceDE/>
        <w:autoSpaceDN/>
        <w:bidi w:val="0"/>
        <w:adjustRightInd/>
        <w:spacing w:beforeAutospacing="0" w:afterAutospacing="0" w:line="570" w:lineRule="exact"/>
        <w:ind w:left="0" w:firstLine="640" w:firstLineChars="200"/>
        <w:jc w:val="both"/>
        <w:rPr>
          <w:rStyle w:val="12"/>
          <w:rFonts w:hint="eastAsia" w:ascii="方正仿宋_GBK" w:hAnsi="方正仿宋_GBK" w:eastAsia="方正仿宋_GBK" w:cs="方正仿宋_GBK"/>
          <w:b w:val="0"/>
          <w:sz w:val="32"/>
          <w:szCs w:val="32"/>
          <w:highlight w:val="none"/>
          <w:lang w:bidi="ar"/>
        </w:rPr>
      </w:pPr>
      <w:r>
        <w:rPr>
          <w:rStyle w:val="12"/>
          <w:rFonts w:hint="eastAsia" w:ascii="方正仿宋_GBK" w:hAnsi="方正仿宋_GBK" w:eastAsia="方正仿宋_GBK" w:cs="方正仿宋_GBK"/>
          <w:b w:val="0"/>
          <w:sz w:val="32"/>
          <w:szCs w:val="32"/>
          <w:highlight w:val="none"/>
          <w:lang w:bidi="ar"/>
        </w:rPr>
        <w:t>综上所述，年中预算调整幅度与单位运转情况和履职情况相匹配，未出现资金收支不平衡以及债务风险等负面影响，确保了预算调整的合理性和必要性。</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spacing w:val="-4"/>
          <w:sz w:val="32"/>
          <w:szCs w:val="32"/>
          <w:highlight w:val="none"/>
        </w:rPr>
      </w:pPr>
      <w:r>
        <w:rPr>
          <w:rStyle w:val="12"/>
          <w:rFonts w:hint="eastAsia" w:ascii="方正仿宋_GBK" w:hAnsi="方正仿宋_GBK" w:eastAsia="方正仿宋_GBK" w:cs="方正仿宋_GBK"/>
          <w:spacing w:val="-4"/>
          <w:sz w:val="32"/>
          <w:szCs w:val="32"/>
          <w:highlight w:val="none"/>
        </w:rPr>
        <w:t>3</w:t>
      </w:r>
      <w:r>
        <w:rPr>
          <w:rStyle w:val="12"/>
          <w:rFonts w:hint="eastAsia" w:ascii="方正仿宋_GBK" w:hAnsi="方正仿宋_GBK" w:eastAsia="方正仿宋_GBK" w:cs="方正仿宋_GBK"/>
          <w:spacing w:val="-4"/>
          <w:sz w:val="32"/>
          <w:szCs w:val="32"/>
          <w:highlight w:val="none"/>
          <w:lang w:eastAsia="zh-CN"/>
        </w:rPr>
        <w:t>、</w:t>
      </w:r>
      <w:r>
        <w:rPr>
          <w:rStyle w:val="12"/>
          <w:rFonts w:hint="eastAsia" w:ascii="方正仿宋_GBK" w:hAnsi="方正仿宋_GBK" w:eastAsia="方正仿宋_GBK" w:cs="方正仿宋_GBK"/>
          <w:spacing w:val="-4"/>
          <w:sz w:val="32"/>
          <w:szCs w:val="32"/>
          <w:highlight w:val="none"/>
        </w:rPr>
        <w:t>全年预算执行情况</w:t>
      </w:r>
    </w:p>
    <w:p>
      <w:pPr>
        <w:keepNext w:val="0"/>
        <w:keepLines w:val="0"/>
        <w:pageBreakBefore w:val="0"/>
        <w:kinsoku/>
        <w:wordWrap/>
        <w:overflowPunct/>
        <w:topLinePunct w:val="0"/>
        <w:autoSpaceDE/>
        <w:autoSpaceDN/>
        <w:bidi w:val="0"/>
        <w:adjustRightInd/>
        <w:spacing w:beforeAutospacing="0" w:afterAutospacing="0" w:line="570" w:lineRule="exact"/>
        <w:ind w:left="0" w:firstLine="640" w:firstLineChars="200"/>
        <w:jc w:val="both"/>
        <w:rPr>
          <w:rStyle w:val="12"/>
          <w:rFonts w:hint="eastAsia" w:ascii="方正仿宋_GBK" w:hAnsi="方正仿宋_GBK" w:eastAsia="方正仿宋_GBK" w:cs="方正仿宋_GBK"/>
          <w:b w:val="0"/>
          <w:color w:val="FF0000"/>
          <w:sz w:val="32"/>
          <w:szCs w:val="32"/>
          <w:highlight w:val="none"/>
          <w:lang w:bidi="ar"/>
        </w:rPr>
      </w:pPr>
      <w:r>
        <w:rPr>
          <w:rStyle w:val="12"/>
          <w:rFonts w:hint="eastAsia" w:ascii="方正仿宋_GBK" w:hAnsi="方正仿宋_GBK" w:eastAsia="方正仿宋_GBK" w:cs="方正仿宋_GBK"/>
          <w:b w:val="0"/>
          <w:sz w:val="32"/>
          <w:szCs w:val="32"/>
          <w:highlight w:val="none"/>
          <w:lang w:bidi="ar"/>
        </w:rPr>
        <w:t>全年预算数为</w:t>
      </w:r>
      <w:r>
        <w:rPr>
          <w:rStyle w:val="12"/>
          <w:rFonts w:hint="eastAsia" w:ascii="方正仿宋_GBK" w:hAnsi="方正仿宋_GBK" w:eastAsia="方正仿宋_GBK" w:cs="方正仿宋_GBK"/>
          <w:b w:val="0"/>
          <w:sz w:val="32"/>
          <w:szCs w:val="32"/>
          <w:highlight w:val="none"/>
          <w:lang w:val="en-US" w:eastAsia="zh-CN" w:bidi="ar"/>
        </w:rPr>
        <w:t>67485、51</w:t>
      </w:r>
      <w:r>
        <w:rPr>
          <w:rStyle w:val="12"/>
          <w:rFonts w:hint="eastAsia" w:ascii="方正仿宋_GBK" w:hAnsi="方正仿宋_GBK" w:eastAsia="方正仿宋_GBK" w:cs="方正仿宋_GBK"/>
          <w:b w:val="0"/>
          <w:sz w:val="32"/>
          <w:szCs w:val="32"/>
          <w:highlight w:val="none"/>
          <w:lang w:bidi="ar"/>
        </w:rPr>
        <w:t>万元，全年实际支出资金</w:t>
      </w:r>
      <w:r>
        <w:rPr>
          <w:rStyle w:val="12"/>
          <w:rFonts w:hint="eastAsia" w:ascii="方正仿宋_GBK" w:hAnsi="方正仿宋_GBK" w:eastAsia="方正仿宋_GBK" w:cs="方正仿宋_GBK"/>
          <w:b w:val="0"/>
          <w:sz w:val="32"/>
          <w:szCs w:val="32"/>
          <w:highlight w:val="none"/>
          <w:lang w:val="en-US" w:eastAsia="zh-CN" w:bidi="ar"/>
        </w:rPr>
        <w:t>58954、85</w:t>
      </w:r>
      <w:r>
        <w:rPr>
          <w:rStyle w:val="12"/>
          <w:rFonts w:hint="eastAsia" w:ascii="方正仿宋_GBK" w:hAnsi="方正仿宋_GBK" w:eastAsia="方正仿宋_GBK" w:cs="方正仿宋_GBK"/>
          <w:b w:val="0"/>
          <w:sz w:val="32"/>
          <w:szCs w:val="32"/>
          <w:highlight w:val="none"/>
          <w:lang w:bidi="ar"/>
        </w:rPr>
        <w:t>万元，预算执行率为</w:t>
      </w:r>
      <w:r>
        <w:rPr>
          <w:rStyle w:val="12"/>
          <w:rFonts w:hint="eastAsia" w:ascii="方正仿宋_GBK" w:hAnsi="方正仿宋_GBK" w:eastAsia="方正仿宋_GBK" w:cs="方正仿宋_GBK"/>
          <w:b w:val="0"/>
          <w:sz w:val="32"/>
          <w:szCs w:val="32"/>
          <w:highlight w:val="none"/>
          <w:lang w:val="en-US" w:eastAsia="zh-CN" w:bidi="ar"/>
        </w:rPr>
        <w:t>87、4</w:t>
      </w:r>
      <w:r>
        <w:rPr>
          <w:rStyle w:val="12"/>
          <w:rFonts w:hint="eastAsia" w:ascii="方正仿宋_GBK" w:hAnsi="方正仿宋_GBK" w:eastAsia="方正仿宋_GBK" w:cs="方正仿宋_GBK"/>
          <w:b w:val="0"/>
          <w:sz w:val="32"/>
          <w:szCs w:val="32"/>
          <w:highlight w:val="none"/>
          <w:lang w:bidi="ar"/>
        </w:rPr>
        <w:t>%。</w:t>
      </w:r>
      <w:r>
        <w:rPr>
          <w:rStyle w:val="12"/>
          <w:rFonts w:hint="eastAsia" w:ascii="方正仿宋_GBK" w:hAnsi="方正仿宋_GBK" w:eastAsia="方正仿宋_GBK" w:cs="方正仿宋_GBK"/>
          <w:b w:val="0"/>
          <w:sz w:val="32"/>
          <w:szCs w:val="32"/>
          <w:highlight w:val="none"/>
          <w:lang w:val="en-US" w:eastAsia="zh-CN" w:bidi="ar"/>
        </w:rPr>
        <w:t>其中，基本支出</w:t>
      </w:r>
      <w:r>
        <w:rPr>
          <w:rStyle w:val="12"/>
          <w:rFonts w:hint="eastAsia" w:ascii="方正仿宋_GBK" w:hAnsi="方正仿宋_GBK" w:eastAsia="方正仿宋_GBK" w:cs="方正仿宋_GBK"/>
          <w:b w:val="0"/>
          <w:sz w:val="32"/>
          <w:szCs w:val="32"/>
          <w:highlight w:val="none"/>
          <w:lang w:bidi="ar"/>
        </w:rPr>
        <w:t>全年预算数为</w:t>
      </w:r>
      <w:r>
        <w:rPr>
          <w:rStyle w:val="12"/>
          <w:rFonts w:hint="eastAsia" w:ascii="方正仿宋_GBK" w:hAnsi="方正仿宋_GBK" w:eastAsia="方正仿宋_GBK" w:cs="方正仿宋_GBK"/>
          <w:b w:val="0"/>
          <w:sz w:val="32"/>
          <w:szCs w:val="32"/>
          <w:highlight w:val="none"/>
          <w:lang w:val="en-US" w:eastAsia="zh-CN" w:bidi="ar"/>
        </w:rPr>
        <w:t>2527、54</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z w:val="32"/>
          <w:szCs w:val="32"/>
          <w:highlight w:val="none"/>
          <w:lang w:val="en-US" w:eastAsia="zh-CN" w:bidi="ar"/>
        </w:rPr>
        <w:t>基本支出</w:t>
      </w:r>
      <w:r>
        <w:rPr>
          <w:rStyle w:val="12"/>
          <w:rFonts w:hint="eastAsia" w:ascii="方正仿宋_GBK" w:hAnsi="方正仿宋_GBK" w:eastAsia="方正仿宋_GBK" w:cs="方正仿宋_GBK"/>
          <w:b w:val="0"/>
          <w:sz w:val="32"/>
          <w:szCs w:val="32"/>
          <w:highlight w:val="none"/>
          <w:lang w:bidi="ar"/>
        </w:rPr>
        <w:t>全年实际支出资金</w:t>
      </w:r>
      <w:r>
        <w:rPr>
          <w:rStyle w:val="12"/>
          <w:rFonts w:hint="eastAsia" w:ascii="方正仿宋_GBK" w:hAnsi="方正仿宋_GBK" w:eastAsia="方正仿宋_GBK" w:cs="方正仿宋_GBK"/>
          <w:b w:val="0"/>
          <w:sz w:val="32"/>
          <w:szCs w:val="32"/>
          <w:highlight w:val="none"/>
          <w:lang w:val="en-US" w:eastAsia="zh-CN" w:bidi="ar"/>
        </w:rPr>
        <w:t>2524、42</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z w:val="32"/>
          <w:szCs w:val="32"/>
          <w:highlight w:val="none"/>
          <w:lang w:val="en-US" w:eastAsia="zh-CN" w:bidi="ar"/>
        </w:rPr>
        <w:t>基本支出</w:t>
      </w:r>
      <w:r>
        <w:rPr>
          <w:rStyle w:val="12"/>
          <w:rFonts w:hint="eastAsia" w:ascii="方正仿宋_GBK" w:hAnsi="方正仿宋_GBK" w:eastAsia="方正仿宋_GBK" w:cs="方正仿宋_GBK"/>
          <w:b w:val="0"/>
          <w:sz w:val="32"/>
          <w:szCs w:val="32"/>
          <w:highlight w:val="none"/>
          <w:lang w:bidi="ar"/>
        </w:rPr>
        <w:t>预算执行率为</w:t>
      </w:r>
      <w:r>
        <w:rPr>
          <w:rStyle w:val="12"/>
          <w:rFonts w:hint="eastAsia" w:ascii="方正仿宋_GBK" w:hAnsi="方正仿宋_GBK" w:eastAsia="方正仿宋_GBK" w:cs="方正仿宋_GBK"/>
          <w:b w:val="0"/>
          <w:sz w:val="32"/>
          <w:szCs w:val="32"/>
          <w:highlight w:val="none"/>
          <w:lang w:val="en-US" w:eastAsia="zh-CN" w:bidi="ar"/>
        </w:rPr>
        <w:t>99、9</w:t>
      </w:r>
      <w:r>
        <w:rPr>
          <w:rStyle w:val="12"/>
          <w:rFonts w:hint="eastAsia" w:ascii="方正仿宋_GBK" w:hAnsi="方正仿宋_GBK" w:eastAsia="方正仿宋_GBK" w:cs="方正仿宋_GBK"/>
          <w:b w:val="0"/>
          <w:sz w:val="32"/>
          <w:szCs w:val="32"/>
          <w:highlight w:val="none"/>
          <w:lang w:bidi="ar"/>
        </w:rPr>
        <w:t>%</w:t>
      </w:r>
      <w:r>
        <w:rPr>
          <w:rStyle w:val="12"/>
          <w:rFonts w:hint="eastAsia" w:ascii="方正仿宋_GBK" w:hAnsi="方正仿宋_GBK" w:eastAsia="方正仿宋_GBK" w:cs="方正仿宋_GBK"/>
          <w:b w:val="0"/>
          <w:sz w:val="32"/>
          <w:szCs w:val="32"/>
          <w:highlight w:val="none"/>
          <w:lang w:eastAsia="zh-CN" w:bidi="ar"/>
        </w:rPr>
        <w:t>；</w:t>
      </w:r>
      <w:r>
        <w:rPr>
          <w:rStyle w:val="12"/>
          <w:rFonts w:hint="eastAsia" w:ascii="方正仿宋_GBK" w:hAnsi="方正仿宋_GBK" w:eastAsia="方正仿宋_GBK" w:cs="方正仿宋_GBK"/>
          <w:b w:val="0"/>
          <w:sz w:val="32"/>
          <w:szCs w:val="32"/>
          <w:highlight w:val="none"/>
          <w:lang w:val="en-US" w:eastAsia="zh-CN" w:bidi="ar"/>
        </w:rPr>
        <w:t>项目支出</w:t>
      </w:r>
      <w:r>
        <w:rPr>
          <w:rStyle w:val="12"/>
          <w:rFonts w:hint="eastAsia" w:ascii="方正仿宋_GBK" w:hAnsi="方正仿宋_GBK" w:eastAsia="方正仿宋_GBK" w:cs="方正仿宋_GBK"/>
          <w:b w:val="0"/>
          <w:sz w:val="32"/>
          <w:szCs w:val="32"/>
          <w:highlight w:val="none"/>
          <w:lang w:bidi="ar"/>
        </w:rPr>
        <w:t>全年预算数为</w:t>
      </w:r>
      <w:r>
        <w:rPr>
          <w:rStyle w:val="12"/>
          <w:rFonts w:hint="eastAsia" w:ascii="方正仿宋_GBK" w:hAnsi="方正仿宋_GBK" w:eastAsia="方正仿宋_GBK" w:cs="方正仿宋_GBK"/>
          <w:b w:val="0"/>
          <w:sz w:val="32"/>
          <w:szCs w:val="32"/>
          <w:highlight w:val="none"/>
          <w:lang w:val="en-US" w:eastAsia="zh-CN" w:bidi="ar"/>
        </w:rPr>
        <w:t>64957、98</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z w:val="32"/>
          <w:szCs w:val="32"/>
          <w:highlight w:val="none"/>
          <w:lang w:val="en-US" w:eastAsia="zh-CN" w:bidi="ar"/>
        </w:rPr>
        <w:t>项目支出</w:t>
      </w:r>
      <w:r>
        <w:rPr>
          <w:rStyle w:val="12"/>
          <w:rFonts w:hint="eastAsia" w:ascii="方正仿宋_GBK" w:hAnsi="方正仿宋_GBK" w:eastAsia="方正仿宋_GBK" w:cs="方正仿宋_GBK"/>
          <w:b w:val="0"/>
          <w:sz w:val="32"/>
          <w:szCs w:val="32"/>
          <w:highlight w:val="none"/>
          <w:lang w:bidi="ar"/>
        </w:rPr>
        <w:t>全年实际支出资金</w:t>
      </w:r>
      <w:r>
        <w:rPr>
          <w:rStyle w:val="12"/>
          <w:rFonts w:hint="eastAsia" w:ascii="方正仿宋_GBK" w:hAnsi="方正仿宋_GBK" w:eastAsia="方正仿宋_GBK" w:cs="方正仿宋_GBK"/>
          <w:b w:val="0"/>
          <w:sz w:val="32"/>
          <w:szCs w:val="32"/>
          <w:highlight w:val="none"/>
          <w:lang w:val="en-US" w:eastAsia="zh-CN" w:bidi="ar"/>
        </w:rPr>
        <w:t>56430、43</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z w:val="32"/>
          <w:szCs w:val="32"/>
          <w:highlight w:val="none"/>
          <w:lang w:val="en-US" w:eastAsia="zh-CN" w:bidi="ar"/>
        </w:rPr>
        <w:t>基本支出</w:t>
      </w:r>
      <w:r>
        <w:rPr>
          <w:rStyle w:val="12"/>
          <w:rFonts w:hint="eastAsia" w:ascii="方正仿宋_GBK" w:hAnsi="方正仿宋_GBK" w:eastAsia="方正仿宋_GBK" w:cs="方正仿宋_GBK"/>
          <w:b w:val="0"/>
          <w:sz w:val="32"/>
          <w:szCs w:val="32"/>
          <w:highlight w:val="none"/>
          <w:lang w:bidi="ar"/>
        </w:rPr>
        <w:t>预算执行率为</w:t>
      </w:r>
      <w:r>
        <w:rPr>
          <w:rStyle w:val="12"/>
          <w:rFonts w:hint="eastAsia" w:ascii="方正仿宋_GBK" w:hAnsi="方正仿宋_GBK" w:eastAsia="方正仿宋_GBK" w:cs="方正仿宋_GBK"/>
          <w:b w:val="0"/>
          <w:sz w:val="32"/>
          <w:szCs w:val="32"/>
          <w:highlight w:val="none"/>
          <w:lang w:val="en-US" w:eastAsia="zh-CN" w:bidi="ar"/>
        </w:rPr>
        <w:t>86、9</w:t>
      </w:r>
      <w:r>
        <w:rPr>
          <w:rStyle w:val="12"/>
          <w:rFonts w:hint="eastAsia" w:ascii="方正仿宋_GBK" w:hAnsi="方正仿宋_GBK" w:eastAsia="方正仿宋_GBK" w:cs="方正仿宋_GBK"/>
          <w:b w:val="0"/>
          <w:sz w:val="32"/>
          <w:szCs w:val="32"/>
          <w:highlight w:val="none"/>
          <w:lang w:bidi="ar"/>
        </w:rPr>
        <w:t>%</w:t>
      </w:r>
      <w:r>
        <w:rPr>
          <w:rStyle w:val="12"/>
          <w:rFonts w:hint="eastAsia" w:ascii="方正仿宋_GBK" w:hAnsi="方正仿宋_GBK" w:eastAsia="方正仿宋_GBK" w:cs="方正仿宋_GBK"/>
          <w:b w:val="0"/>
          <w:sz w:val="32"/>
          <w:szCs w:val="32"/>
          <w:highlight w:val="none"/>
          <w:lang w:eastAsia="zh-CN" w:bidi="ar"/>
        </w:rPr>
        <w:t>；</w:t>
      </w:r>
    </w:p>
    <w:p>
      <w:pPr>
        <w:pStyle w:val="17"/>
        <w:keepNext w:val="0"/>
        <w:keepLines w:val="0"/>
        <w:pageBreakBefore w:val="0"/>
        <w:kinsoku/>
        <w:wordWrap/>
        <w:overflowPunct/>
        <w:topLinePunct w:val="0"/>
        <w:autoSpaceDE/>
        <w:autoSpaceDN/>
        <w:bidi w:val="0"/>
        <w:adjustRightInd/>
        <w:snapToGrid w:val="0"/>
        <w:spacing w:beforeAutospacing="0" w:afterAutospacing="0" w:line="570" w:lineRule="exact"/>
        <w:ind w:left="0" w:firstLine="640" w:firstLineChars="200"/>
        <w:jc w:val="both"/>
        <w:rPr>
          <w:rStyle w:val="12"/>
          <w:rFonts w:hint="eastAsia" w:ascii="方正仿宋_GBK" w:hAnsi="方正仿宋_GBK" w:eastAsia="方正仿宋_GBK" w:cs="方正仿宋_GBK"/>
          <w:b w:val="0"/>
          <w:sz w:val="32"/>
          <w:szCs w:val="32"/>
          <w:highlight w:val="none"/>
          <w:lang w:bidi="ar"/>
        </w:rPr>
      </w:pPr>
      <w:r>
        <w:rPr>
          <w:rStyle w:val="12"/>
          <w:rFonts w:hint="eastAsia" w:ascii="方正仿宋_GBK" w:hAnsi="方正仿宋_GBK" w:eastAsia="方正仿宋_GBK" w:cs="方正仿宋_GBK"/>
          <w:b w:val="0"/>
          <w:sz w:val="32"/>
          <w:szCs w:val="32"/>
          <w:highlight w:val="none"/>
          <w:lang w:bidi="ar"/>
        </w:rPr>
        <w:t>综上所述，本年度在执行预算过程中不存在闲置、浪费或挪用等情况，执行预算在预期可控范围内，严格按照项目进度支付资金，不存在超进度付款情况，资金支出方向合理，资金支出流程规范。</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spacing w:val="-4"/>
          <w:sz w:val="32"/>
          <w:szCs w:val="32"/>
          <w:highlight w:val="none"/>
        </w:rPr>
      </w:pPr>
      <w:r>
        <w:rPr>
          <w:rStyle w:val="12"/>
          <w:rFonts w:hint="eastAsia" w:ascii="方正仿宋_GBK" w:hAnsi="方正仿宋_GBK" w:eastAsia="方正仿宋_GBK" w:cs="方正仿宋_GBK"/>
          <w:spacing w:val="-4"/>
          <w:sz w:val="32"/>
          <w:szCs w:val="32"/>
          <w:highlight w:val="none"/>
        </w:rPr>
        <w:t>4</w:t>
      </w:r>
      <w:r>
        <w:rPr>
          <w:rStyle w:val="12"/>
          <w:rFonts w:hint="eastAsia" w:ascii="方正仿宋_GBK" w:hAnsi="方正仿宋_GBK" w:eastAsia="方正仿宋_GBK" w:cs="方正仿宋_GBK"/>
          <w:spacing w:val="-4"/>
          <w:sz w:val="32"/>
          <w:szCs w:val="32"/>
          <w:highlight w:val="none"/>
          <w:lang w:eastAsia="zh-CN"/>
        </w:rPr>
        <w:t>、</w:t>
      </w:r>
      <w:r>
        <w:rPr>
          <w:rStyle w:val="12"/>
          <w:rFonts w:hint="eastAsia" w:ascii="方正仿宋_GBK" w:hAnsi="方正仿宋_GBK" w:eastAsia="方正仿宋_GBK" w:cs="方正仿宋_GBK"/>
          <w:spacing w:val="-4"/>
          <w:sz w:val="32"/>
          <w:szCs w:val="32"/>
          <w:highlight w:val="none"/>
        </w:rPr>
        <w:t>资金使用主要内容及范围</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highlight w:val="none"/>
        </w:rPr>
      </w:pPr>
      <w:r>
        <w:rPr>
          <w:rStyle w:val="12"/>
          <w:rFonts w:hint="eastAsia" w:ascii="方正仿宋_GBK" w:hAnsi="方正仿宋_GBK" w:eastAsia="方正仿宋_GBK" w:cs="方正仿宋_GBK"/>
          <w:b w:val="0"/>
          <w:spacing w:val="-4"/>
          <w:sz w:val="32"/>
          <w:szCs w:val="32"/>
          <w:highlight w:val="none"/>
        </w:rPr>
        <w:t>我单位202</w:t>
      </w:r>
      <w:r>
        <w:rPr>
          <w:rStyle w:val="12"/>
          <w:rFonts w:hint="eastAsia" w:ascii="方正仿宋_GBK" w:hAnsi="方正仿宋_GBK" w:eastAsia="方正仿宋_GBK" w:cs="方正仿宋_GBK"/>
          <w:b w:val="0"/>
          <w:spacing w:val="-4"/>
          <w:sz w:val="32"/>
          <w:szCs w:val="32"/>
          <w:highlight w:val="none"/>
          <w:lang w:val="en-US" w:eastAsia="zh-CN"/>
        </w:rPr>
        <w:t>4</w:t>
      </w:r>
      <w:r>
        <w:rPr>
          <w:rStyle w:val="12"/>
          <w:rFonts w:hint="eastAsia" w:ascii="方正仿宋_GBK" w:hAnsi="方正仿宋_GBK" w:eastAsia="方正仿宋_GBK" w:cs="方正仿宋_GBK"/>
          <w:b w:val="0"/>
          <w:spacing w:val="-4"/>
          <w:sz w:val="32"/>
          <w:szCs w:val="32"/>
          <w:highlight w:val="none"/>
        </w:rPr>
        <w:t>年全年预算支出金额</w:t>
      </w:r>
      <w:r>
        <w:rPr>
          <w:rStyle w:val="12"/>
          <w:rFonts w:hint="eastAsia" w:ascii="方正仿宋_GBK" w:hAnsi="方正仿宋_GBK" w:eastAsia="方正仿宋_GBK" w:cs="方正仿宋_GBK"/>
          <w:b w:val="0"/>
          <w:color w:val="auto"/>
          <w:spacing w:val="-4"/>
          <w:sz w:val="32"/>
          <w:szCs w:val="32"/>
          <w:highlight w:val="none"/>
        </w:rPr>
        <w:t>共计</w:t>
      </w:r>
      <w:r>
        <w:rPr>
          <w:rStyle w:val="12"/>
          <w:rFonts w:hint="eastAsia" w:ascii="方正仿宋_GBK" w:hAnsi="方正仿宋_GBK" w:eastAsia="方正仿宋_GBK" w:cs="方正仿宋_GBK"/>
          <w:b w:val="0"/>
          <w:color w:val="auto"/>
          <w:sz w:val="32"/>
          <w:szCs w:val="32"/>
          <w:highlight w:val="none"/>
          <w:lang w:val="en-US" w:eastAsia="zh-CN" w:bidi="ar"/>
        </w:rPr>
        <w:t>58954、85</w:t>
      </w:r>
      <w:r>
        <w:rPr>
          <w:rStyle w:val="12"/>
          <w:rFonts w:hint="eastAsia" w:ascii="方正仿宋_GBK" w:hAnsi="方正仿宋_GBK" w:eastAsia="方正仿宋_GBK" w:cs="方正仿宋_GBK"/>
          <w:b w:val="0"/>
          <w:color w:val="auto"/>
          <w:spacing w:val="-4"/>
          <w:sz w:val="32"/>
          <w:szCs w:val="32"/>
          <w:highlight w:val="none"/>
        </w:rPr>
        <w:t>万元，</w:t>
      </w:r>
      <w:r>
        <w:rPr>
          <w:rStyle w:val="12"/>
          <w:rFonts w:hint="eastAsia" w:ascii="方正仿宋_GBK" w:hAnsi="方正仿宋_GBK" w:eastAsia="方正仿宋_GBK" w:cs="方正仿宋_GBK"/>
          <w:b w:val="0"/>
          <w:spacing w:val="-4"/>
          <w:sz w:val="32"/>
          <w:szCs w:val="32"/>
          <w:highlight w:val="none"/>
        </w:rPr>
        <w:t>其中：</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highlight w:val="none"/>
        </w:rPr>
      </w:pPr>
      <w:r>
        <w:rPr>
          <w:rStyle w:val="12"/>
          <w:rFonts w:hint="eastAsia" w:ascii="方正仿宋_GBK" w:hAnsi="方正仿宋_GBK" w:eastAsia="方正仿宋_GBK" w:cs="方正仿宋_GBK"/>
          <w:b w:val="0"/>
          <w:spacing w:val="-4"/>
          <w:sz w:val="32"/>
          <w:szCs w:val="32"/>
          <w:highlight w:val="none"/>
          <w:lang w:eastAsia="zh-CN"/>
        </w:rPr>
        <w:t>（</w:t>
      </w:r>
      <w:r>
        <w:rPr>
          <w:rStyle w:val="12"/>
          <w:rFonts w:hint="eastAsia" w:ascii="方正仿宋_GBK" w:hAnsi="方正仿宋_GBK" w:eastAsia="方正仿宋_GBK" w:cs="方正仿宋_GBK"/>
          <w:b w:val="0"/>
          <w:spacing w:val="-4"/>
          <w:sz w:val="32"/>
          <w:szCs w:val="32"/>
          <w:highlight w:val="none"/>
          <w:lang w:val="en-US" w:eastAsia="zh-CN"/>
        </w:rPr>
        <w:t>1</w:t>
      </w:r>
      <w:r>
        <w:rPr>
          <w:rStyle w:val="12"/>
          <w:rFonts w:hint="eastAsia" w:ascii="方正仿宋_GBK" w:hAnsi="方正仿宋_GBK" w:eastAsia="方正仿宋_GBK" w:cs="方正仿宋_GBK"/>
          <w:b w:val="0"/>
          <w:spacing w:val="-4"/>
          <w:sz w:val="32"/>
          <w:szCs w:val="32"/>
          <w:highlight w:val="none"/>
          <w:lang w:eastAsia="zh-CN"/>
        </w:rPr>
        <w:t>）</w:t>
      </w:r>
      <w:r>
        <w:rPr>
          <w:rStyle w:val="12"/>
          <w:rFonts w:hint="eastAsia" w:ascii="方正仿宋_GBK" w:hAnsi="方正仿宋_GBK" w:eastAsia="方正仿宋_GBK" w:cs="方正仿宋_GBK"/>
          <w:b w:val="0"/>
          <w:spacing w:val="-4"/>
          <w:sz w:val="32"/>
          <w:szCs w:val="32"/>
          <w:highlight w:val="none"/>
        </w:rPr>
        <w:t>基本支出</w:t>
      </w:r>
      <w:r>
        <w:rPr>
          <w:rStyle w:val="12"/>
          <w:rFonts w:hint="eastAsia" w:ascii="方正仿宋_GBK" w:hAnsi="方正仿宋_GBK" w:eastAsia="方正仿宋_GBK" w:cs="方正仿宋_GBK"/>
          <w:b w:val="0"/>
          <w:sz w:val="32"/>
          <w:szCs w:val="32"/>
          <w:highlight w:val="none"/>
          <w:lang w:bidi="ar"/>
        </w:rPr>
        <w:t>实际支出资金</w:t>
      </w:r>
      <w:r>
        <w:rPr>
          <w:rStyle w:val="12"/>
          <w:rFonts w:hint="eastAsia" w:ascii="方正仿宋_GBK" w:hAnsi="方正仿宋_GBK" w:eastAsia="方正仿宋_GBK" w:cs="方正仿宋_GBK"/>
          <w:b w:val="0"/>
          <w:sz w:val="32"/>
          <w:szCs w:val="32"/>
          <w:highlight w:val="none"/>
          <w:lang w:val="en-US" w:eastAsia="zh-CN" w:bidi="ar"/>
        </w:rPr>
        <w:t>2524、42</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pacing w:val="-4"/>
          <w:sz w:val="32"/>
          <w:szCs w:val="32"/>
          <w:highlight w:val="none"/>
        </w:rPr>
        <w:t>，</w:t>
      </w:r>
      <w:r>
        <w:rPr>
          <w:rStyle w:val="12"/>
          <w:rFonts w:hint="eastAsia" w:ascii="方正仿宋_GBK" w:hAnsi="方正仿宋_GBK" w:eastAsia="方正仿宋_GBK" w:cs="方正仿宋_GBK"/>
          <w:b w:val="0"/>
          <w:spacing w:val="-4"/>
          <w:sz w:val="32"/>
          <w:szCs w:val="32"/>
          <w:highlight w:val="none"/>
          <w:lang w:val="en-US" w:eastAsia="zh-CN"/>
        </w:rPr>
        <w:t>其中：人员类支出</w:t>
      </w:r>
      <w:r>
        <w:rPr>
          <w:rStyle w:val="12"/>
          <w:rFonts w:hint="eastAsia" w:ascii="方正仿宋_GBK" w:hAnsi="方正仿宋_GBK" w:eastAsia="方正仿宋_GBK" w:cs="方正仿宋_GBK"/>
          <w:b w:val="0"/>
          <w:color w:val="auto"/>
          <w:spacing w:val="-4"/>
          <w:sz w:val="32"/>
          <w:szCs w:val="32"/>
          <w:highlight w:val="none"/>
          <w:lang w:val="en-US" w:eastAsia="zh-CN"/>
        </w:rPr>
        <w:t>2398、52</w:t>
      </w:r>
      <w:r>
        <w:rPr>
          <w:rStyle w:val="12"/>
          <w:rFonts w:hint="eastAsia" w:ascii="方正仿宋_GBK" w:hAnsi="方正仿宋_GBK" w:eastAsia="方正仿宋_GBK" w:cs="方正仿宋_GBK"/>
          <w:b w:val="0"/>
          <w:color w:val="auto"/>
          <w:spacing w:val="-4"/>
          <w:sz w:val="32"/>
          <w:szCs w:val="32"/>
          <w:highlight w:val="none"/>
        </w:rPr>
        <w:t>万元</w:t>
      </w:r>
      <w:r>
        <w:rPr>
          <w:rStyle w:val="12"/>
          <w:rFonts w:hint="eastAsia" w:ascii="方正仿宋_GBK" w:hAnsi="方正仿宋_GBK" w:eastAsia="方正仿宋_GBK" w:cs="方正仿宋_GBK"/>
          <w:b w:val="0"/>
          <w:color w:val="auto"/>
          <w:spacing w:val="-4"/>
          <w:sz w:val="32"/>
          <w:szCs w:val="32"/>
          <w:highlight w:val="none"/>
          <w:lang w:eastAsia="zh-CN"/>
        </w:rPr>
        <w:t>，商品服务支出（公用经费）</w:t>
      </w:r>
      <w:r>
        <w:rPr>
          <w:rStyle w:val="12"/>
          <w:rFonts w:hint="eastAsia" w:ascii="方正仿宋_GBK" w:hAnsi="方正仿宋_GBK" w:eastAsia="方正仿宋_GBK" w:cs="方正仿宋_GBK"/>
          <w:b w:val="0"/>
          <w:color w:val="auto"/>
          <w:spacing w:val="-4"/>
          <w:sz w:val="32"/>
          <w:szCs w:val="32"/>
          <w:highlight w:val="none"/>
          <w:lang w:val="en-US" w:eastAsia="zh-CN"/>
        </w:rPr>
        <w:t>125、9</w:t>
      </w:r>
      <w:r>
        <w:rPr>
          <w:rStyle w:val="12"/>
          <w:rFonts w:hint="eastAsia" w:ascii="方正仿宋_GBK" w:hAnsi="方正仿宋_GBK" w:eastAsia="方正仿宋_GBK" w:cs="方正仿宋_GBK"/>
          <w:b w:val="0"/>
          <w:color w:val="auto"/>
          <w:spacing w:val="-4"/>
          <w:sz w:val="32"/>
          <w:szCs w:val="32"/>
          <w:highlight w:val="none"/>
        </w:rPr>
        <w:t>万元，</w:t>
      </w:r>
      <w:r>
        <w:rPr>
          <w:rStyle w:val="12"/>
          <w:rFonts w:hint="eastAsia" w:ascii="方正仿宋_GBK" w:hAnsi="方正仿宋_GBK" w:eastAsia="方正仿宋_GBK" w:cs="方正仿宋_GBK"/>
          <w:b w:val="0"/>
          <w:spacing w:val="-4"/>
          <w:sz w:val="32"/>
          <w:szCs w:val="32"/>
          <w:highlight w:val="none"/>
        </w:rPr>
        <w:t>主要用于</w:t>
      </w:r>
      <w:r>
        <w:rPr>
          <w:rStyle w:val="12"/>
          <w:rFonts w:hint="eastAsia" w:ascii="方正仿宋_GBK" w:hAnsi="方正仿宋_GBK" w:eastAsia="方正仿宋_GBK" w:cs="方正仿宋_GBK"/>
          <w:b w:val="0"/>
          <w:spacing w:val="-4"/>
          <w:sz w:val="32"/>
          <w:szCs w:val="32"/>
          <w:highlight w:val="none"/>
          <w:lang w:val="en-US" w:eastAsia="zh-CN"/>
        </w:rPr>
        <w:t>印刷费、制作费、办公耗材的采购、车辆维修等</w:t>
      </w:r>
      <w:r>
        <w:rPr>
          <w:rStyle w:val="12"/>
          <w:rFonts w:hint="eastAsia" w:ascii="方正仿宋_GBK" w:hAnsi="方正仿宋_GBK" w:eastAsia="方正仿宋_GBK" w:cs="方正仿宋_GBK"/>
          <w:b w:val="0"/>
          <w:spacing w:val="-4"/>
          <w:sz w:val="32"/>
          <w:szCs w:val="32"/>
          <w:highlight w:val="none"/>
        </w:rPr>
        <w:t>；</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0"/>
          <w:szCs w:val="30"/>
          <w:highlight w:val="none"/>
        </w:rPr>
      </w:pPr>
      <w:r>
        <w:rPr>
          <w:rStyle w:val="12"/>
          <w:rFonts w:hint="eastAsia" w:ascii="方正仿宋_GBK" w:hAnsi="方正仿宋_GBK" w:eastAsia="方正仿宋_GBK" w:cs="方正仿宋_GBK"/>
          <w:b w:val="0"/>
          <w:spacing w:val="-4"/>
          <w:sz w:val="32"/>
          <w:szCs w:val="32"/>
          <w:highlight w:val="none"/>
          <w:lang w:eastAsia="zh-CN"/>
        </w:rPr>
        <w:t>（</w:t>
      </w:r>
      <w:r>
        <w:rPr>
          <w:rStyle w:val="12"/>
          <w:rFonts w:hint="eastAsia" w:ascii="方正仿宋_GBK" w:hAnsi="方正仿宋_GBK" w:eastAsia="方正仿宋_GBK" w:cs="方正仿宋_GBK"/>
          <w:b w:val="0"/>
          <w:spacing w:val="-4"/>
          <w:sz w:val="32"/>
          <w:szCs w:val="32"/>
          <w:highlight w:val="none"/>
          <w:lang w:val="en-US" w:eastAsia="zh-CN"/>
        </w:rPr>
        <w:t>2</w:t>
      </w:r>
      <w:r>
        <w:rPr>
          <w:rStyle w:val="12"/>
          <w:rFonts w:hint="eastAsia" w:ascii="方正仿宋_GBK" w:hAnsi="方正仿宋_GBK" w:eastAsia="方正仿宋_GBK" w:cs="方正仿宋_GBK"/>
          <w:b w:val="0"/>
          <w:spacing w:val="-4"/>
          <w:sz w:val="32"/>
          <w:szCs w:val="32"/>
          <w:highlight w:val="none"/>
          <w:lang w:eastAsia="zh-CN"/>
        </w:rPr>
        <w:t>）</w:t>
      </w:r>
      <w:r>
        <w:rPr>
          <w:rStyle w:val="12"/>
          <w:rFonts w:hint="eastAsia" w:ascii="方正仿宋_GBK" w:hAnsi="方正仿宋_GBK" w:eastAsia="方正仿宋_GBK" w:cs="方正仿宋_GBK"/>
          <w:b w:val="0"/>
          <w:spacing w:val="-4"/>
          <w:sz w:val="32"/>
          <w:szCs w:val="32"/>
          <w:highlight w:val="none"/>
        </w:rPr>
        <w:t>项目支出</w:t>
      </w:r>
      <w:r>
        <w:rPr>
          <w:rStyle w:val="12"/>
          <w:rFonts w:hint="eastAsia" w:ascii="方正仿宋_GBK" w:hAnsi="方正仿宋_GBK" w:eastAsia="方正仿宋_GBK" w:cs="方正仿宋_GBK"/>
          <w:b w:val="0"/>
          <w:sz w:val="32"/>
          <w:szCs w:val="32"/>
          <w:highlight w:val="none"/>
          <w:lang w:bidi="ar"/>
        </w:rPr>
        <w:t>实际支出资金</w:t>
      </w:r>
      <w:r>
        <w:rPr>
          <w:rStyle w:val="12"/>
          <w:rFonts w:hint="eastAsia" w:ascii="方正仿宋_GBK" w:hAnsi="方正仿宋_GBK" w:eastAsia="方正仿宋_GBK" w:cs="方正仿宋_GBK"/>
          <w:b w:val="0"/>
          <w:sz w:val="32"/>
          <w:szCs w:val="32"/>
          <w:highlight w:val="none"/>
          <w:lang w:val="en-US" w:eastAsia="zh-CN" w:bidi="ar"/>
        </w:rPr>
        <w:t>56430、43</w:t>
      </w:r>
      <w:r>
        <w:rPr>
          <w:rStyle w:val="12"/>
          <w:rFonts w:hint="eastAsia" w:ascii="方正仿宋_GBK" w:hAnsi="方正仿宋_GBK" w:eastAsia="方正仿宋_GBK" w:cs="方正仿宋_GBK"/>
          <w:b w:val="0"/>
          <w:sz w:val="32"/>
          <w:szCs w:val="32"/>
          <w:highlight w:val="none"/>
          <w:lang w:bidi="ar"/>
        </w:rPr>
        <w:t>万元，</w:t>
      </w:r>
      <w:r>
        <w:rPr>
          <w:rStyle w:val="12"/>
          <w:rFonts w:hint="eastAsia" w:ascii="方正仿宋_GBK" w:hAnsi="方正仿宋_GBK" w:eastAsia="方正仿宋_GBK" w:cs="方正仿宋_GBK"/>
          <w:b w:val="0"/>
          <w:spacing w:val="-4"/>
          <w:sz w:val="32"/>
          <w:szCs w:val="32"/>
          <w:highlight w:val="none"/>
          <w:lang w:val="en-US" w:eastAsia="zh-CN"/>
        </w:rPr>
        <w:t>其中，年初预算项目24个，涉及金额14612、22万元，年中追加项目34个，涉及金额32274、45万元，上年结转项目11个，涉及金额9543、77万元，</w:t>
      </w:r>
      <w:r>
        <w:rPr>
          <w:rStyle w:val="12"/>
          <w:rFonts w:hint="eastAsia" w:ascii="方正仿宋_GBK" w:hAnsi="方正仿宋_GBK" w:eastAsia="方正仿宋_GBK" w:cs="方正仿宋_GBK"/>
          <w:b w:val="0"/>
          <w:spacing w:val="-4"/>
          <w:sz w:val="32"/>
          <w:szCs w:val="32"/>
          <w:highlight w:val="none"/>
        </w:rPr>
        <w:t>主要用于高标准农田建设</w:t>
      </w:r>
      <w:r>
        <w:rPr>
          <w:rStyle w:val="12"/>
          <w:rFonts w:hint="eastAsia" w:ascii="方正仿宋_GBK" w:hAnsi="方正仿宋_GBK" w:eastAsia="方正仿宋_GBK" w:cs="方正仿宋_GBK"/>
          <w:b w:val="0"/>
          <w:spacing w:val="-4"/>
          <w:sz w:val="32"/>
          <w:szCs w:val="32"/>
          <w:highlight w:val="none"/>
          <w:lang w:eastAsia="zh-CN"/>
        </w:rPr>
        <w:t>、大豆生产基地建设、</w:t>
      </w:r>
      <w:r>
        <w:rPr>
          <w:rStyle w:val="12"/>
          <w:rFonts w:hint="eastAsia" w:ascii="方正仿宋_GBK" w:hAnsi="方正仿宋_GBK" w:eastAsia="方正仿宋_GBK" w:cs="方正仿宋_GBK"/>
          <w:b w:val="0"/>
          <w:spacing w:val="-4"/>
          <w:sz w:val="32"/>
          <w:szCs w:val="32"/>
          <w:highlight w:val="none"/>
          <w:lang w:val="en-US" w:eastAsia="zh-CN"/>
        </w:rPr>
        <w:t>发放耕地地力保护补贴、地膜科学回收、农机购置补贴等</w:t>
      </w:r>
      <w:r>
        <w:rPr>
          <w:rStyle w:val="12"/>
          <w:rFonts w:hint="eastAsia" w:ascii="方正仿宋_GBK" w:hAnsi="方正仿宋_GBK" w:eastAsia="方正仿宋_GBK" w:cs="方正仿宋_GBK"/>
          <w:b w:val="0"/>
          <w:spacing w:val="-4"/>
          <w:sz w:val="32"/>
          <w:szCs w:val="32"/>
          <w:highlight w:val="none"/>
        </w:rPr>
        <w:t>。</w:t>
      </w:r>
    </w:p>
    <w:p>
      <w:pPr>
        <w:keepNext w:val="0"/>
        <w:keepLines w:val="0"/>
        <w:pageBreakBefore w:val="0"/>
        <w:numPr>
          <w:ilvl w:val="0"/>
          <w:numId w:val="1"/>
        </w:numPr>
        <w:kinsoku/>
        <w:wordWrap/>
        <w:overflowPunct/>
        <w:topLinePunct w:val="0"/>
        <w:autoSpaceDE/>
        <w:autoSpaceDN/>
        <w:bidi w:val="0"/>
        <w:adjustRightInd/>
        <w:spacing w:beforeAutospacing="0" w:afterAutospacing="0" w:line="570" w:lineRule="exact"/>
        <w:ind w:left="0" w:firstLine="640" w:firstLineChars="200"/>
        <w:jc w:val="both"/>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部门单位整体支出管理及使用情况</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Cs w:val="0"/>
          <w:spacing w:val="-4"/>
          <w:sz w:val="32"/>
          <w:szCs w:val="32"/>
        </w:rPr>
      </w:pPr>
      <w:r>
        <w:rPr>
          <w:rStyle w:val="12"/>
          <w:rFonts w:hint="eastAsia" w:ascii="方正仿宋_GBK" w:hAnsi="方正仿宋_GBK" w:eastAsia="方正仿宋_GBK" w:cs="方正仿宋_GBK"/>
          <w:bCs w:val="0"/>
          <w:spacing w:val="-4"/>
          <w:sz w:val="32"/>
          <w:szCs w:val="32"/>
        </w:rPr>
        <w:t>（一）基本支出和使用情况</w:t>
      </w:r>
      <w:r>
        <w:rPr>
          <w:rStyle w:val="12"/>
          <w:rFonts w:hint="eastAsia" w:ascii="方正仿宋_GBK" w:hAnsi="方正仿宋_GBK" w:eastAsia="方正仿宋_GBK" w:cs="方正仿宋_GBK"/>
          <w:bCs w:val="0"/>
          <w:spacing w:val="-4"/>
          <w:sz w:val="32"/>
          <w:szCs w:val="32"/>
        </w:rPr>
        <w:tab/>
      </w:r>
    </w:p>
    <w:p>
      <w:pPr>
        <w:keepNext w:val="0"/>
        <w:keepLines w:val="0"/>
        <w:pageBreakBefore w:val="0"/>
        <w:kinsoku/>
        <w:wordWrap/>
        <w:overflowPunct/>
        <w:topLinePunct w:val="0"/>
        <w:autoSpaceDE/>
        <w:autoSpaceDN/>
        <w:bidi w:val="0"/>
        <w:adjustRightInd/>
        <w:spacing w:beforeAutospacing="0" w:afterAutospacing="0" w:line="570" w:lineRule="exact"/>
        <w:ind w:left="0" w:firstLine="640"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z w:val="32"/>
          <w:szCs w:val="32"/>
          <w:lang w:eastAsia="zh-CN" w:bidi="ar"/>
        </w:rPr>
        <w:t>2024</w:t>
      </w:r>
      <w:r>
        <w:rPr>
          <w:rStyle w:val="12"/>
          <w:rFonts w:hint="eastAsia" w:ascii="方正仿宋_GBK" w:hAnsi="方正仿宋_GBK" w:eastAsia="方正仿宋_GBK" w:cs="方正仿宋_GBK"/>
          <w:b w:val="0"/>
          <w:color w:val="auto"/>
          <w:sz w:val="32"/>
          <w:szCs w:val="32"/>
          <w:lang w:bidi="ar"/>
        </w:rPr>
        <w:t>年本单位基本支出全年预算总额</w:t>
      </w:r>
      <w:r>
        <w:rPr>
          <w:rStyle w:val="12"/>
          <w:rFonts w:hint="eastAsia" w:ascii="方正仿宋_GBK" w:hAnsi="方正仿宋_GBK" w:eastAsia="方正仿宋_GBK" w:cs="方正仿宋_GBK"/>
          <w:b w:val="0"/>
          <w:color w:val="auto"/>
          <w:sz w:val="32"/>
          <w:szCs w:val="32"/>
          <w:lang w:val="en-US" w:eastAsia="zh-CN" w:bidi="ar"/>
        </w:rPr>
        <w:t>2527、54</w:t>
      </w:r>
      <w:r>
        <w:rPr>
          <w:rStyle w:val="12"/>
          <w:rFonts w:hint="eastAsia" w:ascii="方正仿宋_GBK" w:hAnsi="方正仿宋_GBK" w:eastAsia="方正仿宋_GBK" w:cs="方正仿宋_GBK"/>
          <w:b w:val="0"/>
          <w:color w:val="auto"/>
          <w:sz w:val="32"/>
          <w:szCs w:val="32"/>
          <w:lang w:bidi="ar"/>
        </w:rPr>
        <w:t>万元，其中：人员经费</w:t>
      </w:r>
      <w:r>
        <w:rPr>
          <w:rStyle w:val="12"/>
          <w:rFonts w:hint="eastAsia" w:ascii="方正仿宋_GBK" w:hAnsi="方正仿宋_GBK" w:eastAsia="方正仿宋_GBK" w:cs="方正仿宋_GBK"/>
          <w:b w:val="0"/>
          <w:color w:val="auto"/>
          <w:sz w:val="32"/>
          <w:szCs w:val="32"/>
          <w:lang w:val="en-US" w:eastAsia="zh-CN" w:bidi="ar"/>
        </w:rPr>
        <w:t>2401、64</w:t>
      </w:r>
      <w:r>
        <w:rPr>
          <w:rStyle w:val="12"/>
          <w:rFonts w:hint="eastAsia" w:ascii="方正仿宋_GBK" w:hAnsi="方正仿宋_GBK" w:eastAsia="方正仿宋_GBK" w:cs="方正仿宋_GBK"/>
          <w:b w:val="0"/>
          <w:color w:val="auto"/>
          <w:sz w:val="32"/>
          <w:szCs w:val="32"/>
          <w:lang w:bidi="ar"/>
        </w:rPr>
        <w:t>万元，公用经费</w:t>
      </w:r>
      <w:r>
        <w:rPr>
          <w:rStyle w:val="12"/>
          <w:rFonts w:hint="eastAsia" w:ascii="方正仿宋_GBK" w:hAnsi="方正仿宋_GBK" w:eastAsia="方正仿宋_GBK" w:cs="方正仿宋_GBK"/>
          <w:b w:val="0"/>
          <w:color w:val="auto"/>
          <w:sz w:val="32"/>
          <w:szCs w:val="32"/>
          <w:lang w:val="en-US" w:eastAsia="zh-CN" w:bidi="ar"/>
        </w:rPr>
        <w:t>125、9</w:t>
      </w:r>
      <w:r>
        <w:rPr>
          <w:rStyle w:val="12"/>
          <w:rFonts w:hint="eastAsia" w:ascii="方正仿宋_GBK" w:hAnsi="方正仿宋_GBK" w:eastAsia="方正仿宋_GBK" w:cs="方正仿宋_GBK"/>
          <w:b w:val="0"/>
          <w:color w:val="auto"/>
          <w:sz w:val="32"/>
          <w:szCs w:val="32"/>
          <w:lang w:bidi="ar"/>
        </w:rPr>
        <w:t>万元。实际</w:t>
      </w:r>
      <w:r>
        <w:rPr>
          <w:rStyle w:val="12"/>
          <w:rFonts w:hint="eastAsia" w:ascii="方正仿宋_GBK" w:hAnsi="方正仿宋_GBK" w:eastAsia="方正仿宋_GBK" w:cs="方正仿宋_GBK"/>
          <w:b w:val="0"/>
          <w:color w:val="auto"/>
          <w:sz w:val="32"/>
          <w:szCs w:val="32"/>
          <w:lang w:eastAsia="zh-CN" w:bidi="ar"/>
        </w:rPr>
        <w:t>全年</w:t>
      </w:r>
      <w:r>
        <w:rPr>
          <w:rStyle w:val="12"/>
          <w:rFonts w:hint="eastAsia" w:ascii="方正仿宋_GBK" w:hAnsi="方正仿宋_GBK" w:eastAsia="方正仿宋_GBK" w:cs="方正仿宋_GBK"/>
          <w:b w:val="0"/>
          <w:color w:val="auto"/>
          <w:sz w:val="32"/>
          <w:szCs w:val="32"/>
          <w:lang w:bidi="ar"/>
        </w:rPr>
        <w:t>支出</w:t>
      </w:r>
      <w:r>
        <w:rPr>
          <w:rStyle w:val="12"/>
          <w:rFonts w:hint="eastAsia" w:ascii="方正仿宋_GBK" w:hAnsi="方正仿宋_GBK" w:eastAsia="方正仿宋_GBK" w:cs="方正仿宋_GBK"/>
          <w:b w:val="0"/>
          <w:color w:val="auto"/>
          <w:sz w:val="32"/>
          <w:szCs w:val="32"/>
          <w:lang w:val="en-US" w:eastAsia="zh-CN" w:bidi="ar"/>
        </w:rPr>
        <w:t>2524、42</w:t>
      </w:r>
      <w:r>
        <w:rPr>
          <w:rStyle w:val="12"/>
          <w:rFonts w:hint="eastAsia" w:ascii="方正仿宋_GBK" w:hAnsi="方正仿宋_GBK" w:eastAsia="方正仿宋_GBK" w:cs="方正仿宋_GBK"/>
          <w:b w:val="0"/>
          <w:color w:val="auto"/>
          <w:sz w:val="32"/>
          <w:szCs w:val="32"/>
          <w:lang w:bidi="ar"/>
        </w:rPr>
        <w:t>万元，基本支出预算执行率</w:t>
      </w:r>
      <w:r>
        <w:rPr>
          <w:rStyle w:val="12"/>
          <w:rFonts w:hint="eastAsia" w:ascii="方正仿宋_GBK" w:hAnsi="方正仿宋_GBK" w:eastAsia="方正仿宋_GBK" w:cs="方正仿宋_GBK"/>
          <w:b w:val="0"/>
          <w:color w:val="auto"/>
          <w:sz w:val="32"/>
          <w:szCs w:val="32"/>
          <w:lang w:val="en-US" w:eastAsia="zh-CN" w:bidi="ar"/>
        </w:rPr>
        <w:t>99、9%</w:t>
      </w:r>
      <w:r>
        <w:rPr>
          <w:rStyle w:val="12"/>
          <w:rFonts w:hint="eastAsia" w:ascii="方正仿宋_GBK" w:hAnsi="方正仿宋_GBK" w:eastAsia="方正仿宋_GBK" w:cs="方正仿宋_GBK"/>
          <w:b w:val="0"/>
          <w:color w:val="auto"/>
          <w:sz w:val="32"/>
          <w:szCs w:val="32"/>
          <w:lang w:bidi="ar"/>
        </w:rPr>
        <w:t>。</w:t>
      </w:r>
    </w:p>
    <w:p>
      <w:pPr>
        <w:keepNext w:val="0"/>
        <w:keepLines w:val="0"/>
        <w:pageBreakBefore w:val="0"/>
        <w:kinsoku/>
        <w:wordWrap/>
        <w:overflowPunct/>
        <w:topLinePunct w:val="0"/>
        <w:autoSpaceDE/>
        <w:autoSpaceDN/>
        <w:bidi w:val="0"/>
        <w:adjustRightInd/>
        <w:spacing w:beforeAutospacing="0" w:afterAutospacing="0" w:line="570" w:lineRule="exact"/>
        <w:ind w:left="0" w:firstLine="640" w:firstLineChars="200"/>
        <w:jc w:val="both"/>
        <w:rPr>
          <w:rStyle w:val="12"/>
          <w:rFonts w:hint="eastAsia" w:ascii="方正仿宋_GBK" w:hAnsi="方正仿宋_GBK" w:eastAsia="方正仿宋_GBK" w:cs="方正仿宋_GBK"/>
          <w:b w:val="0"/>
          <w:color w:val="auto"/>
          <w:sz w:val="32"/>
          <w:szCs w:val="32"/>
          <w:lang w:bidi="ar"/>
        </w:rPr>
      </w:pPr>
      <w:r>
        <w:rPr>
          <w:rStyle w:val="12"/>
          <w:rFonts w:hint="eastAsia" w:ascii="方正仿宋_GBK" w:hAnsi="方正仿宋_GBK" w:eastAsia="方正仿宋_GBK" w:cs="方正仿宋_GBK"/>
          <w:b w:val="0"/>
          <w:color w:val="auto"/>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Cs w:val="0"/>
          <w:spacing w:val="-4"/>
          <w:sz w:val="32"/>
          <w:szCs w:val="32"/>
        </w:rPr>
      </w:pPr>
      <w:r>
        <w:rPr>
          <w:rStyle w:val="12"/>
          <w:rFonts w:hint="eastAsia" w:ascii="方正仿宋_GBK" w:hAnsi="方正仿宋_GBK" w:eastAsia="方正仿宋_GBK" w:cs="方正仿宋_GBK"/>
          <w:bCs w:val="0"/>
          <w:spacing w:val="-4"/>
          <w:sz w:val="32"/>
          <w:szCs w:val="32"/>
        </w:rPr>
        <w:t>（二）项目管理和使用情况</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spacing w:val="-4"/>
          <w:sz w:val="32"/>
          <w:szCs w:val="32"/>
        </w:rPr>
      </w:pPr>
      <w:r>
        <w:rPr>
          <w:rStyle w:val="12"/>
          <w:rFonts w:hint="eastAsia" w:ascii="方正仿宋_GBK" w:hAnsi="方正仿宋_GBK" w:eastAsia="方正仿宋_GBK" w:cs="方正仿宋_GBK"/>
          <w:spacing w:val="-4"/>
          <w:sz w:val="32"/>
          <w:szCs w:val="32"/>
        </w:rPr>
        <w:t>1</w:t>
      </w: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spacing w:val="-4"/>
          <w:sz w:val="32"/>
          <w:szCs w:val="32"/>
        </w:rPr>
        <w:t>项目管理情况</w:t>
      </w:r>
    </w:p>
    <w:p>
      <w:pPr>
        <w:pStyle w:val="17"/>
        <w:keepNext w:val="0"/>
        <w:keepLines w:val="0"/>
        <w:pageBreakBefore w:val="0"/>
        <w:kinsoku/>
        <w:wordWrap/>
        <w:overflowPunct/>
        <w:topLinePunct w:val="0"/>
        <w:autoSpaceDE/>
        <w:autoSpaceDN/>
        <w:bidi w:val="0"/>
        <w:adjustRightInd/>
        <w:snapToGrid w:val="0"/>
        <w:spacing w:beforeAutospacing="0" w:afterAutospacing="0" w:line="570" w:lineRule="exact"/>
        <w:ind w:left="0" w:firstLine="643" w:firstLineChars="200"/>
        <w:jc w:val="both"/>
        <w:rPr>
          <w:rStyle w:val="12"/>
          <w:rFonts w:hint="eastAsia" w:ascii="方正仿宋_GBK" w:hAnsi="方正仿宋_GBK" w:eastAsia="方正仿宋_GBK" w:cs="方正仿宋_GBK"/>
          <w:b w:val="0"/>
          <w:sz w:val="32"/>
          <w:szCs w:val="32"/>
          <w:lang w:bidi="ar"/>
        </w:rPr>
      </w:pPr>
      <w:r>
        <w:rPr>
          <w:rStyle w:val="12"/>
          <w:rFonts w:hint="eastAsia" w:ascii="方正仿宋_GBK" w:hAnsi="方正仿宋_GBK" w:eastAsia="方正仿宋_GBK" w:cs="方正仿宋_GBK"/>
          <w:color w:val="333333"/>
          <w:sz w:val="32"/>
          <w:szCs w:val="32"/>
          <w:lang w:bidi="ar"/>
        </w:rPr>
        <w:t>（1）</w:t>
      </w:r>
      <w:r>
        <w:rPr>
          <w:rStyle w:val="12"/>
          <w:rFonts w:hint="eastAsia" w:ascii="方正仿宋_GBK" w:hAnsi="方正仿宋_GBK" w:eastAsia="方正仿宋_GBK" w:cs="方正仿宋_GBK"/>
          <w:b w:val="0"/>
          <w:sz w:val="32"/>
          <w:szCs w:val="32"/>
          <w:lang w:bidi="ar"/>
        </w:rPr>
        <w:t>管理制度健全性</w:t>
      </w:r>
    </w:p>
    <w:p>
      <w:pPr>
        <w:pStyle w:val="17"/>
        <w:keepNext w:val="0"/>
        <w:keepLines w:val="0"/>
        <w:pageBreakBefore w:val="0"/>
        <w:kinsoku/>
        <w:wordWrap/>
        <w:overflowPunct/>
        <w:topLinePunct w:val="0"/>
        <w:autoSpaceDE/>
        <w:autoSpaceDN/>
        <w:bidi w:val="0"/>
        <w:adjustRightInd/>
        <w:snapToGrid w:val="0"/>
        <w:spacing w:beforeAutospacing="0" w:afterAutospacing="0" w:line="570" w:lineRule="exact"/>
        <w:ind w:left="0" w:firstLine="640" w:firstLineChars="200"/>
        <w:jc w:val="both"/>
        <w:rPr>
          <w:rStyle w:val="12"/>
          <w:rFonts w:hint="eastAsia" w:ascii="方正仿宋_GBK" w:hAnsi="方正仿宋_GBK" w:eastAsia="方正仿宋_GBK" w:cs="方正仿宋_GBK"/>
          <w:b w:val="0"/>
          <w:sz w:val="32"/>
          <w:szCs w:val="32"/>
          <w:lang w:bidi="ar"/>
        </w:rPr>
      </w:pPr>
      <w:r>
        <w:rPr>
          <w:rStyle w:val="12"/>
          <w:rFonts w:hint="eastAsia" w:ascii="方正仿宋_GBK" w:hAnsi="方正仿宋_GBK" w:eastAsia="方正仿宋_GBK" w:cs="方正仿宋_GBK"/>
          <w:b w:val="0"/>
          <w:sz w:val="32"/>
          <w:szCs w:val="32"/>
          <w:lang w:bidi="ar"/>
        </w:rPr>
        <w:t>本</w:t>
      </w:r>
      <w:r>
        <w:rPr>
          <w:rFonts w:hint="eastAsia" w:ascii="方正仿宋_GBK" w:hAnsi="方正仿宋_GBK" w:eastAsia="方正仿宋_GBK" w:cs="方正仿宋_GBK"/>
          <w:sz w:val="32"/>
          <w:szCs w:val="32"/>
          <w:lang w:eastAsia="zh-CN"/>
        </w:rPr>
        <w:t>单位从预算收支管理、资产管理、政府采购管理、合同管理等方面，健</w:t>
      </w:r>
      <w:r>
        <w:rPr>
          <w:rFonts w:hint="eastAsia" w:ascii="方正仿宋_GBK" w:hAnsi="方正仿宋_GBK" w:eastAsia="方正仿宋_GBK" w:cs="方正仿宋_GBK"/>
          <w:color w:val="auto"/>
          <w:sz w:val="32"/>
          <w:szCs w:val="32"/>
          <w:lang w:eastAsia="zh-CN"/>
        </w:rPr>
        <w:t>全和完善单位财务管理制度、坚定实施各项内部控制制度；</w:t>
      </w:r>
      <w:r>
        <w:rPr>
          <w:rStyle w:val="12"/>
          <w:rFonts w:hint="eastAsia" w:ascii="方正仿宋_GBK" w:hAnsi="方正仿宋_GBK" w:eastAsia="方正仿宋_GBK" w:cs="方正仿宋_GBK"/>
          <w:b w:val="0"/>
          <w:color w:val="auto"/>
          <w:sz w:val="32"/>
          <w:szCs w:val="32"/>
          <w:lang w:bidi="ar"/>
        </w:rPr>
        <w:t>为加强预算管理，规范财务行为，已制定《</w:t>
      </w:r>
      <w:r>
        <w:rPr>
          <w:rStyle w:val="12"/>
          <w:rFonts w:hint="eastAsia" w:ascii="方正仿宋_GBK" w:hAnsi="方正仿宋_GBK" w:eastAsia="方正仿宋_GBK" w:cs="方正仿宋_GBK"/>
          <w:b w:val="0"/>
          <w:color w:val="auto"/>
          <w:sz w:val="32"/>
          <w:szCs w:val="32"/>
          <w:lang w:val="en-US" w:eastAsia="zh-CN" w:bidi="ar"/>
        </w:rPr>
        <w:t>麦盖提县农业农村局</w:t>
      </w:r>
      <w:r>
        <w:rPr>
          <w:rStyle w:val="12"/>
          <w:rFonts w:hint="eastAsia" w:ascii="方正仿宋_GBK" w:hAnsi="方正仿宋_GBK" w:eastAsia="方正仿宋_GBK" w:cs="方正仿宋_GBK"/>
          <w:b w:val="0"/>
          <w:color w:val="auto"/>
          <w:sz w:val="32"/>
          <w:szCs w:val="32"/>
          <w:lang w:bidi="ar"/>
        </w:rPr>
        <w:t>预算绩效管理工作实施办法</w:t>
      </w:r>
      <w:r>
        <w:rPr>
          <w:rStyle w:val="12"/>
          <w:rFonts w:hint="eastAsia" w:ascii="方正仿宋_GBK" w:hAnsi="方正仿宋_GBK" w:eastAsia="方正仿宋_GBK" w:cs="方正仿宋_GBK"/>
          <w:b w:val="0"/>
          <w:color w:val="auto"/>
          <w:sz w:val="32"/>
          <w:szCs w:val="32"/>
          <w:lang w:eastAsia="zh-CN" w:bidi="ar"/>
        </w:rPr>
        <w:t>》《</w:t>
      </w:r>
      <w:r>
        <w:rPr>
          <w:rStyle w:val="12"/>
          <w:rFonts w:hint="eastAsia" w:ascii="方正仿宋_GBK" w:hAnsi="方正仿宋_GBK" w:eastAsia="方正仿宋_GBK" w:cs="方正仿宋_GBK"/>
          <w:b w:val="0"/>
          <w:color w:val="auto"/>
          <w:sz w:val="32"/>
          <w:szCs w:val="32"/>
          <w:lang w:val="en-US" w:eastAsia="zh-CN" w:bidi="ar"/>
        </w:rPr>
        <w:t>麦盖提县农业农村局</w:t>
      </w:r>
      <w:r>
        <w:rPr>
          <w:rStyle w:val="12"/>
          <w:rFonts w:hint="eastAsia" w:ascii="方正仿宋_GBK" w:hAnsi="方正仿宋_GBK" w:eastAsia="方正仿宋_GBK" w:cs="方正仿宋_GBK"/>
          <w:b w:val="0"/>
          <w:color w:val="auto"/>
          <w:sz w:val="32"/>
          <w:szCs w:val="32"/>
          <w:lang w:bidi="ar"/>
        </w:rPr>
        <w:t>财务管理制度》《</w:t>
      </w:r>
      <w:r>
        <w:rPr>
          <w:rStyle w:val="12"/>
          <w:rFonts w:hint="eastAsia" w:ascii="方正仿宋_GBK" w:hAnsi="方正仿宋_GBK" w:eastAsia="方正仿宋_GBK" w:cs="方正仿宋_GBK"/>
          <w:b w:val="0"/>
          <w:color w:val="auto"/>
          <w:sz w:val="32"/>
          <w:szCs w:val="32"/>
          <w:lang w:val="en-US" w:eastAsia="zh-CN" w:bidi="ar"/>
        </w:rPr>
        <w:t>麦盖提县农业农村局</w:t>
      </w:r>
      <w:r>
        <w:rPr>
          <w:rStyle w:val="12"/>
          <w:rFonts w:hint="eastAsia" w:ascii="方正仿宋_GBK" w:hAnsi="方正仿宋_GBK" w:eastAsia="方正仿宋_GBK" w:cs="方正仿宋_GBK"/>
          <w:b w:val="0"/>
          <w:color w:val="auto"/>
          <w:sz w:val="32"/>
          <w:szCs w:val="32"/>
          <w:lang w:eastAsia="zh-CN" w:bidi="ar"/>
        </w:rPr>
        <w:t>项目</w:t>
      </w:r>
      <w:r>
        <w:rPr>
          <w:rStyle w:val="12"/>
          <w:rFonts w:hint="eastAsia" w:ascii="方正仿宋_GBK" w:hAnsi="方正仿宋_GBK" w:eastAsia="方正仿宋_GBK" w:cs="方正仿宋_GBK"/>
          <w:b w:val="0"/>
          <w:color w:val="auto"/>
          <w:sz w:val="32"/>
          <w:szCs w:val="32"/>
          <w:lang w:bidi="ar"/>
        </w:rPr>
        <w:t>管理制度》等健全完整的各项管理制度，有效保障了我单位高效的履行工作职能，较</w:t>
      </w:r>
      <w:r>
        <w:rPr>
          <w:rStyle w:val="12"/>
          <w:rFonts w:hint="eastAsia" w:ascii="方正仿宋_GBK" w:hAnsi="方正仿宋_GBK" w:eastAsia="方正仿宋_GBK" w:cs="方正仿宋_GBK"/>
          <w:b w:val="0"/>
          <w:color w:val="auto"/>
          <w:sz w:val="32"/>
          <w:szCs w:val="32"/>
          <w:lang w:eastAsia="zh-CN" w:bidi="ar"/>
        </w:rPr>
        <w:t>好地</w:t>
      </w:r>
      <w:r>
        <w:rPr>
          <w:rStyle w:val="12"/>
          <w:rFonts w:hint="eastAsia" w:ascii="方正仿宋_GBK" w:hAnsi="方正仿宋_GBK" w:eastAsia="方正仿宋_GBK" w:cs="方正仿宋_GBK"/>
          <w:b w:val="0"/>
          <w:color w:val="auto"/>
          <w:sz w:val="32"/>
          <w:szCs w:val="32"/>
          <w:lang w:bidi="ar"/>
        </w:rPr>
        <w:t>促进事业发展。</w:t>
      </w:r>
    </w:p>
    <w:p>
      <w:pPr>
        <w:pStyle w:val="17"/>
        <w:keepNext w:val="0"/>
        <w:keepLines w:val="0"/>
        <w:pageBreakBefore w:val="0"/>
        <w:kinsoku/>
        <w:wordWrap/>
        <w:overflowPunct/>
        <w:topLinePunct w:val="0"/>
        <w:autoSpaceDE/>
        <w:autoSpaceDN/>
        <w:bidi w:val="0"/>
        <w:adjustRightInd/>
        <w:snapToGrid w:val="0"/>
        <w:spacing w:beforeAutospacing="0" w:afterAutospacing="0" w:line="570" w:lineRule="exact"/>
        <w:ind w:left="0" w:firstLine="640" w:firstLineChars="200"/>
        <w:jc w:val="both"/>
        <w:rPr>
          <w:rStyle w:val="12"/>
          <w:rFonts w:hint="eastAsia" w:ascii="方正仿宋_GBK" w:hAnsi="方正仿宋_GBK" w:eastAsia="方正仿宋_GBK" w:cs="方正仿宋_GBK"/>
          <w:b w:val="0"/>
          <w:sz w:val="32"/>
          <w:szCs w:val="32"/>
          <w:lang w:bidi="ar"/>
        </w:rPr>
      </w:pPr>
      <w:r>
        <w:rPr>
          <w:rStyle w:val="12"/>
          <w:rFonts w:hint="eastAsia" w:ascii="方正仿宋_GBK" w:hAnsi="方正仿宋_GBK" w:eastAsia="方正仿宋_GBK" w:cs="方正仿宋_GBK"/>
          <w:b w:val="0"/>
          <w:sz w:val="32"/>
          <w:szCs w:val="32"/>
          <w:lang w:bidi="ar"/>
        </w:rPr>
        <w:t>（2）资金使用合规性和安全性</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left="0" w:firstLine="640" w:firstLineChars="200"/>
        <w:jc w:val="both"/>
        <w:textAlignment w:val="auto"/>
        <w:rPr>
          <w:rStyle w:val="12"/>
          <w:rFonts w:hint="eastAsia" w:ascii="方正仿宋_GBK" w:hAnsi="方正仿宋_GBK" w:eastAsia="方正仿宋_GBK" w:cs="方正仿宋_GBK"/>
          <w:b w:val="0"/>
          <w:sz w:val="32"/>
          <w:szCs w:val="32"/>
          <w:highlight w:val="yellow"/>
          <w:lang w:bidi="ar"/>
        </w:rPr>
      </w:pPr>
      <w:r>
        <w:rPr>
          <w:rStyle w:val="12"/>
          <w:rFonts w:hint="eastAsia" w:ascii="方正仿宋_GBK" w:hAnsi="方正仿宋_GBK" w:eastAsia="方正仿宋_GBK" w:cs="方正仿宋_GBK"/>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spacing w:val="-4"/>
          <w:sz w:val="32"/>
          <w:szCs w:val="32"/>
        </w:rPr>
      </w:pPr>
      <w:r>
        <w:rPr>
          <w:rStyle w:val="12"/>
          <w:rFonts w:hint="eastAsia" w:ascii="方正仿宋_GBK" w:hAnsi="方正仿宋_GBK" w:eastAsia="方正仿宋_GBK" w:cs="方正仿宋_GBK"/>
          <w:spacing w:val="-4"/>
          <w:sz w:val="32"/>
          <w:szCs w:val="32"/>
        </w:rPr>
        <w:t>2</w:t>
      </w: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spacing w:val="-4"/>
          <w:sz w:val="32"/>
          <w:szCs w:val="32"/>
        </w:rPr>
        <w:t>项目使用情况</w:t>
      </w:r>
    </w:p>
    <w:p>
      <w:pPr>
        <w:keepNext w:val="0"/>
        <w:keepLines w:val="0"/>
        <w:pageBreakBefore w:val="0"/>
        <w:tabs>
          <w:tab w:val="left" w:pos="4344"/>
        </w:tabs>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2024</w:t>
      </w:r>
      <w:r>
        <w:rPr>
          <w:rStyle w:val="12"/>
          <w:rFonts w:hint="eastAsia" w:ascii="方正仿宋_GBK" w:hAnsi="方正仿宋_GBK" w:eastAsia="方正仿宋_GBK" w:cs="方正仿宋_GBK"/>
          <w:b w:val="0"/>
          <w:color w:val="auto"/>
          <w:spacing w:val="-4"/>
          <w:sz w:val="32"/>
          <w:szCs w:val="32"/>
        </w:rPr>
        <w:t>年本单位共有</w:t>
      </w:r>
      <w:r>
        <w:rPr>
          <w:rStyle w:val="12"/>
          <w:rFonts w:hint="eastAsia" w:ascii="方正仿宋_GBK" w:hAnsi="方正仿宋_GBK" w:eastAsia="方正仿宋_GBK" w:cs="方正仿宋_GBK"/>
          <w:b w:val="0"/>
          <w:color w:val="auto"/>
          <w:spacing w:val="-4"/>
          <w:sz w:val="32"/>
          <w:szCs w:val="32"/>
          <w:lang w:val="en-US" w:eastAsia="zh-CN"/>
        </w:rPr>
        <w:t>69</w:t>
      </w:r>
      <w:r>
        <w:rPr>
          <w:rStyle w:val="12"/>
          <w:rFonts w:hint="eastAsia" w:ascii="方正仿宋_GBK" w:hAnsi="方正仿宋_GBK" w:eastAsia="方正仿宋_GBK" w:cs="方正仿宋_GBK"/>
          <w:b w:val="0"/>
          <w:color w:val="auto"/>
          <w:spacing w:val="-4"/>
          <w:sz w:val="32"/>
          <w:szCs w:val="32"/>
        </w:rPr>
        <w:t>个项目，项目总金额为</w:t>
      </w:r>
      <w:r>
        <w:rPr>
          <w:rStyle w:val="12"/>
          <w:rFonts w:hint="eastAsia" w:ascii="方正仿宋_GBK" w:hAnsi="方正仿宋_GBK" w:eastAsia="方正仿宋_GBK" w:cs="方正仿宋_GBK"/>
          <w:b w:val="0"/>
          <w:color w:val="auto"/>
          <w:spacing w:val="-4"/>
          <w:sz w:val="32"/>
          <w:szCs w:val="32"/>
          <w:lang w:val="en-US" w:eastAsia="zh-CN"/>
        </w:rPr>
        <w:t>64957、98</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56430、43</w:t>
      </w:r>
      <w:r>
        <w:rPr>
          <w:rStyle w:val="12"/>
          <w:rFonts w:hint="eastAsia" w:ascii="方正仿宋_GBK" w:hAnsi="方正仿宋_GBK" w:eastAsia="方正仿宋_GBK" w:cs="方正仿宋_GBK"/>
          <w:b w:val="0"/>
          <w:color w:val="auto"/>
          <w:spacing w:val="-4"/>
          <w:sz w:val="32"/>
          <w:szCs w:val="32"/>
        </w:rPr>
        <w:t>万元。其中：</w:t>
      </w:r>
    </w:p>
    <w:p>
      <w:pPr>
        <w:keepNext w:val="0"/>
        <w:keepLines w:val="0"/>
        <w:pageBreakBefore w:val="0"/>
        <w:numPr>
          <w:ilvl w:val="0"/>
          <w:numId w:val="2"/>
        </w:numPr>
        <w:tabs>
          <w:tab w:val="left" w:pos="4344"/>
        </w:tabs>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color w:val="auto"/>
          <w:spacing w:val="-4"/>
          <w:sz w:val="32"/>
          <w:szCs w:val="32"/>
        </w:rPr>
        <w:t>转移支付项目</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lang w:eastAsia="zh-CN"/>
        </w:rPr>
      </w:pPr>
      <w:r>
        <w:rPr>
          <w:rStyle w:val="12"/>
          <w:rFonts w:hint="eastAsia" w:ascii="方正仿宋_GBK" w:hAnsi="方正仿宋_GBK" w:eastAsia="方正仿宋_GBK" w:cs="方正仿宋_GBK"/>
          <w:b w:val="0"/>
          <w:color w:val="auto"/>
          <w:spacing w:val="-4"/>
          <w:sz w:val="32"/>
          <w:szCs w:val="32"/>
          <w:lang w:eastAsia="zh-CN"/>
        </w:rPr>
        <w:t>本年转移支</w:t>
      </w:r>
      <w:r>
        <w:rPr>
          <w:rStyle w:val="12"/>
          <w:rFonts w:hint="eastAsia" w:ascii="方正仿宋_GBK" w:hAnsi="方正仿宋_GBK" w:eastAsia="方正仿宋_GBK" w:cs="方正仿宋_GBK"/>
          <w:b w:val="0"/>
          <w:spacing w:val="-4"/>
          <w:sz w:val="32"/>
          <w:szCs w:val="32"/>
          <w:lang w:eastAsia="zh-CN"/>
        </w:rPr>
        <w:t>付资金</w:t>
      </w:r>
      <w:r>
        <w:rPr>
          <w:rStyle w:val="12"/>
          <w:rFonts w:hint="eastAsia" w:ascii="方正仿宋_GBK" w:hAnsi="方正仿宋_GBK" w:eastAsia="方正仿宋_GBK" w:cs="方正仿宋_GBK"/>
          <w:b w:val="0"/>
          <w:color w:val="auto"/>
          <w:spacing w:val="-4"/>
          <w:sz w:val="32"/>
          <w:szCs w:val="32"/>
          <w:lang w:eastAsia="zh-CN"/>
        </w:rPr>
        <w:t>共计</w:t>
      </w:r>
      <w:r>
        <w:rPr>
          <w:rStyle w:val="12"/>
          <w:rFonts w:hint="eastAsia" w:ascii="方正仿宋_GBK" w:hAnsi="方正仿宋_GBK" w:eastAsia="方正仿宋_GBK" w:cs="方正仿宋_GBK"/>
          <w:b w:val="0"/>
          <w:color w:val="auto"/>
          <w:spacing w:val="-4"/>
          <w:sz w:val="32"/>
          <w:szCs w:val="32"/>
          <w:lang w:val="en-US" w:eastAsia="zh-CN"/>
        </w:rPr>
        <w:t>46</w:t>
      </w:r>
      <w:r>
        <w:rPr>
          <w:rStyle w:val="12"/>
          <w:rFonts w:hint="eastAsia" w:ascii="方正仿宋_GBK" w:hAnsi="方正仿宋_GBK" w:eastAsia="方正仿宋_GBK" w:cs="方正仿宋_GBK"/>
          <w:b w:val="0"/>
          <w:color w:val="auto"/>
          <w:spacing w:val="-4"/>
          <w:sz w:val="32"/>
          <w:szCs w:val="32"/>
          <w:lang w:eastAsia="zh-CN"/>
        </w:rPr>
        <w:t>个项目，金额为</w:t>
      </w:r>
      <w:r>
        <w:rPr>
          <w:rStyle w:val="12"/>
          <w:rFonts w:hint="eastAsia" w:ascii="方正仿宋_GBK" w:hAnsi="方正仿宋_GBK" w:eastAsia="方正仿宋_GBK" w:cs="方正仿宋_GBK"/>
          <w:b w:val="0"/>
          <w:color w:val="auto"/>
          <w:spacing w:val="-4"/>
          <w:sz w:val="32"/>
          <w:szCs w:val="32"/>
          <w:lang w:val="en-US" w:eastAsia="zh-CN"/>
        </w:rPr>
        <w:t>51933、66</w:t>
      </w:r>
      <w:r>
        <w:rPr>
          <w:rStyle w:val="12"/>
          <w:rFonts w:hint="eastAsia" w:ascii="方正仿宋_GBK" w:hAnsi="方正仿宋_GBK" w:eastAsia="方正仿宋_GBK" w:cs="方正仿宋_GBK"/>
          <w:b w:val="0"/>
          <w:color w:val="auto"/>
          <w:spacing w:val="-4"/>
          <w:sz w:val="32"/>
          <w:szCs w:val="32"/>
          <w:lang w:eastAsia="zh-CN"/>
        </w:rPr>
        <w:t>万元，分别为：</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rPr>
        <w:t xml:space="preserve">①2024年草畜平衡奖励项目，预算金额为 </w:t>
      </w:r>
      <w:r>
        <w:rPr>
          <w:rStyle w:val="12"/>
          <w:rFonts w:hint="eastAsia" w:ascii="方正仿宋_GBK" w:hAnsi="方正仿宋_GBK" w:eastAsia="方正仿宋_GBK" w:cs="方正仿宋_GBK"/>
          <w:b w:val="0"/>
          <w:color w:val="auto"/>
          <w:spacing w:val="-4"/>
          <w:sz w:val="32"/>
          <w:szCs w:val="32"/>
          <w:lang w:val="en-US" w:eastAsia="zh-CN"/>
        </w:rPr>
        <w:t>550、2</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545、98</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发放奖补资金，减轻农民经济负担</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lang w:eastAsia="zh-CN"/>
        </w:rPr>
      </w:pPr>
      <w:r>
        <w:rPr>
          <w:rStyle w:val="12"/>
          <w:rFonts w:hint="eastAsia" w:ascii="方正仿宋_GBK" w:hAnsi="方正仿宋_GBK" w:eastAsia="方正仿宋_GBK" w:cs="方正仿宋_GBK"/>
          <w:b w:val="0"/>
          <w:color w:val="auto"/>
          <w:spacing w:val="-4"/>
          <w:sz w:val="32"/>
          <w:szCs w:val="32"/>
        </w:rPr>
        <w:t>②2024年高标准农田建设项目，预算金额为</w:t>
      </w:r>
      <w:r>
        <w:rPr>
          <w:rStyle w:val="12"/>
          <w:rFonts w:hint="eastAsia" w:ascii="方正仿宋_GBK" w:hAnsi="方正仿宋_GBK" w:eastAsia="方正仿宋_GBK" w:cs="方正仿宋_GBK"/>
          <w:b w:val="0"/>
          <w:color w:val="auto"/>
          <w:spacing w:val="-4"/>
          <w:sz w:val="32"/>
          <w:szCs w:val="32"/>
          <w:lang w:val="en-US" w:eastAsia="zh-CN"/>
        </w:rPr>
        <w:t>4112</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3516、57</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建设高标准农田，提高粮食产量</w:t>
      </w:r>
      <w:r>
        <w:rPr>
          <w:rStyle w:val="12"/>
          <w:rFonts w:hint="eastAsia" w:ascii="方正仿宋_GBK" w:hAnsi="方正仿宋_GBK" w:eastAsia="方正仿宋_GBK" w:cs="方正仿宋_GBK"/>
          <w:b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lang w:eastAsia="zh-CN"/>
        </w:rPr>
      </w:pPr>
      <w:r>
        <w:rPr>
          <w:rStyle w:val="12"/>
          <w:rFonts w:hint="eastAsia" w:ascii="方正仿宋_GBK" w:hAnsi="方正仿宋_GBK" w:eastAsia="方正仿宋_GBK" w:cs="方正仿宋_GBK"/>
          <w:b w:val="0"/>
          <w:color w:val="auto"/>
          <w:spacing w:val="-4"/>
          <w:sz w:val="32"/>
          <w:szCs w:val="32"/>
          <w:lang w:eastAsia="zh-CN"/>
        </w:rPr>
        <w:t>③2024年高素质农民培育项目</w:t>
      </w:r>
      <w:r>
        <w:rPr>
          <w:rStyle w:val="12"/>
          <w:rFonts w:hint="eastAsia" w:ascii="方正仿宋_GBK" w:hAnsi="方正仿宋_GBK" w:eastAsia="方正仿宋_GBK" w:cs="方正仿宋_GBK"/>
          <w:b w:val="0"/>
          <w:color w:val="auto"/>
          <w:spacing w:val="-4"/>
          <w:sz w:val="32"/>
          <w:szCs w:val="32"/>
        </w:rPr>
        <w:t xml:space="preserve">，预算金额为 </w:t>
      </w:r>
      <w:r>
        <w:rPr>
          <w:rStyle w:val="12"/>
          <w:rFonts w:hint="eastAsia" w:ascii="方正仿宋_GBK" w:hAnsi="方正仿宋_GBK" w:eastAsia="方正仿宋_GBK" w:cs="方正仿宋_GBK"/>
          <w:b w:val="0"/>
          <w:color w:val="auto"/>
          <w:spacing w:val="-4"/>
          <w:sz w:val="32"/>
          <w:szCs w:val="32"/>
          <w:lang w:val="en-US" w:eastAsia="zh-CN"/>
        </w:rPr>
        <w:t>85</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83</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开展高素质农民培训，提高农户综合素质</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④2024年耕地地力保护补贴项目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5357、16</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5341、23</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发放耕地补贴，减轻农民经济负担</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⑤2024年粮改饲项目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620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620</w:t>
      </w:r>
      <w:r>
        <w:rPr>
          <w:rStyle w:val="12"/>
          <w:rFonts w:hint="eastAsia" w:ascii="方正仿宋_GBK" w:hAnsi="方正仿宋_GBK" w:eastAsia="方正仿宋_GBK" w:cs="方正仿宋_GBK"/>
          <w:b w:val="0"/>
          <w:color w:val="auto"/>
          <w:spacing w:val="-4"/>
          <w:sz w:val="32"/>
          <w:szCs w:val="32"/>
        </w:rPr>
        <w:t>万元，通过调整种植结构，减少粮食作物的种植面积，增加优质饲草料的种植，从而优化农业生产结构，提高农业生产效益；</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⑥冬小麦“一喷三防”项目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120、67</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120、67</w:t>
      </w:r>
      <w:r>
        <w:rPr>
          <w:rStyle w:val="12"/>
          <w:rFonts w:hint="eastAsia" w:ascii="方正仿宋_GBK" w:hAnsi="方正仿宋_GBK" w:eastAsia="方正仿宋_GBK" w:cs="方正仿宋_GBK"/>
          <w:b w:val="0"/>
          <w:color w:val="auto"/>
          <w:spacing w:val="-4"/>
          <w:sz w:val="32"/>
          <w:szCs w:val="32"/>
        </w:rPr>
        <w:t>万元，通过一次性喷施杀虫剂、杀菌剂和叶面肥等混配剂，达到防治病虫害、防止干热风侵袭、防止小麦早衰的目的，从而确保小麦增产；</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⑦购买人畜共患病保险项目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3、87</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3、87</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通过项目实施，</w:t>
      </w:r>
      <w:r>
        <w:rPr>
          <w:rStyle w:val="12"/>
          <w:rFonts w:hint="eastAsia" w:ascii="方正仿宋_GBK" w:hAnsi="方正仿宋_GBK" w:eastAsia="方正仿宋_GBK" w:cs="方正仿宋_GBK"/>
          <w:b w:val="0"/>
          <w:color w:val="auto"/>
          <w:spacing w:val="-4"/>
          <w:sz w:val="32"/>
          <w:szCs w:val="32"/>
        </w:rPr>
        <w:t>保障人民群众生命健康安全和养殖户收入稳定；</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⑧国家级畜禽遗传资源保护项目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40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40</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保护</w:t>
      </w:r>
      <w:r>
        <w:rPr>
          <w:rStyle w:val="12"/>
          <w:rFonts w:hint="eastAsia" w:ascii="方正仿宋_GBK" w:hAnsi="方正仿宋_GBK" w:eastAsia="方正仿宋_GBK" w:cs="方正仿宋_GBK"/>
          <w:b w:val="0"/>
          <w:color w:val="auto"/>
          <w:spacing w:val="-4"/>
          <w:sz w:val="32"/>
          <w:szCs w:val="32"/>
          <w:lang w:eastAsia="zh-CN"/>
        </w:rPr>
        <w:t>国家级畜禽遗传资源，</w:t>
      </w:r>
      <w:r>
        <w:rPr>
          <w:rStyle w:val="12"/>
          <w:rFonts w:hint="eastAsia" w:ascii="方正仿宋_GBK" w:hAnsi="方正仿宋_GBK" w:eastAsia="方正仿宋_GBK" w:cs="方正仿宋_GBK"/>
          <w:b w:val="0"/>
          <w:color w:val="auto"/>
          <w:spacing w:val="-4"/>
          <w:sz w:val="32"/>
          <w:szCs w:val="32"/>
          <w:lang w:val="en-US" w:eastAsia="zh-CN"/>
        </w:rPr>
        <w:t>丰富生态多样性</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lang w:eastAsia="zh-CN"/>
        </w:rPr>
      </w:pPr>
      <w:r>
        <w:rPr>
          <w:rStyle w:val="12"/>
          <w:rFonts w:hint="eastAsia" w:ascii="方正仿宋_GBK" w:hAnsi="方正仿宋_GBK" w:eastAsia="方正仿宋_GBK" w:cs="方正仿宋_GBK"/>
          <w:b w:val="0"/>
          <w:color w:val="auto"/>
          <w:spacing w:val="-4"/>
          <w:sz w:val="32"/>
          <w:szCs w:val="32"/>
          <w:lang w:eastAsia="zh-CN"/>
        </w:rPr>
        <w:t>⑨粮油单产提升行动项目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87</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87</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提高粮食产量和农民收入</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⑩牧区畜牧良种补贴项目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25</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25</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发放牧区良种补贴，减轻农户经济负担</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⑪农业生产社会化服务项目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350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350</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为农户提供技术服务，保障农业生产</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⑫无害化处理项目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1</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w:t>
      </w:r>
      <w:r>
        <w:rPr>
          <w:rStyle w:val="12"/>
          <w:rFonts w:hint="eastAsia" w:ascii="方正仿宋_GBK" w:hAnsi="方正仿宋_GBK" w:eastAsia="方正仿宋_GBK" w:cs="方正仿宋_GBK"/>
          <w:b w:val="0"/>
          <w:color w:val="auto"/>
          <w:spacing w:val="-4"/>
          <w:sz w:val="32"/>
          <w:szCs w:val="32"/>
        </w:rPr>
        <w:t>万元，禽畜粪便通过低温杀菌，混合快速发酵，制粒，成为能改善土壤结构，氮、磷、钾及微量元素丰富的有机肥料；</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⑬先打后补补助项目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31、08</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31、08</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对采购强制免疫病种疫苗发放补助，减轻农户经济负担</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⑭现代畜禽种业提升项目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320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320</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提高</w:t>
      </w:r>
      <w:r>
        <w:rPr>
          <w:rStyle w:val="12"/>
          <w:rFonts w:hint="eastAsia" w:ascii="方正仿宋_GBK" w:hAnsi="方正仿宋_GBK" w:eastAsia="方正仿宋_GBK" w:cs="方正仿宋_GBK"/>
          <w:b w:val="0"/>
          <w:color w:val="auto"/>
          <w:spacing w:val="-4"/>
          <w:sz w:val="32"/>
          <w:szCs w:val="32"/>
          <w:lang w:eastAsia="zh-CN"/>
        </w:rPr>
        <w:t>畜禽种业</w:t>
      </w:r>
      <w:r>
        <w:rPr>
          <w:rStyle w:val="12"/>
          <w:rFonts w:hint="eastAsia" w:ascii="方正仿宋_GBK" w:hAnsi="方正仿宋_GBK" w:eastAsia="方正仿宋_GBK" w:cs="方正仿宋_GBK"/>
          <w:b w:val="0"/>
          <w:color w:val="auto"/>
          <w:spacing w:val="-4"/>
          <w:sz w:val="32"/>
          <w:szCs w:val="32"/>
          <w:lang w:val="en-US" w:eastAsia="zh-CN"/>
        </w:rPr>
        <w:t>发展和</w:t>
      </w:r>
      <w:r>
        <w:rPr>
          <w:rStyle w:val="12"/>
          <w:rFonts w:hint="eastAsia" w:ascii="方正仿宋_GBK" w:hAnsi="方正仿宋_GBK" w:eastAsia="方正仿宋_GBK" w:cs="方正仿宋_GBK"/>
          <w:b w:val="0"/>
          <w:color w:val="auto"/>
          <w:spacing w:val="-4"/>
          <w:sz w:val="32"/>
          <w:szCs w:val="32"/>
          <w:lang w:eastAsia="zh-CN"/>
        </w:rPr>
        <w:t>畜禽</w:t>
      </w:r>
      <w:r>
        <w:rPr>
          <w:rStyle w:val="12"/>
          <w:rFonts w:hint="eastAsia" w:ascii="方正仿宋_GBK" w:hAnsi="方正仿宋_GBK" w:eastAsia="方正仿宋_GBK" w:cs="方正仿宋_GBK"/>
          <w:b w:val="0"/>
          <w:color w:val="auto"/>
          <w:spacing w:val="-4"/>
          <w:sz w:val="32"/>
          <w:szCs w:val="32"/>
          <w:lang w:val="en-US" w:eastAsia="zh-CN"/>
        </w:rPr>
        <w:t>收入</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⑮新型农业经营主体提升技术应用和生产经营能力项目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84</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84</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提高农户种植和养殖技术，发展农业生产</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⑯政府购买畜牧兽医社会化服务项目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245、81</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205、42</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为养殖户提供高效</w:t>
      </w:r>
      <w:r>
        <w:rPr>
          <w:rStyle w:val="12"/>
          <w:rFonts w:hint="eastAsia" w:ascii="方正仿宋_GBK" w:hAnsi="方正仿宋_GBK" w:eastAsia="方正仿宋_GBK" w:cs="方正仿宋_GBK"/>
          <w:b w:val="0"/>
          <w:color w:val="auto"/>
          <w:spacing w:val="-4"/>
          <w:sz w:val="32"/>
          <w:szCs w:val="32"/>
          <w:lang w:eastAsia="zh-CN"/>
        </w:rPr>
        <w:t>畜牧兽医社会化服务，</w:t>
      </w:r>
      <w:r>
        <w:rPr>
          <w:rStyle w:val="12"/>
          <w:rFonts w:hint="eastAsia" w:ascii="方正仿宋_GBK" w:hAnsi="方正仿宋_GBK" w:eastAsia="方正仿宋_GBK" w:cs="方正仿宋_GBK"/>
          <w:b w:val="0"/>
          <w:color w:val="auto"/>
          <w:spacing w:val="-4"/>
          <w:sz w:val="32"/>
          <w:szCs w:val="32"/>
          <w:lang w:val="en-US" w:eastAsia="zh-CN"/>
        </w:rPr>
        <w:t>提高畜牧业发展水平</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lang w:eastAsia="zh-CN"/>
        </w:rPr>
      </w:pPr>
      <w:r>
        <w:rPr>
          <w:rStyle w:val="12"/>
          <w:rFonts w:hint="eastAsia" w:ascii="方正仿宋_GBK" w:hAnsi="方正仿宋_GBK" w:eastAsia="方正仿宋_GBK" w:cs="方正仿宋_GBK"/>
          <w:b w:val="0"/>
          <w:color w:val="auto"/>
          <w:spacing w:val="-4"/>
          <w:sz w:val="32"/>
          <w:szCs w:val="32"/>
          <w:lang w:eastAsia="zh-CN"/>
        </w:rPr>
        <w:t>⑰自治区农业生产发展资金项目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65</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62、85</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发展农业生产，提高农民收入</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lang w:eastAsia="zh-CN"/>
        </w:rPr>
      </w:pPr>
      <w:r>
        <w:rPr>
          <w:rStyle w:val="12"/>
          <w:rFonts w:hint="eastAsia" w:ascii="方正仿宋_GBK" w:hAnsi="方正仿宋_GBK" w:eastAsia="方正仿宋_GBK" w:cs="方正仿宋_GBK"/>
          <w:b w:val="0"/>
          <w:color w:val="auto"/>
          <w:spacing w:val="-4"/>
          <w:sz w:val="32"/>
          <w:szCs w:val="32"/>
          <w:lang w:eastAsia="zh-CN"/>
        </w:rPr>
        <w:t>⑱2024－农业保险保费补贴</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820、29</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567、54</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发放农业保险补贴，减轻农民经济负担</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lang w:eastAsia="zh-CN"/>
        </w:rPr>
      </w:pPr>
      <w:r>
        <w:rPr>
          <w:rStyle w:val="12"/>
          <w:rFonts w:hint="eastAsia" w:ascii="方正仿宋_GBK" w:hAnsi="方正仿宋_GBK" w:eastAsia="方正仿宋_GBK" w:cs="方正仿宋_GBK"/>
          <w:b w:val="0"/>
          <w:color w:val="auto"/>
          <w:spacing w:val="-4"/>
          <w:sz w:val="32"/>
          <w:szCs w:val="32"/>
          <w:lang w:eastAsia="zh-CN"/>
        </w:rPr>
        <w:t>⑲关于提前下达农业保险2021年中央预算指标的通知</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1138</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1138</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发放农业保险补贴，减轻农民经济负担</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sz w:val="32"/>
          <w:szCs w:val="32"/>
          <w:lang w:eastAsia="zh-CN"/>
        </w:rPr>
        <w:t>⑳农机购置与应用补贴项目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1469</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1469</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发放农机购置补贴，减轻农民经济负担</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㉑2024年地膜科学回收项目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1200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15</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开展地膜回收，保护农业生态环境</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㉒2024年耕地轮作项目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214</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214</w:t>
      </w:r>
      <w:r>
        <w:rPr>
          <w:rStyle w:val="12"/>
          <w:rFonts w:hint="eastAsia" w:ascii="方正仿宋_GBK" w:hAnsi="方正仿宋_GBK" w:eastAsia="方正仿宋_GBK" w:cs="方正仿宋_GBK"/>
          <w:b w:val="0"/>
          <w:color w:val="auto"/>
          <w:spacing w:val="-4"/>
          <w:sz w:val="32"/>
          <w:szCs w:val="32"/>
        </w:rPr>
        <w:t>万元，开展耕地轮作，有效保护耕地；</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㉓2024年耕地休耕项目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1000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1000</w:t>
      </w:r>
      <w:r>
        <w:rPr>
          <w:rStyle w:val="12"/>
          <w:rFonts w:hint="eastAsia" w:ascii="方正仿宋_GBK" w:hAnsi="方正仿宋_GBK" w:eastAsia="方正仿宋_GBK" w:cs="方正仿宋_GBK"/>
          <w:b w:val="0"/>
          <w:color w:val="auto"/>
          <w:spacing w:val="-4"/>
          <w:sz w:val="32"/>
          <w:szCs w:val="32"/>
        </w:rPr>
        <w:t>万元，开展耕地轮作，有效保护耕地；</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㉔2024年粮油单产提升行动</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80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80</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提高粮食产量，增加农民收入</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㉕2024年麦盖提县玉米单产提升工程项目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3000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868、8</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提高玉米产量，增加农民收入</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㉖2024年农作物秸秆综合利用项目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830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30</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开展农作物秸秆综合利用，保护农业生产环境</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kern w:val="2"/>
          <w:sz w:val="32"/>
          <w:szCs w:val="32"/>
          <w:lang w:val="en-US" w:eastAsia="zh-CN" w:bidi="ar-SA"/>
        </w:rPr>
      </w:pPr>
      <w:r>
        <w:rPr>
          <w:rStyle w:val="12"/>
          <w:rFonts w:hint="eastAsia" w:ascii="方正仿宋_GBK" w:hAnsi="方正仿宋_GBK" w:eastAsia="方正仿宋_GBK" w:cs="方正仿宋_GBK"/>
          <w:b w:val="0"/>
          <w:color w:val="auto"/>
          <w:spacing w:val="-4"/>
          <w:kern w:val="2"/>
          <w:sz w:val="32"/>
          <w:szCs w:val="32"/>
          <w:lang w:val="en-US" w:eastAsia="zh-CN" w:bidi="ar-SA"/>
        </w:rPr>
        <w:t>㉗2024年中央农业防灾减灾和水利救灾资金第十四批项目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245</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执行金额0万元，由于支付材料不齐全，资金未支出</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㉘动物疫病监测补助项目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6、41</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6、41</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开展动物疫病监测，保障畜牧业平稳发展</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㉙麦盖提县克孜勒阿瓦提乡乡村振兴配套农畜基础设施建设项目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3014</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3014</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完善农畜基础设施，发展农业生产，提高农民收入</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㉚麦盖提县库木库萨尔乡畜牧设施供水管网建设项目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196、63</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196、63</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完善农村基础设施，提高农民幸福感和获得感</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㉛麦盖提县农畜产业设施电力配套建设项目</w:t>
      </w:r>
      <w:r>
        <w:rPr>
          <w:rStyle w:val="12"/>
          <w:rFonts w:hint="eastAsia" w:ascii="方正仿宋_GBK" w:hAnsi="方正仿宋_GBK" w:eastAsia="方正仿宋_GBK" w:cs="方正仿宋_GBK"/>
          <w:b w:val="0"/>
          <w:color w:val="auto"/>
          <w:spacing w:val="-4"/>
          <w:sz w:val="32"/>
          <w:szCs w:val="32"/>
        </w:rPr>
        <w:t xml:space="preserve">，预算金额为 </w:t>
      </w:r>
      <w:r>
        <w:rPr>
          <w:rStyle w:val="12"/>
          <w:rFonts w:hint="eastAsia" w:ascii="方正仿宋_GBK" w:hAnsi="方正仿宋_GBK" w:eastAsia="方正仿宋_GBK" w:cs="方正仿宋_GBK"/>
          <w:b w:val="0"/>
          <w:color w:val="auto"/>
          <w:spacing w:val="-4"/>
          <w:sz w:val="32"/>
          <w:szCs w:val="32"/>
          <w:lang w:val="en-US" w:eastAsia="zh-CN"/>
        </w:rPr>
        <w:t>369、81</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369、81</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完善电力设施，更好地服务于农村生产生活</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㉜麦盖提县肉羊良繁中心改造提升建设项目（二期）</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2581、36</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2547、85</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改造良繁中心，提高养殖技术；</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㉝麦盖提县乡村振兴配套农畜基础设施建设项目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7528、67</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7528、67</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完善农畜基础设施，发展农业生产，提高农民收入</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㉞麦盖提县尕孜库勒乡农畜设施附属配套建设项目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394、8</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394、8</w:t>
      </w:r>
      <w:r>
        <w:rPr>
          <w:rStyle w:val="12"/>
          <w:rFonts w:hint="eastAsia" w:ascii="方正仿宋_GBK" w:hAnsi="方正仿宋_GBK" w:eastAsia="方正仿宋_GBK" w:cs="方正仿宋_GBK"/>
          <w:b w:val="0"/>
          <w:color w:val="auto"/>
          <w:spacing w:val="-4"/>
          <w:sz w:val="32"/>
          <w:szCs w:val="32"/>
        </w:rPr>
        <w:t>万元，完善农畜基础设施，发展农业生产，提高农民收入；</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bCs w:val="0"/>
          <w:color w:val="auto"/>
          <w:spacing w:val="-4"/>
          <w:sz w:val="32"/>
          <w:szCs w:val="32"/>
          <w:lang w:eastAsia="zh-CN"/>
        </w:rPr>
        <w:t>㉟农村厕所革命整村推进财政奖补项目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2546</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2125、68</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改造农村厕所，有效改善农村人居环境</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bCs w:val="0"/>
          <w:color w:val="auto"/>
          <w:spacing w:val="-4"/>
          <w:sz w:val="32"/>
          <w:szCs w:val="32"/>
          <w:lang w:eastAsia="zh-CN"/>
        </w:rPr>
        <w:t>㊱农村实用人才服务促进乡村振兴支持项目</w:t>
      </w:r>
      <w:r>
        <w:rPr>
          <w:rStyle w:val="12"/>
          <w:rFonts w:hint="eastAsia" w:ascii="方正仿宋_GBK" w:hAnsi="方正仿宋_GBK" w:eastAsia="方正仿宋_GBK" w:cs="方正仿宋_GBK"/>
          <w:b w:val="0"/>
          <w:color w:val="auto"/>
          <w:spacing w:val="-4"/>
          <w:sz w:val="32"/>
          <w:szCs w:val="32"/>
        </w:rPr>
        <w:t xml:space="preserve">，预算金额为 </w:t>
      </w:r>
      <w:r>
        <w:rPr>
          <w:rStyle w:val="12"/>
          <w:rFonts w:hint="eastAsia" w:ascii="方正仿宋_GBK" w:hAnsi="方正仿宋_GBK" w:eastAsia="方正仿宋_GBK" w:cs="方正仿宋_GBK"/>
          <w:b w:val="0"/>
          <w:color w:val="auto"/>
          <w:spacing w:val="-4"/>
          <w:sz w:val="32"/>
          <w:szCs w:val="32"/>
          <w:lang w:val="en-US" w:eastAsia="zh-CN"/>
        </w:rPr>
        <w:t>16、8</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16、8</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提高农村实用人才技术水平，更好地服务于农业发展</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bCs w:val="0"/>
          <w:color w:val="auto"/>
          <w:spacing w:val="-4"/>
          <w:sz w:val="32"/>
          <w:szCs w:val="32"/>
          <w:lang w:eastAsia="zh-CN"/>
        </w:rPr>
        <w:t>㊲莎车现代农业（肉羊）产业园－麦盖提县场建设项目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10023、87</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10004、5</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建设现代肉羊产业园，提高肉羊产量，增加农民收入</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㊳小额贷款贴息项目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268、74</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268、74</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发放小额贷款贴息，减轻农民经济负担</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㊴畜牧种业保护提升项目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130、4万元</w:t>
      </w:r>
      <w:r>
        <w:rPr>
          <w:rStyle w:val="12"/>
          <w:rFonts w:hint="eastAsia" w:ascii="方正仿宋_GBK" w:hAnsi="方正仿宋_GBK" w:eastAsia="方正仿宋_GBK" w:cs="方正仿宋_GBK"/>
          <w:b w:val="0"/>
          <w:color w:val="auto"/>
          <w:spacing w:val="-4"/>
          <w:sz w:val="32"/>
          <w:szCs w:val="32"/>
        </w:rPr>
        <w:t>，执行金额为</w:t>
      </w:r>
      <w:r>
        <w:rPr>
          <w:rStyle w:val="12"/>
          <w:rFonts w:hint="eastAsia" w:ascii="方正仿宋_GBK" w:hAnsi="方正仿宋_GBK" w:eastAsia="方正仿宋_GBK" w:cs="方正仿宋_GBK"/>
          <w:b w:val="0"/>
          <w:color w:val="auto"/>
          <w:spacing w:val="-4"/>
          <w:sz w:val="32"/>
          <w:szCs w:val="32"/>
          <w:lang w:val="en-US" w:eastAsia="zh-CN"/>
        </w:rPr>
        <w:t>0万元，由于支付材料不齐全，资金未支出</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bCs w:val="0"/>
          <w:color w:val="auto"/>
          <w:spacing w:val="-4"/>
          <w:sz w:val="32"/>
          <w:szCs w:val="32"/>
          <w:lang w:eastAsia="zh-CN"/>
        </w:rPr>
        <w:t>㊵农机报废更新补贴项目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56</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18、22</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发放农机报废补贴，减轻农民经济负担</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val="en-US" w:eastAsia="zh-CN"/>
        </w:rPr>
      </w:pPr>
      <w:r>
        <w:rPr>
          <w:rStyle w:val="12"/>
          <w:rFonts w:hint="eastAsia" w:ascii="方正仿宋_GBK" w:hAnsi="方正仿宋_GBK" w:eastAsia="方正仿宋_GBK" w:cs="方正仿宋_GBK"/>
          <w:b w:val="0"/>
          <w:bCs w:val="0"/>
          <w:color w:val="auto"/>
          <w:spacing w:val="-4"/>
          <w:sz w:val="32"/>
          <w:szCs w:val="32"/>
          <w:lang w:eastAsia="zh-CN"/>
        </w:rPr>
        <w:t>㊶麦盖提县2024年自治区第一批稳定肉牛肉羊及奶产业发展项目，</w:t>
      </w:r>
      <w:r>
        <w:rPr>
          <w:rStyle w:val="12"/>
          <w:rFonts w:hint="eastAsia" w:ascii="方正仿宋_GBK" w:hAnsi="方正仿宋_GBK" w:eastAsia="方正仿宋_GBK" w:cs="方正仿宋_GBK"/>
          <w:b w:val="0"/>
          <w:bCs w:val="0"/>
          <w:color w:val="auto"/>
          <w:spacing w:val="-4"/>
          <w:sz w:val="32"/>
          <w:szCs w:val="32"/>
          <w:lang w:val="en-US" w:eastAsia="zh-CN"/>
        </w:rPr>
        <w:t>预算金额680、96万元，执行金额442、46万元，发展肉羊肉牛产业，提高养殖户收入；</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㊷麦盖提县产业（畜牧业）扶持以奖代补项目</w:t>
      </w:r>
      <w:r>
        <w:rPr>
          <w:rStyle w:val="12"/>
          <w:rFonts w:hint="eastAsia" w:ascii="方正仿宋_GBK" w:hAnsi="方正仿宋_GBK" w:eastAsia="方正仿宋_GBK" w:cs="方正仿宋_GBK"/>
          <w:b w:val="0"/>
          <w:color w:val="auto"/>
          <w:spacing w:val="-4"/>
          <w:sz w:val="32"/>
          <w:szCs w:val="32"/>
        </w:rPr>
        <w:t xml:space="preserve">，预算金额为 </w:t>
      </w:r>
      <w:r>
        <w:rPr>
          <w:rStyle w:val="12"/>
          <w:rFonts w:hint="eastAsia" w:ascii="方正仿宋_GBK" w:hAnsi="方正仿宋_GBK" w:eastAsia="方正仿宋_GBK" w:cs="方正仿宋_GBK"/>
          <w:b w:val="0"/>
          <w:color w:val="auto"/>
          <w:spacing w:val="-4"/>
          <w:sz w:val="32"/>
          <w:szCs w:val="32"/>
          <w:lang w:val="en-US" w:eastAsia="zh-CN"/>
        </w:rPr>
        <w:t>2024、14</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2024、14</w:t>
      </w:r>
      <w:r>
        <w:rPr>
          <w:rStyle w:val="12"/>
          <w:rFonts w:hint="eastAsia" w:ascii="方正仿宋_GBK" w:hAnsi="方正仿宋_GBK" w:eastAsia="方正仿宋_GBK" w:cs="方正仿宋_GBK"/>
          <w:b w:val="0"/>
          <w:color w:val="auto"/>
          <w:spacing w:val="-4"/>
          <w:sz w:val="32"/>
          <w:szCs w:val="32"/>
        </w:rPr>
        <w:t>万元，提高养殖户收入；</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㊸流行病学调查补助项目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3</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3</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开展流行病学调查，保障畜牧业发展</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kern w:val="2"/>
          <w:sz w:val="32"/>
          <w:szCs w:val="32"/>
          <w:lang w:val="en-US" w:eastAsia="zh-CN" w:bidi="ar-SA"/>
        </w:rPr>
      </w:pPr>
      <w:r>
        <w:rPr>
          <w:rStyle w:val="12"/>
          <w:rFonts w:hint="eastAsia" w:ascii="方正仿宋_GBK" w:hAnsi="方正仿宋_GBK" w:eastAsia="方正仿宋_GBK" w:cs="方正仿宋_GBK"/>
          <w:b w:val="0"/>
          <w:color w:val="auto"/>
          <w:spacing w:val="-4"/>
          <w:kern w:val="2"/>
          <w:sz w:val="32"/>
          <w:szCs w:val="32"/>
          <w:lang w:val="en-US" w:eastAsia="zh-CN" w:bidi="ar-SA"/>
        </w:rPr>
        <w:t>㊹美丽庭院项目，该项目由各乡镇负责实施；</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kern w:val="2"/>
          <w:sz w:val="32"/>
          <w:szCs w:val="32"/>
          <w:lang w:val="en-US" w:eastAsia="zh-CN" w:bidi="ar-SA"/>
        </w:rPr>
      </w:pPr>
      <w:r>
        <w:rPr>
          <w:rStyle w:val="12"/>
          <w:rFonts w:hint="eastAsia" w:ascii="方正仿宋_GBK" w:hAnsi="方正仿宋_GBK" w:eastAsia="方正仿宋_GBK" w:cs="方正仿宋_GBK"/>
          <w:b w:val="0"/>
          <w:color w:val="auto"/>
          <w:spacing w:val="-4"/>
          <w:kern w:val="2"/>
          <w:sz w:val="32"/>
          <w:szCs w:val="32"/>
          <w:lang w:val="en-US" w:eastAsia="zh-CN" w:bidi="ar-SA"/>
        </w:rPr>
        <w:t>㊺中央农村综合改革项目，预算金额600万元，由各乡镇负责实施；</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kern w:val="2"/>
          <w:sz w:val="32"/>
          <w:szCs w:val="32"/>
          <w:lang w:val="en-US" w:eastAsia="zh-CN" w:bidi="ar-SA"/>
        </w:rPr>
      </w:pPr>
      <w:r>
        <w:rPr>
          <w:rStyle w:val="12"/>
          <w:rFonts w:hint="eastAsia" w:ascii="方正仿宋_GBK" w:hAnsi="方正仿宋_GBK" w:eastAsia="方正仿宋_GBK" w:cs="方正仿宋_GBK"/>
          <w:b w:val="0"/>
          <w:color w:val="auto"/>
          <w:spacing w:val="-4"/>
          <w:kern w:val="2"/>
          <w:sz w:val="32"/>
          <w:szCs w:val="32"/>
          <w:lang w:val="en-US" w:eastAsia="zh-CN" w:bidi="ar-SA"/>
        </w:rPr>
        <w:t>㊻自治区农村综合改革项目，预算金额350万元，由各乡镇负责实施；</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7"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bCs/>
          <w:color w:val="auto"/>
          <w:spacing w:val="-4"/>
          <w:sz w:val="32"/>
          <w:szCs w:val="32"/>
          <w:lang w:val="en-US" w:eastAsia="zh-CN"/>
        </w:rPr>
        <w:t>上年结转资金项目：</w:t>
      </w:r>
      <w:r>
        <w:rPr>
          <w:rStyle w:val="12"/>
          <w:rFonts w:hint="eastAsia" w:ascii="方正仿宋_GBK" w:hAnsi="方正仿宋_GBK" w:eastAsia="方正仿宋_GBK" w:cs="方正仿宋_GBK"/>
          <w:b w:val="0"/>
          <w:bCs w:val="0"/>
          <w:color w:val="auto"/>
          <w:spacing w:val="-4"/>
          <w:sz w:val="32"/>
          <w:szCs w:val="32"/>
          <w:lang w:eastAsia="zh-CN"/>
        </w:rPr>
        <w:t>上年结转资金共计</w:t>
      </w:r>
      <w:r>
        <w:rPr>
          <w:rStyle w:val="12"/>
          <w:rFonts w:hint="eastAsia" w:ascii="方正仿宋_GBK" w:hAnsi="方正仿宋_GBK" w:eastAsia="方正仿宋_GBK" w:cs="方正仿宋_GBK"/>
          <w:b w:val="0"/>
          <w:bCs w:val="0"/>
          <w:color w:val="auto"/>
          <w:spacing w:val="-4"/>
          <w:sz w:val="32"/>
          <w:szCs w:val="32"/>
          <w:lang w:val="en-US" w:eastAsia="zh-CN"/>
        </w:rPr>
        <w:t>11</w:t>
      </w:r>
      <w:r>
        <w:rPr>
          <w:rStyle w:val="12"/>
          <w:rFonts w:hint="eastAsia" w:ascii="方正仿宋_GBK" w:hAnsi="方正仿宋_GBK" w:eastAsia="方正仿宋_GBK" w:cs="方正仿宋_GBK"/>
          <w:b w:val="0"/>
          <w:bCs w:val="0"/>
          <w:color w:val="auto"/>
          <w:spacing w:val="-4"/>
          <w:sz w:val="32"/>
          <w:szCs w:val="32"/>
          <w:lang w:eastAsia="zh-CN"/>
        </w:rPr>
        <w:t>个项目，金额为</w:t>
      </w:r>
      <w:r>
        <w:rPr>
          <w:rStyle w:val="12"/>
          <w:rFonts w:hint="eastAsia" w:ascii="方正仿宋_GBK" w:hAnsi="方正仿宋_GBK" w:eastAsia="方正仿宋_GBK" w:cs="方正仿宋_GBK"/>
          <w:b w:val="0"/>
          <w:bCs w:val="0"/>
          <w:color w:val="auto"/>
          <w:spacing w:val="-4"/>
          <w:sz w:val="32"/>
          <w:szCs w:val="32"/>
          <w:lang w:val="en-US" w:eastAsia="zh-CN"/>
        </w:rPr>
        <w:t>11074、12</w:t>
      </w:r>
      <w:r>
        <w:rPr>
          <w:rStyle w:val="12"/>
          <w:rFonts w:hint="eastAsia" w:ascii="方正仿宋_GBK" w:hAnsi="方正仿宋_GBK" w:eastAsia="方正仿宋_GBK" w:cs="方正仿宋_GBK"/>
          <w:b w:val="0"/>
          <w:bCs w:val="0"/>
          <w:color w:val="auto"/>
          <w:spacing w:val="-4"/>
          <w:sz w:val="32"/>
          <w:szCs w:val="32"/>
          <w:lang w:eastAsia="zh-CN"/>
        </w:rPr>
        <w:t>万元，分别为：</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①2023年高标准农田建设项目，预算金额为</w:t>
      </w:r>
      <w:r>
        <w:rPr>
          <w:rStyle w:val="12"/>
          <w:rFonts w:hint="eastAsia" w:ascii="方正仿宋_GBK" w:hAnsi="方正仿宋_GBK" w:eastAsia="方正仿宋_GBK" w:cs="方正仿宋_GBK"/>
          <w:b w:val="0"/>
          <w:bCs w:val="0"/>
          <w:color w:val="auto"/>
          <w:spacing w:val="-4"/>
          <w:sz w:val="32"/>
          <w:szCs w:val="32"/>
          <w:lang w:val="en-US" w:eastAsia="zh-CN"/>
        </w:rPr>
        <w:t>2256、31</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2028、94</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建设高标准农田，提高粮食产量</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 xml:space="preserve">②2023年高素质农民培训项目，预算金额为 </w:t>
      </w:r>
      <w:r>
        <w:rPr>
          <w:rStyle w:val="12"/>
          <w:rFonts w:hint="eastAsia" w:ascii="方正仿宋_GBK" w:hAnsi="方正仿宋_GBK" w:eastAsia="方正仿宋_GBK" w:cs="方正仿宋_GBK"/>
          <w:b w:val="0"/>
          <w:bCs w:val="0"/>
          <w:color w:val="auto"/>
          <w:spacing w:val="-4"/>
          <w:sz w:val="32"/>
          <w:szCs w:val="32"/>
          <w:lang w:val="en-US" w:eastAsia="zh-CN"/>
        </w:rPr>
        <w:t>62、4</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62、4</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开展高素质农民培训，提高农民技术水平</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③2023年麦盖提县大豆生产基地建设项目，预算金额为</w:t>
      </w:r>
      <w:r>
        <w:rPr>
          <w:rStyle w:val="12"/>
          <w:rFonts w:hint="eastAsia" w:ascii="方正仿宋_GBK" w:hAnsi="方正仿宋_GBK" w:eastAsia="方正仿宋_GBK" w:cs="方正仿宋_GBK"/>
          <w:b w:val="0"/>
          <w:bCs w:val="0"/>
          <w:color w:val="auto"/>
          <w:spacing w:val="-4"/>
          <w:sz w:val="32"/>
          <w:szCs w:val="32"/>
          <w:lang w:val="en-US" w:eastAsia="zh-CN"/>
        </w:rPr>
        <w:t>666、62</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520、48</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建设大豆生产基地，提高大豆及其附加产品价值</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④2023年麦盖提县优质棉基地建设项目，预算金额为</w:t>
      </w:r>
      <w:r>
        <w:rPr>
          <w:rStyle w:val="12"/>
          <w:rFonts w:hint="eastAsia" w:ascii="方正仿宋_GBK" w:hAnsi="方正仿宋_GBK" w:eastAsia="方正仿宋_GBK" w:cs="方正仿宋_GBK"/>
          <w:b w:val="0"/>
          <w:bCs w:val="0"/>
          <w:color w:val="auto"/>
          <w:spacing w:val="-4"/>
          <w:sz w:val="32"/>
          <w:szCs w:val="32"/>
          <w:lang w:val="en-US" w:eastAsia="zh-CN"/>
        </w:rPr>
        <w:t>5091、03</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4176、06</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对棉花进行深加工，提高棉花经济价值</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⑤2023年中央农业生产发展资金（耕地地力保护补贴），预算金额为</w:t>
      </w:r>
      <w:r>
        <w:rPr>
          <w:rStyle w:val="12"/>
          <w:rFonts w:hint="eastAsia" w:ascii="方正仿宋_GBK" w:hAnsi="方正仿宋_GBK" w:eastAsia="方正仿宋_GBK" w:cs="方正仿宋_GBK"/>
          <w:b w:val="0"/>
          <w:bCs w:val="0"/>
          <w:color w:val="auto"/>
          <w:spacing w:val="-4"/>
          <w:sz w:val="32"/>
          <w:szCs w:val="32"/>
          <w:lang w:val="en-US" w:eastAsia="zh-CN"/>
        </w:rPr>
        <w:t>98、4</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98、4</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发放耕地地力补贴，减轻农民经济负担</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⑥地膜科学使用回收试点项目，预算金额为</w:t>
      </w:r>
      <w:r>
        <w:rPr>
          <w:rStyle w:val="12"/>
          <w:rFonts w:hint="eastAsia" w:ascii="方正仿宋_GBK" w:hAnsi="方正仿宋_GBK" w:eastAsia="方正仿宋_GBK" w:cs="方正仿宋_GBK"/>
          <w:b w:val="0"/>
          <w:bCs w:val="0"/>
          <w:color w:val="auto"/>
          <w:spacing w:val="-4"/>
          <w:sz w:val="32"/>
          <w:szCs w:val="32"/>
          <w:lang w:val="en-US" w:eastAsia="zh-CN"/>
        </w:rPr>
        <w:t>1533</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1291、14</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开展地膜回收，保护生态环境</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⑦农业防灾减灾和水利救灾资金（防灾减灾第十一批）项目，预算金额为</w:t>
      </w:r>
      <w:r>
        <w:rPr>
          <w:rStyle w:val="12"/>
          <w:rFonts w:hint="eastAsia" w:ascii="方正仿宋_GBK" w:hAnsi="方正仿宋_GBK" w:eastAsia="方正仿宋_GBK" w:cs="方正仿宋_GBK"/>
          <w:b w:val="0"/>
          <w:bCs w:val="0"/>
          <w:color w:val="auto"/>
          <w:spacing w:val="-4"/>
          <w:sz w:val="32"/>
          <w:szCs w:val="32"/>
          <w:lang w:val="en-US" w:eastAsia="zh-CN"/>
        </w:rPr>
        <w:t>249、4</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249、4</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通过项目实施，减轻灾害对农户带来的经济损失</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⑧中央农业资源及生态保护补助资金，预算金额为</w:t>
      </w:r>
      <w:r>
        <w:rPr>
          <w:rStyle w:val="12"/>
          <w:rFonts w:hint="eastAsia" w:ascii="方正仿宋_GBK" w:hAnsi="方正仿宋_GBK" w:eastAsia="方正仿宋_GBK" w:cs="方正仿宋_GBK"/>
          <w:b w:val="0"/>
          <w:bCs w:val="0"/>
          <w:color w:val="auto"/>
          <w:spacing w:val="-4"/>
          <w:sz w:val="32"/>
          <w:szCs w:val="32"/>
          <w:lang w:val="en-US" w:eastAsia="zh-CN"/>
        </w:rPr>
        <w:t>246、5</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246、5</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保护农业生产资源</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numPr>
          <w:ilvl w:val="0"/>
          <w:numId w:val="0"/>
        </w:numPr>
        <w:tabs>
          <w:tab w:val="left" w:pos="4344"/>
        </w:tabs>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⑨农业保险保费补贴，预算金额为</w:t>
      </w:r>
      <w:r>
        <w:rPr>
          <w:rStyle w:val="12"/>
          <w:rFonts w:hint="eastAsia" w:ascii="方正仿宋_GBK" w:hAnsi="方正仿宋_GBK" w:eastAsia="方正仿宋_GBK" w:cs="方正仿宋_GBK"/>
          <w:b w:val="0"/>
          <w:bCs w:val="0"/>
          <w:color w:val="auto"/>
          <w:spacing w:val="-4"/>
          <w:sz w:val="32"/>
          <w:szCs w:val="32"/>
          <w:lang w:val="en-US" w:eastAsia="zh-CN"/>
        </w:rPr>
        <w:t>226、24</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226、24</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开展农业保险保费补贴，减轻农户经济压力，提高应对突发自然灾害的能力；</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⑩农业保险保费补贴项目，预算金额为</w:t>
      </w:r>
      <w:r>
        <w:rPr>
          <w:rStyle w:val="12"/>
          <w:rFonts w:hint="eastAsia" w:ascii="方正仿宋_GBK" w:hAnsi="方正仿宋_GBK" w:eastAsia="方正仿宋_GBK" w:cs="方正仿宋_GBK"/>
          <w:b w:val="0"/>
          <w:bCs w:val="0"/>
          <w:color w:val="auto"/>
          <w:spacing w:val="-4"/>
          <w:sz w:val="32"/>
          <w:szCs w:val="32"/>
          <w:lang w:val="en-US" w:eastAsia="zh-CN"/>
        </w:rPr>
        <w:t>644、08</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644、08</w:t>
      </w:r>
      <w:r>
        <w:rPr>
          <w:rStyle w:val="12"/>
          <w:rFonts w:hint="eastAsia" w:ascii="方正仿宋_GBK" w:hAnsi="方正仿宋_GBK" w:eastAsia="方正仿宋_GBK" w:cs="方正仿宋_GBK"/>
          <w:b w:val="0"/>
          <w:bCs w:val="0"/>
          <w:color w:val="auto"/>
          <w:spacing w:val="-4"/>
          <w:sz w:val="32"/>
          <w:szCs w:val="32"/>
          <w:lang w:eastAsia="zh-CN"/>
        </w:rPr>
        <w:t>万元，开展农业保险保费补贴，减轻农户经济压力，提高应对突发自然灾害的能力；</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⑪农业保险保费补贴资金，预算金额为</w:t>
      </w:r>
      <w:r>
        <w:rPr>
          <w:rStyle w:val="12"/>
          <w:rFonts w:hint="eastAsia" w:ascii="方正仿宋_GBK" w:hAnsi="方正仿宋_GBK" w:eastAsia="方正仿宋_GBK" w:cs="方正仿宋_GBK"/>
          <w:b w:val="0"/>
          <w:bCs w:val="0"/>
          <w:color w:val="auto"/>
          <w:spacing w:val="-4"/>
          <w:sz w:val="32"/>
          <w:szCs w:val="32"/>
          <w:lang w:val="en-US" w:eastAsia="zh-CN"/>
        </w:rPr>
        <w:t>0、13</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0、13</w:t>
      </w:r>
      <w:r>
        <w:rPr>
          <w:rStyle w:val="12"/>
          <w:rFonts w:hint="eastAsia" w:ascii="方正仿宋_GBK" w:hAnsi="方正仿宋_GBK" w:eastAsia="方正仿宋_GBK" w:cs="方正仿宋_GBK"/>
          <w:b w:val="0"/>
          <w:bCs w:val="0"/>
          <w:color w:val="auto"/>
          <w:spacing w:val="-4"/>
          <w:sz w:val="32"/>
          <w:szCs w:val="32"/>
          <w:lang w:eastAsia="zh-CN"/>
        </w:rPr>
        <w:t>万元，开展农业保险保费补贴，减轻农户经济压力，提高应对突发自然灾害的能力；</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此类项目沿用上年绩效目标开展全生命周期绩效管理。</w:t>
      </w:r>
    </w:p>
    <w:p>
      <w:pPr>
        <w:keepNext w:val="0"/>
        <w:keepLines w:val="0"/>
        <w:pageBreakBefore w:val="0"/>
        <w:numPr>
          <w:ilvl w:val="0"/>
          <w:numId w:val="0"/>
        </w:numPr>
        <w:tabs>
          <w:tab w:val="left" w:pos="4344"/>
        </w:tabs>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spacing w:val="-4"/>
          <w:sz w:val="32"/>
          <w:szCs w:val="32"/>
          <w:lang w:val="en-US" w:eastAsia="zh-CN"/>
        </w:rPr>
        <w:t>2</w:t>
      </w: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spacing w:val="-4"/>
          <w:sz w:val="32"/>
          <w:szCs w:val="32"/>
        </w:rPr>
        <w:t>本级</w:t>
      </w:r>
      <w:r>
        <w:rPr>
          <w:rStyle w:val="12"/>
          <w:rFonts w:hint="eastAsia" w:ascii="方正仿宋_GBK" w:hAnsi="方正仿宋_GBK" w:eastAsia="方正仿宋_GBK" w:cs="方正仿宋_GBK"/>
          <w:spacing w:val="-4"/>
          <w:sz w:val="32"/>
          <w:szCs w:val="32"/>
          <w:lang w:eastAsia="zh-CN"/>
        </w:rPr>
        <w:t>财力</w:t>
      </w:r>
      <w:r>
        <w:rPr>
          <w:rStyle w:val="12"/>
          <w:rFonts w:hint="eastAsia" w:ascii="方正仿宋_GBK" w:hAnsi="方正仿宋_GBK" w:eastAsia="方正仿宋_GBK" w:cs="方正仿宋_GBK"/>
          <w:spacing w:val="-4"/>
          <w:sz w:val="32"/>
          <w:szCs w:val="32"/>
        </w:rPr>
        <w:t>项目：</w:t>
      </w:r>
      <w:r>
        <w:rPr>
          <w:rStyle w:val="12"/>
          <w:rFonts w:hint="eastAsia" w:ascii="方正仿宋_GBK" w:hAnsi="方正仿宋_GBK" w:eastAsia="方正仿宋_GBK" w:cs="方正仿宋_GBK"/>
          <w:b w:val="0"/>
          <w:bCs w:val="0"/>
          <w:color w:val="auto"/>
          <w:spacing w:val="-4"/>
          <w:sz w:val="32"/>
          <w:szCs w:val="32"/>
          <w:lang w:eastAsia="zh-CN"/>
        </w:rPr>
        <w:t>共计</w:t>
      </w:r>
      <w:r>
        <w:rPr>
          <w:rStyle w:val="12"/>
          <w:rFonts w:hint="eastAsia" w:ascii="方正仿宋_GBK" w:hAnsi="方正仿宋_GBK" w:eastAsia="方正仿宋_GBK" w:cs="方正仿宋_GBK"/>
          <w:b w:val="0"/>
          <w:bCs w:val="0"/>
          <w:color w:val="auto"/>
          <w:spacing w:val="-4"/>
          <w:sz w:val="32"/>
          <w:szCs w:val="32"/>
          <w:lang w:val="en-US" w:eastAsia="zh-CN"/>
        </w:rPr>
        <w:t>6</w:t>
      </w:r>
      <w:r>
        <w:rPr>
          <w:rStyle w:val="12"/>
          <w:rFonts w:hint="eastAsia" w:ascii="方正仿宋_GBK" w:hAnsi="方正仿宋_GBK" w:eastAsia="方正仿宋_GBK" w:cs="方正仿宋_GBK"/>
          <w:b w:val="0"/>
          <w:bCs w:val="0"/>
          <w:color w:val="auto"/>
          <w:spacing w:val="-4"/>
          <w:sz w:val="32"/>
          <w:szCs w:val="32"/>
          <w:lang w:eastAsia="zh-CN"/>
        </w:rPr>
        <w:t>个项目，金额为</w:t>
      </w:r>
      <w:r>
        <w:rPr>
          <w:rStyle w:val="12"/>
          <w:rFonts w:hint="eastAsia" w:ascii="方正仿宋_GBK" w:hAnsi="方正仿宋_GBK" w:eastAsia="方正仿宋_GBK" w:cs="方正仿宋_GBK"/>
          <w:b w:val="0"/>
          <w:bCs w:val="0"/>
          <w:color w:val="auto"/>
          <w:spacing w:val="-4"/>
          <w:sz w:val="32"/>
          <w:szCs w:val="32"/>
          <w:lang w:val="en-US" w:eastAsia="zh-CN"/>
        </w:rPr>
        <w:t>450、09</w:t>
      </w:r>
      <w:r>
        <w:rPr>
          <w:rStyle w:val="12"/>
          <w:rFonts w:hint="eastAsia" w:ascii="方正仿宋_GBK" w:hAnsi="方正仿宋_GBK" w:eastAsia="方正仿宋_GBK" w:cs="方正仿宋_GBK"/>
          <w:b w:val="0"/>
          <w:bCs w:val="0"/>
          <w:color w:val="auto"/>
          <w:spacing w:val="-4"/>
          <w:sz w:val="32"/>
          <w:szCs w:val="32"/>
          <w:lang w:eastAsia="zh-CN"/>
        </w:rPr>
        <w:t>万元，分别为：</w:t>
      </w:r>
    </w:p>
    <w:p>
      <w:pPr>
        <w:keepNext w:val="0"/>
        <w:keepLines w:val="0"/>
        <w:pageBreakBefore w:val="0"/>
        <w:numPr>
          <w:ilvl w:val="0"/>
          <w:numId w:val="0"/>
        </w:numPr>
        <w:tabs>
          <w:tab w:val="left" w:pos="4344"/>
        </w:tabs>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val="en-US" w:eastAsia="zh-CN"/>
        </w:rPr>
      </w:pPr>
      <w:r>
        <w:rPr>
          <w:rStyle w:val="12"/>
          <w:rFonts w:hint="eastAsia" w:ascii="方正仿宋_GBK" w:hAnsi="方正仿宋_GBK" w:eastAsia="方正仿宋_GBK" w:cs="方正仿宋_GBK"/>
          <w:b w:val="0"/>
          <w:bCs w:val="0"/>
          <w:color w:val="auto"/>
          <w:spacing w:val="-4"/>
          <w:sz w:val="32"/>
          <w:szCs w:val="32"/>
          <w:lang w:eastAsia="zh-CN"/>
        </w:rPr>
        <w:t>①农业保险保费补贴项目，预算金额为</w:t>
      </w:r>
      <w:r>
        <w:rPr>
          <w:rStyle w:val="12"/>
          <w:rFonts w:hint="eastAsia" w:ascii="方正仿宋_GBK" w:hAnsi="方正仿宋_GBK" w:eastAsia="方正仿宋_GBK" w:cs="方正仿宋_GBK"/>
          <w:b w:val="0"/>
          <w:bCs w:val="0"/>
          <w:color w:val="auto"/>
          <w:spacing w:val="-4"/>
          <w:sz w:val="32"/>
          <w:szCs w:val="32"/>
          <w:lang w:val="en-US" w:eastAsia="zh-CN"/>
        </w:rPr>
        <w:t>285、64</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285、64</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开展农业保险保费补贴，减轻农户经济压力，提高应对突发自然灾害的能力。</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②2021年耕地轮作项目</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50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49、99</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开展耕地轮作，有效保护耕地</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lang w:val="en-US" w:eastAsia="zh-CN"/>
        </w:rPr>
      </w:pPr>
      <w:r>
        <w:rPr>
          <w:rStyle w:val="12"/>
          <w:rFonts w:hint="eastAsia" w:ascii="方正仿宋_GBK" w:hAnsi="方正仿宋_GBK" w:eastAsia="方正仿宋_GBK" w:cs="方正仿宋_GBK"/>
          <w:b w:val="0"/>
          <w:color w:val="auto"/>
          <w:spacing w:val="-4"/>
          <w:sz w:val="32"/>
          <w:szCs w:val="32"/>
        </w:rPr>
        <w:t>③农村土地承包经营纠纷调解仲裁经费</w:t>
      </w:r>
      <w:r>
        <w:rPr>
          <w:rStyle w:val="12"/>
          <w:rFonts w:hint="eastAsia" w:ascii="方正仿宋_GBK" w:hAnsi="方正仿宋_GBK" w:eastAsia="方正仿宋_GBK" w:cs="方正仿宋_GBK"/>
          <w:b w:val="0"/>
          <w:color w:val="auto"/>
          <w:spacing w:val="-4"/>
          <w:sz w:val="32"/>
          <w:szCs w:val="32"/>
          <w:lang w:eastAsia="zh-CN"/>
        </w:rPr>
        <w:t>，</w:t>
      </w:r>
      <w:r>
        <w:rPr>
          <w:rStyle w:val="12"/>
          <w:rFonts w:hint="eastAsia" w:ascii="方正仿宋_GBK" w:hAnsi="方正仿宋_GBK" w:eastAsia="方正仿宋_GBK" w:cs="方正仿宋_GBK"/>
          <w:b w:val="0"/>
          <w:color w:val="auto"/>
          <w:spacing w:val="-4"/>
          <w:sz w:val="32"/>
          <w:szCs w:val="32"/>
          <w:lang w:val="en-US" w:eastAsia="zh-CN"/>
        </w:rPr>
        <w:t>预算金额为2万元，执行金额为0万元，由于支付材料不齐全，资金未支出；</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kern w:val="2"/>
          <w:sz w:val="32"/>
          <w:szCs w:val="32"/>
          <w:lang w:val="en-US" w:eastAsia="zh-CN" w:bidi="ar-SA"/>
        </w:rPr>
      </w:pPr>
      <w:r>
        <w:rPr>
          <w:rStyle w:val="12"/>
          <w:rFonts w:hint="eastAsia" w:ascii="方正仿宋_GBK" w:hAnsi="方正仿宋_GBK" w:eastAsia="方正仿宋_GBK" w:cs="方正仿宋_GBK"/>
          <w:b w:val="0"/>
          <w:color w:val="auto"/>
          <w:spacing w:val="-4"/>
          <w:kern w:val="2"/>
          <w:sz w:val="32"/>
          <w:szCs w:val="32"/>
          <w:lang w:val="en-US" w:eastAsia="zh-CN" w:bidi="ar-SA"/>
        </w:rPr>
        <w:t>④耕地开垦费，预算金额为8、22万元，执行金额为8、22万元，开发利用耕地，提高耕地地力水平；</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rPr>
      </w:pPr>
      <w:r>
        <w:rPr>
          <w:rStyle w:val="12"/>
          <w:rFonts w:hint="eastAsia" w:ascii="方正仿宋_GBK" w:hAnsi="方正仿宋_GBK" w:eastAsia="方正仿宋_GBK" w:cs="方正仿宋_GBK"/>
          <w:b w:val="0"/>
          <w:color w:val="auto"/>
          <w:spacing w:val="-4"/>
          <w:kern w:val="2"/>
          <w:sz w:val="32"/>
          <w:szCs w:val="32"/>
          <w:lang w:val="en-US" w:eastAsia="zh-CN" w:bidi="ar-SA"/>
        </w:rPr>
        <w:t>⑤2024年期货助力乡村振兴暨“保险+期货”持续发展大会经费</w:t>
      </w:r>
      <w:r>
        <w:rPr>
          <w:rStyle w:val="12"/>
          <w:rFonts w:hint="eastAsia" w:ascii="方正仿宋_GBK" w:hAnsi="方正仿宋_GBK" w:eastAsia="方正仿宋_GBK" w:cs="方正仿宋_GBK"/>
          <w:b w:val="0"/>
          <w:color w:val="auto"/>
          <w:spacing w:val="-4"/>
          <w:sz w:val="32"/>
          <w:szCs w:val="32"/>
        </w:rPr>
        <w:t>，预算金额为</w:t>
      </w:r>
      <w:r>
        <w:rPr>
          <w:rStyle w:val="12"/>
          <w:rFonts w:hint="eastAsia" w:ascii="方正仿宋_GBK" w:hAnsi="方正仿宋_GBK" w:eastAsia="方正仿宋_GBK" w:cs="方正仿宋_GBK"/>
          <w:b w:val="0"/>
          <w:color w:val="auto"/>
          <w:spacing w:val="-4"/>
          <w:sz w:val="32"/>
          <w:szCs w:val="32"/>
          <w:lang w:val="en-US" w:eastAsia="zh-CN"/>
        </w:rPr>
        <w:t>70</w:t>
      </w:r>
      <w:r>
        <w:rPr>
          <w:rStyle w:val="12"/>
          <w:rFonts w:hint="eastAsia" w:ascii="方正仿宋_GBK" w:hAnsi="方正仿宋_GBK" w:eastAsia="方正仿宋_GBK" w:cs="方正仿宋_GBK"/>
          <w:b w:val="0"/>
          <w:color w:val="auto"/>
          <w:spacing w:val="-4"/>
          <w:sz w:val="32"/>
          <w:szCs w:val="32"/>
        </w:rPr>
        <w:t>万元，执行金额为</w:t>
      </w:r>
      <w:r>
        <w:rPr>
          <w:rStyle w:val="12"/>
          <w:rFonts w:hint="eastAsia" w:ascii="方正仿宋_GBK" w:hAnsi="方正仿宋_GBK" w:eastAsia="方正仿宋_GBK" w:cs="方正仿宋_GBK"/>
          <w:b w:val="0"/>
          <w:color w:val="auto"/>
          <w:spacing w:val="-4"/>
          <w:sz w:val="32"/>
          <w:szCs w:val="32"/>
          <w:lang w:val="en-US" w:eastAsia="zh-CN"/>
        </w:rPr>
        <w:t>70</w:t>
      </w:r>
      <w:r>
        <w:rPr>
          <w:rStyle w:val="12"/>
          <w:rFonts w:hint="eastAsia" w:ascii="方正仿宋_GBK" w:hAnsi="方正仿宋_GBK" w:eastAsia="方正仿宋_GBK" w:cs="方正仿宋_GBK"/>
          <w:b w:val="0"/>
          <w:color w:val="auto"/>
          <w:spacing w:val="-4"/>
          <w:sz w:val="32"/>
          <w:szCs w:val="32"/>
        </w:rPr>
        <w:t>万元，</w:t>
      </w:r>
      <w:r>
        <w:rPr>
          <w:rStyle w:val="12"/>
          <w:rFonts w:hint="eastAsia" w:ascii="方正仿宋_GBK" w:hAnsi="方正仿宋_GBK" w:eastAsia="方正仿宋_GBK" w:cs="方正仿宋_GBK"/>
          <w:b w:val="0"/>
          <w:color w:val="auto"/>
          <w:spacing w:val="-4"/>
          <w:sz w:val="32"/>
          <w:szCs w:val="32"/>
          <w:lang w:val="en-US" w:eastAsia="zh-CN"/>
        </w:rPr>
        <w:t>通过项目实施，提高农民收入，助力乡村振兴</w:t>
      </w:r>
      <w:r>
        <w:rPr>
          <w:rStyle w:val="12"/>
          <w:rFonts w:hint="eastAsia" w:ascii="方正仿宋_GBK" w:hAnsi="方正仿宋_GBK" w:eastAsia="方正仿宋_GBK" w:cs="方正仿宋_GBK"/>
          <w:b w:val="0"/>
          <w:color w:val="auto"/>
          <w:spacing w:val="-4"/>
          <w:sz w:val="32"/>
          <w:szCs w:val="32"/>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color w:val="auto"/>
          <w:spacing w:val="-4"/>
          <w:sz w:val="32"/>
          <w:szCs w:val="32"/>
          <w:lang w:eastAsia="zh-CN"/>
        </w:rPr>
      </w:pPr>
      <w:r>
        <w:rPr>
          <w:rStyle w:val="12"/>
          <w:rFonts w:hint="eastAsia" w:ascii="方正仿宋_GBK" w:hAnsi="方正仿宋_GBK" w:eastAsia="方正仿宋_GBK" w:cs="方正仿宋_GBK"/>
          <w:b w:val="0"/>
          <w:color w:val="auto"/>
          <w:spacing w:val="-4"/>
          <w:sz w:val="32"/>
          <w:szCs w:val="32"/>
        </w:rPr>
        <w:t>⑥麦盖提县城南工业园区冷链储运设施建设项目，预算金额为34</w:t>
      </w:r>
      <w:r>
        <w:rPr>
          <w:rStyle w:val="12"/>
          <w:rFonts w:hint="eastAsia" w:ascii="方正仿宋_GBK" w:hAnsi="方正仿宋_GBK" w:eastAsia="方正仿宋_GBK" w:cs="方正仿宋_GBK"/>
          <w:b w:val="0"/>
          <w:color w:val="auto"/>
          <w:spacing w:val="-4"/>
          <w:sz w:val="32"/>
          <w:szCs w:val="32"/>
          <w:lang w:eastAsia="zh-CN"/>
        </w:rPr>
        <w:t>、</w:t>
      </w:r>
      <w:r>
        <w:rPr>
          <w:rStyle w:val="12"/>
          <w:rFonts w:hint="eastAsia" w:ascii="方正仿宋_GBK" w:hAnsi="方正仿宋_GBK" w:eastAsia="方正仿宋_GBK" w:cs="方正仿宋_GBK"/>
          <w:b w:val="0"/>
          <w:color w:val="auto"/>
          <w:spacing w:val="-4"/>
          <w:sz w:val="32"/>
          <w:szCs w:val="32"/>
        </w:rPr>
        <w:t>23万元，执行金额为30</w:t>
      </w:r>
      <w:r>
        <w:rPr>
          <w:rStyle w:val="12"/>
          <w:rFonts w:hint="eastAsia" w:ascii="方正仿宋_GBK" w:hAnsi="方正仿宋_GBK" w:eastAsia="方正仿宋_GBK" w:cs="方正仿宋_GBK"/>
          <w:b w:val="0"/>
          <w:color w:val="auto"/>
          <w:spacing w:val="-4"/>
          <w:sz w:val="32"/>
          <w:szCs w:val="32"/>
          <w:lang w:eastAsia="zh-CN"/>
        </w:rPr>
        <w:t>、</w:t>
      </w:r>
      <w:r>
        <w:rPr>
          <w:rStyle w:val="12"/>
          <w:rFonts w:hint="eastAsia" w:ascii="方正仿宋_GBK" w:hAnsi="方正仿宋_GBK" w:eastAsia="方正仿宋_GBK" w:cs="方正仿宋_GBK"/>
          <w:b w:val="0"/>
          <w:color w:val="auto"/>
          <w:spacing w:val="-4"/>
          <w:sz w:val="32"/>
          <w:szCs w:val="32"/>
        </w:rPr>
        <w:t>18万元，发展冷链物流，助力乡村振兴</w:t>
      </w:r>
      <w:r>
        <w:rPr>
          <w:rStyle w:val="12"/>
          <w:rFonts w:hint="eastAsia" w:ascii="方正仿宋_GBK" w:hAnsi="方正仿宋_GBK" w:eastAsia="方正仿宋_GBK" w:cs="方正仿宋_GBK"/>
          <w:b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7" w:firstLineChars="200"/>
        <w:jc w:val="both"/>
        <w:rPr>
          <w:rStyle w:val="12"/>
          <w:rFonts w:hint="eastAsia" w:ascii="方正仿宋_GBK" w:hAnsi="方正仿宋_GBK" w:eastAsia="方正仿宋_GBK" w:cs="方正仿宋_GBK"/>
          <w:b w:val="0"/>
          <w:bCs w:val="0"/>
          <w:color w:val="auto"/>
          <w:spacing w:val="-4"/>
          <w:sz w:val="32"/>
          <w:szCs w:val="32"/>
          <w:lang w:val="en-US" w:eastAsia="zh-CN"/>
        </w:rPr>
      </w:pP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spacing w:val="-4"/>
          <w:sz w:val="32"/>
          <w:szCs w:val="32"/>
          <w:lang w:val="en-US" w:eastAsia="zh-CN"/>
        </w:rPr>
        <w:t>3</w:t>
      </w:r>
      <w:r>
        <w:rPr>
          <w:rStyle w:val="12"/>
          <w:rFonts w:hint="eastAsia" w:ascii="方正仿宋_GBK" w:hAnsi="方正仿宋_GBK" w:eastAsia="方正仿宋_GBK" w:cs="方正仿宋_GBK"/>
          <w:spacing w:val="-4"/>
          <w:sz w:val="32"/>
          <w:szCs w:val="32"/>
          <w:lang w:eastAsia="zh-CN"/>
        </w:rPr>
        <w:t>）财政专户管理资金项目</w:t>
      </w:r>
      <w:r>
        <w:rPr>
          <w:rStyle w:val="12"/>
          <w:rFonts w:hint="eastAsia" w:ascii="方正仿宋_GBK" w:hAnsi="方正仿宋_GBK" w:eastAsia="方正仿宋_GBK" w:cs="方正仿宋_GBK"/>
          <w:spacing w:val="-4"/>
          <w:sz w:val="32"/>
          <w:szCs w:val="32"/>
        </w:rPr>
        <w:t>：</w:t>
      </w:r>
      <w:r>
        <w:rPr>
          <w:rStyle w:val="12"/>
          <w:rFonts w:hint="eastAsia" w:ascii="方正仿宋_GBK" w:hAnsi="方正仿宋_GBK" w:eastAsia="方正仿宋_GBK" w:cs="方正仿宋_GBK"/>
          <w:b w:val="0"/>
          <w:bCs w:val="0"/>
          <w:color w:val="auto"/>
          <w:spacing w:val="-4"/>
          <w:sz w:val="32"/>
          <w:szCs w:val="32"/>
          <w:lang w:val="en-US" w:eastAsia="zh-CN"/>
        </w:rPr>
        <w:t>无。</w:t>
      </w:r>
    </w:p>
    <w:p>
      <w:pPr>
        <w:keepNext w:val="0"/>
        <w:keepLines w:val="0"/>
        <w:pageBreakBefore w:val="0"/>
        <w:numPr>
          <w:ilvl w:val="0"/>
          <w:numId w:val="0"/>
        </w:numPr>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 w:val="0"/>
          <w:bCs w:val="0"/>
          <w:color w:val="auto"/>
          <w:spacing w:val="-4"/>
          <w:sz w:val="32"/>
          <w:szCs w:val="32"/>
          <w:lang w:val="en-US" w:eastAsia="zh-CN"/>
        </w:rPr>
      </w:pP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spacing w:val="-4"/>
          <w:sz w:val="32"/>
          <w:szCs w:val="32"/>
          <w:lang w:val="en-US" w:eastAsia="zh-CN"/>
        </w:rPr>
        <w:t>4</w:t>
      </w: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spacing w:val="-4"/>
          <w:sz w:val="32"/>
          <w:szCs w:val="32"/>
        </w:rPr>
        <w:t>单位资金项目</w:t>
      </w: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b w:val="0"/>
          <w:bCs w:val="0"/>
          <w:spacing w:val="-4"/>
          <w:sz w:val="32"/>
          <w:szCs w:val="32"/>
          <w:lang w:val="en-US" w:eastAsia="zh-CN"/>
        </w:rPr>
        <w:t>无。</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7"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spacing w:val="-4"/>
          <w:kern w:val="2"/>
          <w:sz w:val="32"/>
          <w:szCs w:val="32"/>
          <w:lang w:val="en-US" w:eastAsia="zh-CN" w:bidi="ar-SA"/>
        </w:rPr>
        <w:t>（5）其他资金项目</w:t>
      </w:r>
      <w:r>
        <w:rPr>
          <w:rStyle w:val="12"/>
          <w:rFonts w:hint="eastAsia" w:ascii="方正仿宋_GBK" w:hAnsi="方正仿宋_GBK" w:eastAsia="方正仿宋_GBK" w:cs="方正仿宋_GBK"/>
          <w:spacing w:val="-4"/>
          <w:sz w:val="32"/>
          <w:szCs w:val="32"/>
          <w:lang w:eastAsia="zh-CN"/>
        </w:rPr>
        <w:t>：</w:t>
      </w:r>
      <w:r>
        <w:rPr>
          <w:rStyle w:val="12"/>
          <w:rFonts w:hint="eastAsia" w:ascii="方正仿宋_GBK" w:hAnsi="方正仿宋_GBK" w:eastAsia="方正仿宋_GBK" w:cs="方正仿宋_GBK"/>
          <w:b w:val="0"/>
          <w:bCs w:val="0"/>
          <w:color w:val="auto"/>
          <w:spacing w:val="-4"/>
          <w:sz w:val="32"/>
          <w:szCs w:val="32"/>
          <w:lang w:eastAsia="zh-CN"/>
        </w:rPr>
        <w:t>共计</w:t>
      </w:r>
      <w:r>
        <w:rPr>
          <w:rStyle w:val="12"/>
          <w:rFonts w:hint="eastAsia" w:ascii="方正仿宋_GBK" w:hAnsi="方正仿宋_GBK" w:eastAsia="方正仿宋_GBK" w:cs="方正仿宋_GBK"/>
          <w:b w:val="0"/>
          <w:bCs w:val="0"/>
          <w:color w:val="auto"/>
          <w:spacing w:val="-4"/>
          <w:sz w:val="32"/>
          <w:szCs w:val="32"/>
          <w:lang w:val="en-US" w:eastAsia="zh-CN"/>
        </w:rPr>
        <w:t>6</w:t>
      </w:r>
      <w:r>
        <w:rPr>
          <w:rStyle w:val="12"/>
          <w:rFonts w:hint="eastAsia" w:ascii="方正仿宋_GBK" w:hAnsi="方正仿宋_GBK" w:eastAsia="方正仿宋_GBK" w:cs="方正仿宋_GBK"/>
          <w:b w:val="0"/>
          <w:bCs w:val="0"/>
          <w:color w:val="auto"/>
          <w:spacing w:val="-4"/>
          <w:sz w:val="32"/>
          <w:szCs w:val="32"/>
          <w:lang w:eastAsia="zh-CN"/>
        </w:rPr>
        <w:t>个项目，金额为</w:t>
      </w:r>
      <w:r>
        <w:rPr>
          <w:rStyle w:val="12"/>
          <w:rFonts w:hint="eastAsia" w:ascii="方正仿宋_GBK" w:hAnsi="方正仿宋_GBK" w:eastAsia="方正仿宋_GBK" w:cs="方正仿宋_GBK"/>
          <w:b w:val="0"/>
          <w:bCs w:val="0"/>
          <w:color w:val="auto"/>
          <w:spacing w:val="-4"/>
          <w:sz w:val="32"/>
          <w:szCs w:val="32"/>
          <w:lang w:val="en-US" w:eastAsia="zh-CN"/>
        </w:rPr>
        <w:t>1500、1</w:t>
      </w:r>
      <w:r>
        <w:rPr>
          <w:rStyle w:val="12"/>
          <w:rFonts w:hint="eastAsia" w:ascii="方正仿宋_GBK" w:hAnsi="方正仿宋_GBK" w:eastAsia="方正仿宋_GBK" w:cs="方正仿宋_GBK"/>
          <w:b w:val="0"/>
          <w:bCs w:val="0"/>
          <w:color w:val="auto"/>
          <w:spacing w:val="-4"/>
          <w:sz w:val="32"/>
          <w:szCs w:val="32"/>
          <w:lang w:eastAsia="zh-CN"/>
        </w:rPr>
        <w:t>万元，分别为：</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val="en-US" w:eastAsia="zh-CN"/>
        </w:rPr>
      </w:pPr>
      <w:r>
        <w:rPr>
          <w:rStyle w:val="12"/>
          <w:rFonts w:hint="eastAsia" w:ascii="方正仿宋_GBK" w:hAnsi="方正仿宋_GBK" w:eastAsia="方正仿宋_GBK" w:cs="方正仿宋_GBK"/>
          <w:b w:val="0"/>
          <w:bCs w:val="0"/>
          <w:color w:val="auto"/>
          <w:spacing w:val="-4"/>
          <w:sz w:val="32"/>
          <w:szCs w:val="32"/>
          <w:lang w:eastAsia="zh-CN"/>
        </w:rPr>
        <w:t>①麦盖提县专业技术人才培训项目（山东援疆），预算金额为</w:t>
      </w:r>
      <w:r>
        <w:rPr>
          <w:rStyle w:val="12"/>
          <w:rFonts w:hint="eastAsia" w:ascii="方正仿宋_GBK" w:hAnsi="方正仿宋_GBK" w:eastAsia="方正仿宋_GBK" w:cs="方正仿宋_GBK"/>
          <w:b w:val="0"/>
          <w:bCs w:val="0"/>
          <w:color w:val="auto"/>
          <w:spacing w:val="-4"/>
          <w:sz w:val="32"/>
          <w:szCs w:val="32"/>
          <w:lang w:val="en-US" w:eastAsia="zh-CN"/>
        </w:rPr>
        <w:t>45</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45万元，开展两地人才培训，提高人员业务水平。</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②麦盖提县专业人才合作项目（山东援疆），预算金额为</w:t>
      </w:r>
      <w:r>
        <w:rPr>
          <w:rStyle w:val="12"/>
          <w:rFonts w:hint="eastAsia" w:ascii="方正仿宋_GBK" w:hAnsi="方正仿宋_GBK" w:eastAsia="方正仿宋_GBK" w:cs="方正仿宋_GBK"/>
          <w:b w:val="0"/>
          <w:bCs w:val="0"/>
          <w:color w:val="auto"/>
          <w:spacing w:val="-4"/>
          <w:sz w:val="32"/>
          <w:szCs w:val="32"/>
          <w:lang w:val="en-US" w:eastAsia="zh-CN"/>
        </w:rPr>
        <w:t>104</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57、06</w:t>
      </w:r>
      <w:r>
        <w:rPr>
          <w:rStyle w:val="12"/>
          <w:rFonts w:hint="eastAsia" w:ascii="方正仿宋_GBK" w:hAnsi="方正仿宋_GBK" w:eastAsia="方正仿宋_GBK" w:cs="方正仿宋_GBK"/>
          <w:b w:val="0"/>
          <w:bCs w:val="0"/>
          <w:color w:val="auto"/>
          <w:spacing w:val="-4"/>
          <w:sz w:val="32"/>
          <w:szCs w:val="32"/>
          <w:lang w:eastAsia="zh-CN"/>
        </w:rPr>
        <w:t>万元，开展两地</w:t>
      </w:r>
      <w:r>
        <w:rPr>
          <w:rStyle w:val="12"/>
          <w:rFonts w:hint="eastAsia" w:ascii="方正仿宋_GBK" w:hAnsi="方正仿宋_GBK" w:eastAsia="方正仿宋_GBK" w:cs="方正仿宋_GBK"/>
          <w:b w:val="0"/>
          <w:bCs w:val="0"/>
          <w:color w:val="auto"/>
          <w:spacing w:val="-4"/>
          <w:sz w:val="32"/>
          <w:szCs w:val="32"/>
          <w:lang w:val="en-US" w:eastAsia="zh-CN"/>
        </w:rPr>
        <w:t>专业</w:t>
      </w:r>
      <w:r>
        <w:rPr>
          <w:rStyle w:val="12"/>
          <w:rFonts w:hint="eastAsia" w:ascii="方正仿宋_GBK" w:hAnsi="方正仿宋_GBK" w:eastAsia="方正仿宋_GBK" w:cs="方正仿宋_GBK"/>
          <w:b w:val="0"/>
          <w:bCs w:val="0"/>
          <w:color w:val="auto"/>
          <w:spacing w:val="-4"/>
          <w:sz w:val="32"/>
          <w:szCs w:val="32"/>
          <w:lang w:eastAsia="zh-CN"/>
        </w:rPr>
        <w:t>人才培训，提高</w:t>
      </w:r>
      <w:r>
        <w:rPr>
          <w:rStyle w:val="12"/>
          <w:rFonts w:hint="eastAsia" w:ascii="方正仿宋_GBK" w:hAnsi="方正仿宋_GBK" w:eastAsia="方正仿宋_GBK" w:cs="方正仿宋_GBK"/>
          <w:b w:val="0"/>
          <w:bCs w:val="0"/>
          <w:color w:val="auto"/>
          <w:spacing w:val="-4"/>
          <w:sz w:val="32"/>
          <w:szCs w:val="32"/>
          <w:lang w:val="en-US" w:eastAsia="zh-CN"/>
        </w:rPr>
        <w:t>专业</w:t>
      </w:r>
      <w:r>
        <w:rPr>
          <w:rStyle w:val="12"/>
          <w:rFonts w:hint="eastAsia" w:ascii="方正仿宋_GBK" w:hAnsi="方正仿宋_GBK" w:eastAsia="方正仿宋_GBK" w:cs="方正仿宋_GBK"/>
          <w:b w:val="0"/>
          <w:bCs w:val="0"/>
          <w:color w:val="auto"/>
          <w:spacing w:val="-4"/>
          <w:sz w:val="32"/>
          <w:szCs w:val="32"/>
          <w:lang w:eastAsia="zh-CN"/>
        </w:rPr>
        <w:t>人员业务水平。</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val="en-US" w:eastAsia="zh-CN"/>
        </w:rPr>
      </w:pPr>
      <w:r>
        <w:rPr>
          <w:rStyle w:val="12"/>
          <w:rFonts w:hint="eastAsia" w:ascii="方正仿宋_GBK" w:hAnsi="方正仿宋_GBK" w:eastAsia="方正仿宋_GBK" w:cs="方正仿宋_GBK"/>
          <w:b w:val="0"/>
          <w:bCs w:val="0"/>
          <w:color w:val="auto"/>
          <w:spacing w:val="-4"/>
          <w:sz w:val="32"/>
          <w:szCs w:val="32"/>
          <w:lang w:eastAsia="zh-CN"/>
        </w:rPr>
        <w:t>③2023年度麦盖提县加强人才合作和引导激励项目，</w:t>
      </w:r>
      <w:r>
        <w:rPr>
          <w:rStyle w:val="12"/>
          <w:rFonts w:hint="eastAsia" w:ascii="方正仿宋_GBK" w:hAnsi="方正仿宋_GBK" w:eastAsia="方正仿宋_GBK" w:cs="方正仿宋_GBK"/>
          <w:b w:val="0"/>
          <w:bCs w:val="0"/>
          <w:color w:val="auto"/>
          <w:spacing w:val="-4"/>
          <w:sz w:val="32"/>
          <w:szCs w:val="32"/>
          <w:lang w:val="en-US" w:eastAsia="zh-CN"/>
        </w:rPr>
        <w:t>预算金额为50万元，执行金额0万元，开展人才交流合作，提高麦盖提县业务人员业务水平。</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④2024年度援疆干部南疆补贴项目，预算金额为1、1万元，执行金额为1、1万元，发放援疆干部补贴，提高干部生活质量。</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⑤麦盖提县2024年度红枣“保险+期货”项目（捐赠资金），预算金额为</w:t>
      </w:r>
      <w:r>
        <w:rPr>
          <w:rStyle w:val="12"/>
          <w:rFonts w:hint="eastAsia" w:ascii="方正仿宋_GBK" w:hAnsi="方正仿宋_GBK" w:eastAsia="方正仿宋_GBK" w:cs="方正仿宋_GBK"/>
          <w:b w:val="0"/>
          <w:bCs w:val="0"/>
          <w:color w:val="auto"/>
          <w:spacing w:val="-4"/>
          <w:sz w:val="32"/>
          <w:szCs w:val="32"/>
          <w:lang w:val="en-US" w:eastAsia="zh-CN"/>
        </w:rPr>
        <w:t>300</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300</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提高农民收入，助力农户增收</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widowControl w:val="0"/>
        <w:numPr>
          <w:ilvl w:val="0"/>
          <w:numId w:val="0"/>
        </w:numPr>
        <w:tabs>
          <w:tab w:val="left" w:pos="4344"/>
        </w:tabs>
        <w:kinsoku/>
        <w:wordWrap/>
        <w:overflowPunct/>
        <w:topLinePunct w:val="0"/>
        <w:autoSpaceDE/>
        <w:autoSpaceDN/>
        <w:bidi w:val="0"/>
        <w:adjustRightInd/>
        <w:snapToGrid/>
        <w:spacing w:beforeAutospacing="0" w:afterAutospacing="0" w:line="570" w:lineRule="exact"/>
        <w:ind w:left="0" w:firstLine="624" w:firstLineChars="200"/>
        <w:jc w:val="both"/>
        <w:rPr>
          <w:rStyle w:val="12"/>
          <w:rFonts w:hint="eastAsia" w:ascii="方正仿宋_GBK" w:hAnsi="方正仿宋_GBK" w:eastAsia="方正仿宋_GBK" w:cs="方正仿宋_GBK"/>
          <w:b w:val="0"/>
          <w:bCs w:val="0"/>
          <w:color w:val="auto"/>
          <w:spacing w:val="-4"/>
          <w:sz w:val="32"/>
          <w:szCs w:val="32"/>
          <w:lang w:eastAsia="zh-CN"/>
        </w:rPr>
      </w:pPr>
      <w:r>
        <w:rPr>
          <w:rStyle w:val="12"/>
          <w:rFonts w:hint="eastAsia" w:ascii="方正仿宋_GBK" w:hAnsi="方正仿宋_GBK" w:eastAsia="方正仿宋_GBK" w:cs="方正仿宋_GBK"/>
          <w:b w:val="0"/>
          <w:bCs w:val="0"/>
          <w:color w:val="auto"/>
          <w:spacing w:val="-4"/>
          <w:sz w:val="32"/>
          <w:szCs w:val="32"/>
          <w:lang w:eastAsia="zh-CN"/>
        </w:rPr>
        <w:t>⑥麦盖提县2024年粮食产能提升奖补资金项目（代管），预算金额为</w:t>
      </w:r>
      <w:r>
        <w:rPr>
          <w:rStyle w:val="12"/>
          <w:rFonts w:hint="eastAsia" w:ascii="方正仿宋_GBK" w:hAnsi="方正仿宋_GBK" w:eastAsia="方正仿宋_GBK" w:cs="方正仿宋_GBK"/>
          <w:b w:val="0"/>
          <w:bCs w:val="0"/>
          <w:color w:val="auto"/>
          <w:spacing w:val="-4"/>
          <w:sz w:val="32"/>
          <w:szCs w:val="32"/>
          <w:lang w:val="en-US" w:eastAsia="zh-CN"/>
        </w:rPr>
        <w:t>1000</w:t>
      </w:r>
      <w:r>
        <w:rPr>
          <w:rStyle w:val="12"/>
          <w:rFonts w:hint="eastAsia" w:ascii="方正仿宋_GBK" w:hAnsi="方正仿宋_GBK" w:eastAsia="方正仿宋_GBK" w:cs="方正仿宋_GBK"/>
          <w:b w:val="0"/>
          <w:bCs w:val="0"/>
          <w:color w:val="auto"/>
          <w:spacing w:val="-4"/>
          <w:sz w:val="32"/>
          <w:szCs w:val="32"/>
          <w:lang w:eastAsia="zh-CN"/>
        </w:rPr>
        <w:t>万元，执行金额为</w:t>
      </w:r>
      <w:r>
        <w:rPr>
          <w:rStyle w:val="12"/>
          <w:rFonts w:hint="eastAsia" w:ascii="方正仿宋_GBK" w:hAnsi="方正仿宋_GBK" w:eastAsia="方正仿宋_GBK" w:cs="方正仿宋_GBK"/>
          <w:b w:val="0"/>
          <w:bCs w:val="0"/>
          <w:color w:val="auto"/>
          <w:spacing w:val="-4"/>
          <w:sz w:val="32"/>
          <w:szCs w:val="32"/>
          <w:lang w:val="en-US" w:eastAsia="zh-CN"/>
        </w:rPr>
        <w:t>257、73</w:t>
      </w:r>
      <w:r>
        <w:rPr>
          <w:rStyle w:val="12"/>
          <w:rFonts w:hint="eastAsia" w:ascii="方正仿宋_GBK" w:hAnsi="方正仿宋_GBK" w:eastAsia="方正仿宋_GBK" w:cs="方正仿宋_GBK"/>
          <w:b w:val="0"/>
          <w:bCs w:val="0"/>
          <w:color w:val="auto"/>
          <w:spacing w:val="-4"/>
          <w:sz w:val="32"/>
          <w:szCs w:val="32"/>
          <w:lang w:eastAsia="zh-CN"/>
        </w:rPr>
        <w:t>万元，</w:t>
      </w:r>
      <w:r>
        <w:rPr>
          <w:rStyle w:val="12"/>
          <w:rFonts w:hint="eastAsia" w:ascii="方正仿宋_GBK" w:hAnsi="方正仿宋_GBK" w:eastAsia="方正仿宋_GBK" w:cs="方正仿宋_GBK"/>
          <w:b w:val="0"/>
          <w:bCs w:val="0"/>
          <w:color w:val="auto"/>
          <w:spacing w:val="-4"/>
          <w:sz w:val="32"/>
          <w:szCs w:val="32"/>
          <w:lang w:val="en-US" w:eastAsia="zh-CN"/>
        </w:rPr>
        <w:t>提高粮食产量，增加农民收入</w:t>
      </w:r>
      <w:r>
        <w:rPr>
          <w:rStyle w:val="12"/>
          <w:rFonts w:hint="eastAsia" w:ascii="方正仿宋_GBK" w:hAnsi="方正仿宋_GBK" w:eastAsia="方正仿宋_GBK" w:cs="方正仿宋_GBK"/>
          <w:b w:val="0"/>
          <w:bCs w:val="0"/>
          <w:color w:val="auto"/>
          <w:spacing w:val="-4"/>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val="0"/>
        <w:spacing w:beforeAutospacing="0" w:afterAutospacing="0" w:line="570" w:lineRule="exact"/>
        <w:ind w:left="0" w:firstLine="640" w:firstLineChars="200"/>
        <w:jc w:val="both"/>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部门单位整体支出绩效分析</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Cs w:val="0"/>
          <w:spacing w:val="-4"/>
          <w:sz w:val="32"/>
          <w:szCs w:val="32"/>
        </w:rPr>
      </w:pPr>
      <w:r>
        <w:rPr>
          <w:rStyle w:val="12"/>
          <w:rFonts w:hint="eastAsia" w:ascii="方正仿宋_GBK" w:hAnsi="方正仿宋_GBK" w:eastAsia="方正仿宋_GBK" w:cs="方正仿宋_GBK"/>
          <w:bCs w:val="0"/>
          <w:spacing w:val="-4"/>
          <w:sz w:val="32"/>
          <w:szCs w:val="32"/>
        </w:rPr>
        <w:t>我单位</w:t>
      </w:r>
      <w:r>
        <w:rPr>
          <w:rStyle w:val="12"/>
          <w:rFonts w:hint="eastAsia" w:ascii="方正仿宋_GBK" w:hAnsi="方正仿宋_GBK" w:eastAsia="方正仿宋_GBK" w:cs="方正仿宋_GBK"/>
          <w:bCs w:val="0"/>
          <w:spacing w:val="-4"/>
          <w:sz w:val="32"/>
          <w:szCs w:val="32"/>
          <w:lang w:eastAsia="zh-CN"/>
        </w:rPr>
        <w:t>2024</w:t>
      </w:r>
      <w:r>
        <w:rPr>
          <w:rStyle w:val="12"/>
          <w:rFonts w:hint="eastAsia" w:ascii="方正仿宋_GBK" w:hAnsi="方正仿宋_GBK" w:eastAsia="方正仿宋_GBK" w:cs="方正仿宋_GBK"/>
          <w:bCs w:val="0"/>
          <w:spacing w:val="-4"/>
          <w:sz w:val="32"/>
          <w:szCs w:val="32"/>
        </w:rPr>
        <w:t>年全年预算金额为</w:t>
      </w:r>
      <w:r>
        <w:rPr>
          <w:rStyle w:val="12"/>
          <w:rFonts w:hint="eastAsia" w:ascii="方正仿宋_GBK" w:hAnsi="方正仿宋_GBK" w:eastAsia="方正仿宋_GBK" w:cs="方正仿宋_GBK"/>
          <w:b w:val="0"/>
          <w:color w:val="auto"/>
          <w:sz w:val="32"/>
          <w:szCs w:val="32"/>
          <w:lang w:val="en-US" w:eastAsia="zh-CN" w:bidi="ar"/>
        </w:rPr>
        <w:t>67485、51</w:t>
      </w:r>
      <w:r>
        <w:rPr>
          <w:rStyle w:val="12"/>
          <w:rFonts w:hint="eastAsia" w:ascii="方正仿宋_GBK" w:hAnsi="方正仿宋_GBK" w:eastAsia="方正仿宋_GBK" w:cs="方正仿宋_GBK"/>
          <w:bCs w:val="0"/>
          <w:spacing w:val="-4"/>
          <w:sz w:val="32"/>
          <w:szCs w:val="32"/>
        </w:rPr>
        <w:t>万元，执行金额为</w:t>
      </w:r>
      <w:r>
        <w:rPr>
          <w:rStyle w:val="12"/>
          <w:rFonts w:hint="eastAsia" w:ascii="方正仿宋_GBK" w:hAnsi="方正仿宋_GBK" w:eastAsia="方正仿宋_GBK" w:cs="方正仿宋_GBK"/>
          <w:b w:val="0"/>
          <w:color w:val="auto"/>
          <w:sz w:val="32"/>
          <w:szCs w:val="32"/>
          <w:lang w:val="en-US" w:eastAsia="zh-CN" w:bidi="ar"/>
        </w:rPr>
        <w:t>58954、85</w:t>
      </w:r>
      <w:r>
        <w:rPr>
          <w:rStyle w:val="12"/>
          <w:rFonts w:hint="eastAsia" w:ascii="方正仿宋_GBK" w:hAnsi="方正仿宋_GBK" w:eastAsia="方正仿宋_GBK" w:cs="方正仿宋_GBK"/>
          <w:bCs w:val="0"/>
          <w:spacing w:val="-4"/>
          <w:sz w:val="32"/>
          <w:szCs w:val="32"/>
        </w:rPr>
        <w:t>万元，执行率为</w:t>
      </w:r>
      <w:r>
        <w:rPr>
          <w:rStyle w:val="12"/>
          <w:rFonts w:hint="eastAsia" w:ascii="方正仿宋_GBK" w:hAnsi="方正仿宋_GBK" w:eastAsia="方正仿宋_GBK" w:cs="方正仿宋_GBK"/>
          <w:bCs w:val="0"/>
          <w:spacing w:val="-4"/>
          <w:sz w:val="32"/>
          <w:szCs w:val="32"/>
          <w:lang w:val="en-US" w:eastAsia="zh-CN"/>
        </w:rPr>
        <w:t>87、4</w:t>
      </w:r>
      <w:r>
        <w:rPr>
          <w:rStyle w:val="12"/>
          <w:rFonts w:hint="eastAsia" w:ascii="方正仿宋_GBK" w:hAnsi="方正仿宋_GBK" w:eastAsia="方正仿宋_GBK" w:cs="方正仿宋_GBK"/>
          <w:bCs w:val="0"/>
          <w:spacing w:val="-4"/>
          <w:sz w:val="32"/>
          <w:szCs w:val="32"/>
        </w:rPr>
        <w:t>%，得</w:t>
      </w:r>
      <w:r>
        <w:rPr>
          <w:rStyle w:val="12"/>
          <w:rFonts w:hint="eastAsia" w:ascii="方正仿宋_GBK" w:hAnsi="方正仿宋_GBK" w:eastAsia="方正仿宋_GBK" w:cs="方正仿宋_GBK"/>
          <w:bCs w:val="0"/>
          <w:spacing w:val="-4"/>
          <w:sz w:val="32"/>
          <w:szCs w:val="32"/>
          <w:lang w:val="en-US" w:eastAsia="zh-CN"/>
        </w:rPr>
        <w:t>8、7</w:t>
      </w:r>
      <w:r>
        <w:rPr>
          <w:rStyle w:val="12"/>
          <w:rFonts w:hint="eastAsia" w:ascii="方正仿宋_GBK" w:hAnsi="方正仿宋_GBK" w:eastAsia="方正仿宋_GBK" w:cs="方正仿宋_GBK"/>
          <w:bCs w:val="0"/>
          <w:spacing w:val="-4"/>
          <w:sz w:val="32"/>
          <w:szCs w:val="32"/>
        </w:rPr>
        <w:t>分。</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Cs w:val="0"/>
          <w:spacing w:val="-4"/>
          <w:sz w:val="32"/>
          <w:szCs w:val="32"/>
          <w:lang w:val="en-US" w:eastAsia="zh-CN"/>
        </w:rPr>
      </w:pPr>
      <w:r>
        <w:rPr>
          <w:rStyle w:val="12"/>
          <w:rFonts w:hint="eastAsia" w:ascii="方正仿宋_GBK" w:hAnsi="方正仿宋_GBK" w:eastAsia="方正仿宋_GBK" w:cs="方正仿宋_GBK"/>
          <w:bCs w:val="0"/>
          <w:spacing w:val="-4"/>
          <w:sz w:val="32"/>
          <w:szCs w:val="32"/>
        </w:rPr>
        <w:t>指标一：</w:t>
      </w:r>
      <w:r>
        <w:rPr>
          <w:rStyle w:val="12"/>
          <w:rFonts w:hint="eastAsia" w:ascii="方正仿宋_GBK" w:hAnsi="方正仿宋_GBK" w:eastAsia="方正仿宋_GBK" w:cs="方正仿宋_GBK"/>
          <w:b/>
          <w:bCs w:val="0"/>
          <w:color w:val="auto"/>
          <w:spacing w:val="-4"/>
          <w:sz w:val="32"/>
          <w:szCs w:val="32"/>
          <w:highlight w:val="none"/>
          <w:lang w:val="en-US" w:eastAsia="zh-CN"/>
        </w:rPr>
        <w:t>数量指标</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 w:val="0"/>
          <w:color w:val="auto"/>
          <w:spacing w:val="-4"/>
          <w:sz w:val="32"/>
          <w:szCs w:val="32"/>
          <w:highlight w:val="none"/>
          <w:lang w:val="en-US" w:eastAsia="zh-CN"/>
        </w:rPr>
      </w:pPr>
      <w:r>
        <w:rPr>
          <w:rStyle w:val="12"/>
          <w:rFonts w:hint="eastAsia" w:ascii="方正仿宋_GBK" w:hAnsi="方正仿宋_GBK" w:eastAsia="方正仿宋_GBK" w:cs="方正仿宋_GBK"/>
          <w:b/>
          <w:bCs w:val="0"/>
          <w:color w:val="auto"/>
          <w:spacing w:val="-4"/>
          <w:sz w:val="32"/>
          <w:szCs w:val="32"/>
          <w:highlight w:val="none"/>
          <w:lang w:val="en-US" w:eastAsia="zh-CN"/>
        </w:rPr>
        <w:t>新建及提升改造高标准农田面积指标</w:t>
      </w:r>
      <w:r>
        <w:rPr>
          <w:rStyle w:val="12"/>
          <w:rFonts w:hint="eastAsia" w:ascii="方正仿宋_GBK" w:hAnsi="方正仿宋_GBK" w:eastAsia="方正仿宋_GBK" w:cs="方正仿宋_GBK"/>
          <w:b/>
          <w:bCs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rPr>
        <w:t>该指标预期指标值为</w:t>
      </w:r>
      <w:r>
        <w:rPr>
          <w:rStyle w:val="12"/>
          <w:rFonts w:hint="eastAsia" w:ascii="方正仿宋_GBK" w:hAnsi="方正仿宋_GBK" w:eastAsia="方正仿宋_GBK" w:cs="方正仿宋_GBK"/>
          <w:b w:val="0"/>
          <w:color w:val="auto"/>
          <w:spacing w:val="-4"/>
          <w:sz w:val="32"/>
          <w:szCs w:val="32"/>
          <w:highlight w:val="none"/>
          <w:lang w:val="en-US" w:eastAsia="zh-CN"/>
        </w:rPr>
        <w:t>大于等于3、25万亩</w:t>
      </w:r>
      <w:r>
        <w:rPr>
          <w:rStyle w:val="12"/>
          <w:rFonts w:hint="eastAsia" w:ascii="方正仿宋_GBK" w:hAnsi="方正仿宋_GBK" w:eastAsia="方正仿宋_GBK" w:cs="方正仿宋_GBK"/>
          <w:b w:val="0"/>
          <w:color w:val="auto"/>
          <w:spacing w:val="-4"/>
          <w:sz w:val="32"/>
          <w:szCs w:val="32"/>
          <w:highlight w:val="none"/>
        </w:rPr>
        <w:t>，年中监控实际完成值为</w:t>
      </w:r>
      <w:r>
        <w:rPr>
          <w:rStyle w:val="12"/>
          <w:rFonts w:hint="eastAsia" w:ascii="方正仿宋_GBK" w:hAnsi="方正仿宋_GBK" w:eastAsia="方正仿宋_GBK" w:cs="方正仿宋_GBK"/>
          <w:b w:val="0"/>
          <w:color w:val="auto"/>
          <w:spacing w:val="-4"/>
          <w:sz w:val="32"/>
          <w:szCs w:val="32"/>
          <w:highlight w:val="none"/>
          <w:lang w:val="en-US" w:eastAsia="zh-CN"/>
        </w:rPr>
        <w:t>2万亩</w:t>
      </w:r>
      <w:r>
        <w:rPr>
          <w:rStyle w:val="12"/>
          <w:rFonts w:hint="eastAsia" w:ascii="方正仿宋_GBK" w:hAnsi="方正仿宋_GBK" w:eastAsia="方正仿宋_GBK" w:cs="方正仿宋_GBK"/>
          <w:b w:val="0"/>
          <w:color w:val="auto"/>
          <w:spacing w:val="-4"/>
          <w:sz w:val="32"/>
          <w:szCs w:val="32"/>
          <w:highlight w:val="none"/>
        </w:rPr>
        <w:t>，根据我单位“</w:t>
      </w:r>
      <w:r>
        <w:rPr>
          <w:rStyle w:val="12"/>
          <w:rFonts w:hint="eastAsia" w:ascii="方正仿宋_GBK" w:hAnsi="方正仿宋_GBK" w:eastAsia="方正仿宋_GBK" w:cs="方正仿宋_GBK"/>
          <w:b w:val="0"/>
          <w:color w:val="auto"/>
          <w:spacing w:val="-4"/>
          <w:sz w:val="32"/>
          <w:szCs w:val="32"/>
          <w:highlight w:val="none"/>
          <w:lang w:eastAsia="zh-CN"/>
        </w:rPr>
        <w:t>2024</w:t>
      </w:r>
      <w:r>
        <w:rPr>
          <w:rStyle w:val="12"/>
          <w:rFonts w:hint="eastAsia" w:ascii="方正仿宋_GBK" w:hAnsi="方正仿宋_GBK" w:eastAsia="方正仿宋_GBK" w:cs="方正仿宋_GBK"/>
          <w:b w:val="0"/>
          <w:color w:val="auto"/>
          <w:spacing w:val="-4"/>
          <w:sz w:val="32"/>
          <w:szCs w:val="32"/>
          <w:highlight w:val="none"/>
        </w:rPr>
        <w:t>年</w:t>
      </w:r>
      <w:r>
        <w:rPr>
          <w:rStyle w:val="12"/>
          <w:rFonts w:hint="eastAsia" w:ascii="方正仿宋_GBK" w:hAnsi="方正仿宋_GBK" w:eastAsia="方正仿宋_GBK" w:cs="方正仿宋_GBK"/>
          <w:b w:val="0"/>
          <w:color w:val="auto"/>
          <w:spacing w:val="-4"/>
          <w:sz w:val="32"/>
          <w:szCs w:val="32"/>
          <w:highlight w:val="none"/>
          <w:lang w:val="en-US" w:eastAsia="zh-CN"/>
        </w:rPr>
        <w:t>工作总结</w:t>
      </w:r>
      <w:r>
        <w:rPr>
          <w:rStyle w:val="12"/>
          <w:rFonts w:hint="eastAsia" w:ascii="方正仿宋_GBK" w:hAnsi="方正仿宋_GBK" w:eastAsia="方正仿宋_GBK" w:cs="方正仿宋_GBK"/>
          <w:b w:val="0"/>
          <w:color w:val="auto"/>
          <w:spacing w:val="-4"/>
          <w:sz w:val="32"/>
          <w:szCs w:val="32"/>
          <w:highlight w:val="none"/>
        </w:rPr>
        <w:t>”资料显示，</w:t>
      </w:r>
      <w:r>
        <w:rPr>
          <w:rStyle w:val="12"/>
          <w:rFonts w:hint="eastAsia" w:ascii="方正仿宋_GBK" w:hAnsi="方正仿宋_GBK" w:eastAsia="方正仿宋_GBK" w:cs="方正仿宋_GBK"/>
          <w:b w:val="0"/>
          <w:color w:val="auto"/>
          <w:spacing w:val="-4"/>
          <w:sz w:val="32"/>
          <w:szCs w:val="32"/>
          <w:highlight w:val="none"/>
          <w:lang w:val="en-US" w:eastAsia="zh-CN"/>
        </w:rPr>
        <w:t>全年实际完成值为3、25万亩，巩固和提高粮食生产能力，保障国家粮食安全。</w:t>
      </w:r>
      <w:r>
        <w:rPr>
          <w:rStyle w:val="12"/>
          <w:rFonts w:hint="eastAsia" w:ascii="方正仿宋_GBK" w:hAnsi="方正仿宋_GBK" w:eastAsia="方正仿宋_GBK" w:cs="方正仿宋_GBK"/>
          <w:b w:val="0"/>
          <w:color w:val="auto"/>
          <w:spacing w:val="-4"/>
          <w:sz w:val="32"/>
          <w:szCs w:val="32"/>
          <w:highlight w:val="none"/>
        </w:rPr>
        <w:t>该指标完成率为</w:t>
      </w:r>
      <w:r>
        <w:rPr>
          <w:rStyle w:val="12"/>
          <w:rFonts w:hint="eastAsia" w:ascii="方正仿宋_GBK" w:hAnsi="方正仿宋_GBK" w:eastAsia="方正仿宋_GBK" w:cs="方正仿宋_GBK"/>
          <w:b w:val="0"/>
          <w:color w:val="auto"/>
          <w:spacing w:val="-4"/>
          <w:sz w:val="32"/>
          <w:szCs w:val="32"/>
          <w:highlight w:val="none"/>
          <w:lang w:val="en-US" w:eastAsia="zh-CN"/>
        </w:rPr>
        <w:t>100</w:t>
      </w:r>
      <w:r>
        <w:rPr>
          <w:rStyle w:val="12"/>
          <w:rFonts w:hint="eastAsia" w:ascii="方正仿宋_GBK" w:hAnsi="方正仿宋_GBK" w:eastAsia="方正仿宋_GBK" w:cs="方正仿宋_GBK"/>
          <w:b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lang w:val="en-US" w:eastAsia="zh-CN"/>
        </w:rPr>
        <w:t>无偏差。</w:t>
      </w:r>
      <w:r>
        <w:rPr>
          <w:rStyle w:val="12"/>
          <w:rFonts w:hint="eastAsia" w:ascii="方正仿宋_GBK" w:hAnsi="方正仿宋_GBK" w:eastAsia="方正仿宋_GBK" w:cs="方正仿宋_GBK"/>
          <w:b w:val="0"/>
          <w:color w:val="auto"/>
          <w:spacing w:val="-4"/>
          <w:sz w:val="32"/>
          <w:szCs w:val="32"/>
          <w:highlight w:val="none"/>
        </w:rPr>
        <w:t>该指标</w:t>
      </w:r>
      <w:r>
        <w:rPr>
          <w:rStyle w:val="12"/>
          <w:rFonts w:hint="eastAsia" w:ascii="方正仿宋_GBK" w:hAnsi="方正仿宋_GBK" w:eastAsia="方正仿宋_GBK" w:cs="方正仿宋_GBK"/>
          <w:b w:val="0"/>
          <w:color w:val="auto"/>
          <w:spacing w:val="-4"/>
          <w:sz w:val="32"/>
          <w:szCs w:val="32"/>
          <w:highlight w:val="none"/>
          <w:lang w:eastAsia="zh-CN"/>
        </w:rPr>
        <w:t>权重分值为</w:t>
      </w:r>
      <w:r>
        <w:rPr>
          <w:rStyle w:val="12"/>
          <w:rFonts w:hint="eastAsia" w:ascii="方正仿宋_GBK" w:hAnsi="方正仿宋_GBK" w:eastAsia="方正仿宋_GBK" w:cs="方正仿宋_GBK"/>
          <w:b w:val="0"/>
          <w:color w:val="auto"/>
          <w:spacing w:val="-4"/>
          <w:sz w:val="32"/>
          <w:szCs w:val="32"/>
          <w:highlight w:val="none"/>
          <w:lang w:val="en-US" w:eastAsia="zh-CN"/>
        </w:rPr>
        <w:t>18分，自评得分18</w:t>
      </w:r>
      <w:r>
        <w:rPr>
          <w:rStyle w:val="12"/>
          <w:rFonts w:hint="eastAsia" w:ascii="方正仿宋_GBK" w:hAnsi="方正仿宋_GBK" w:eastAsia="方正仿宋_GBK" w:cs="方正仿宋_GBK"/>
          <w:b w:val="0"/>
          <w:color w:val="auto"/>
          <w:spacing w:val="-4"/>
          <w:sz w:val="32"/>
          <w:szCs w:val="32"/>
          <w:highlight w:val="none"/>
        </w:rPr>
        <w:t>分。</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default" w:ascii="方正仿宋_GBK" w:hAnsi="方正仿宋_GBK" w:eastAsia="方正仿宋_GBK" w:cs="方正仿宋_GBK"/>
          <w:b/>
          <w:bCs w:val="0"/>
          <w:color w:val="auto"/>
          <w:spacing w:val="-4"/>
          <w:sz w:val="32"/>
          <w:szCs w:val="32"/>
          <w:highlight w:val="none"/>
          <w:lang w:val="en-US" w:eastAsia="zh-CN"/>
        </w:rPr>
      </w:pPr>
      <w:r>
        <w:rPr>
          <w:rStyle w:val="12"/>
          <w:rFonts w:hint="eastAsia" w:ascii="方正仿宋_GBK" w:hAnsi="方正仿宋_GBK" w:eastAsia="方正仿宋_GBK" w:cs="方正仿宋_GBK"/>
          <w:b/>
          <w:bCs w:val="0"/>
          <w:color w:val="auto"/>
          <w:spacing w:val="-4"/>
          <w:sz w:val="32"/>
          <w:szCs w:val="32"/>
          <w:highlight w:val="none"/>
          <w:lang w:val="en-US" w:eastAsia="zh-CN"/>
        </w:rPr>
        <w:t>指标二：数量指标</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Fonts w:hint="eastAsia" w:ascii="方正仿宋_GBK" w:hAnsi="方正仿宋_GBK" w:eastAsia="方正仿宋_GBK" w:cs="方正仿宋_GBK"/>
          <w:color w:val="auto"/>
          <w:highlight w:val="none"/>
        </w:rPr>
      </w:pPr>
      <w:r>
        <w:rPr>
          <w:rStyle w:val="12"/>
          <w:rFonts w:hint="eastAsia" w:ascii="方正仿宋_GBK" w:hAnsi="方正仿宋_GBK" w:eastAsia="方正仿宋_GBK" w:cs="方正仿宋_GBK"/>
          <w:b/>
          <w:bCs w:val="0"/>
          <w:color w:val="auto"/>
          <w:spacing w:val="-4"/>
          <w:sz w:val="32"/>
          <w:szCs w:val="32"/>
          <w:highlight w:val="none"/>
          <w:lang w:val="en-US" w:eastAsia="zh-CN"/>
        </w:rPr>
        <w:t>新增种植玉米面积指标</w:t>
      </w:r>
      <w:r>
        <w:rPr>
          <w:rStyle w:val="12"/>
          <w:rFonts w:hint="eastAsia" w:ascii="方正仿宋_GBK" w:hAnsi="方正仿宋_GBK" w:eastAsia="方正仿宋_GBK" w:cs="方正仿宋_GBK"/>
          <w:b/>
          <w:bCs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rPr>
        <w:t>该指标预期指标值为</w:t>
      </w:r>
      <w:r>
        <w:rPr>
          <w:rStyle w:val="12"/>
          <w:rFonts w:hint="eastAsia" w:ascii="方正仿宋_GBK" w:hAnsi="方正仿宋_GBK" w:eastAsia="方正仿宋_GBK" w:cs="方正仿宋_GBK"/>
          <w:b w:val="0"/>
          <w:color w:val="auto"/>
          <w:spacing w:val="-4"/>
          <w:sz w:val="32"/>
          <w:szCs w:val="32"/>
          <w:highlight w:val="none"/>
          <w:lang w:val="en-US" w:eastAsia="zh-CN"/>
        </w:rPr>
        <w:t>大于等于21万亩</w:t>
      </w:r>
      <w:r>
        <w:rPr>
          <w:rStyle w:val="12"/>
          <w:rFonts w:hint="eastAsia" w:ascii="方正仿宋_GBK" w:hAnsi="方正仿宋_GBK" w:eastAsia="方正仿宋_GBK" w:cs="方正仿宋_GBK"/>
          <w:b w:val="0"/>
          <w:color w:val="auto"/>
          <w:spacing w:val="-4"/>
          <w:sz w:val="32"/>
          <w:szCs w:val="32"/>
          <w:highlight w:val="none"/>
        </w:rPr>
        <w:t>，年中监控实际完成值为</w:t>
      </w:r>
      <w:r>
        <w:rPr>
          <w:rStyle w:val="12"/>
          <w:rFonts w:hint="eastAsia" w:ascii="方正仿宋_GBK" w:hAnsi="方正仿宋_GBK" w:eastAsia="方正仿宋_GBK" w:cs="方正仿宋_GBK"/>
          <w:b w:val="0"/>
          <w:color w:val="auto"/>
          <w:spacing w:val="-4"/>
          <w:sz w:val="32"/>
          <w:szCs w:val="32"/>
          <w:highlight w:val="none"/>
          <w:lang w:val="en-US" w:eastAsia="zh-CN"/>
        </w:rPr>
        <w:t>21万亩</w:t>
      </w:r>
      <w:r>
        <w:rPr>
          <w:rStyle w:val="12"/>
          <w:rFonts w:hint="eastAsia" w:ascii="方正仿宋_GBK" w:hAnsi="方正仿宋_GBK" w:eastAsia="方正仿宋_GBK" w:cs="方正仿宋_GBK"/>
          <w:b w:val="0"/>
          <w:color w:val="auto"/>
          <w:spacing w:val="-4"/>
          <w:sz w:val="32"/>
          <w:szCs w:val="32"/>
          <w:highlight w:val="none"/>
        </w:rPr>
        <w:t>，根据我单位“</w:t>
      </w:r>
      <w:r>
        <w:rPr>
          <w:rStyle w:val="12"/>
          <w:rFonts w:hint="eastAsia" w:ascii="方正仿宋_GBK" w:hAnsi="方正仿宋_GBK" w:eastAsia="方正仿宋_GBK" w:cs="方正仿宋_GBK"/>
          <w:b w:val="0"/>
          <w:color w:val="auto"/>
          <w:spacing w:val="-4"/>
          <w:sz w:val="32"/>
          <w:szCs w:val="32"/>
          <w:highlight w:val="none"/>
          <w:lang w:val="en-US" w:eastAsia="zh-CN"/>
        </w:rPr>
        <w:t>2024年工作总结</w:t>
      </w:r>
      <w:r>
        <w:rPr>
          <w:rStyle w:val="12"/>
          <w:rFonts w:hint="eastAsia" w:ascii="方正仿宋_GBK" w:hAnsi="方正仿宋_GBK" w:eastAsia="方正仿宋_GBK" w:cs="方正仿宋_GBK"/>
          <w:b w:val="0"/>
          <w:color w:val="auto"/>
          <w:spacing w:val="-4"/>
          <w:sz w:val="32"/>
          <w:szCs w:val="32"/>
          <w:highlight w:val="none"/>
        </w:rPr>
        <w:t>”资料显示，</w:t>
      </w:r>
      <w:r>
        <w:rPr>
          <w:rStyle w:val="12"/>
          <w:rFonts w:hint="eastAsia" w:ascii="方正仿宋_GBK" w:hAnsi="方正仿宋_GBK" w:eastAsia="方正仿宋_GBK" w:cs="方正仿宋_GBK"/>
          <w:b w:val="0"/>
          <w:color w:val="auto"/>
          <w:spacing w:val="-4"/>
          <w:sz w:val="32"/>
          <w:szCs w:val="32"/>
          <w:highlight w:val="none"/>
          <w:lang w:val="en-US" w:eastAsia="zh-CN"/>
        </w:rPr>
        <w:t>新增种植玉米面积21万亩</w:t>
      </w:r>
      <w:r>
        <w:rPr>
          <w:rStyle w:val="12"/>
          <w:rFonts w:hint="eastAsia" w:ascii="方正仿宋_GBK" w:hAnsi="方正仿宋_GBK" w:eastAsia="方正仿宋_GBK" w:cs="方正仿宋_GBK"/>
          <w:b w:val="0"/>
          <w:color w:val="auto"/>
          <w:spacing w:val="-4"/>
          <w:sz w:val="32"/>
          <w:szCs w:val="32"/>
          <w:highlight w:val="none"/>
        </w:rPr>
        <w:t>，该指标完成率为</w:t>
      </w:r>
      <w:r>
        <w:rPr>
          <w:rStyle w:val="12"/>
          <w:rFonts w:hint="eastAsia" w:ascii="方正仿宋_GBK" w:hAnsi="方正仿宋_GBK" w:eastAsia="方正仿宋_GBK" w:cs="方正仿宋_GBK"/>
          <w:b w:val="0"/>
          <w:color w:val="auto"/>
          <w:spacing w:val="-4"/>
          <w:sz w:val="32"/>
          <w:szCs w:val="32"/>
          <w:highlight w:val="none"/>
          <w:lang w:val="en-US" w:eastAsia="zh-CN"/>
        </w:rPr>
        <w:t>100</w:t>
      </w:r>
      <w:r>
        <w:rPr>
          <w:rStyle w:val="12"/>
          <w:rFonts w:hint="eastAsia" w:ascii="方正仿宋_GBK" w:hAnsi="方正仿宋_GBK" w:eastAsia="方正仿宋_GBK" w:cs="方正仿宋_GBK"/>
          <w:b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lang w:val="en-US" w:eastAsia="zh-CN"/>
        </w:rPr>
        <w:t>无偏差</w:t>
      </w:r>
      <w:r>
        <w:rPr>
          <w:rStyle w:val="12"/>
          <w:rFonts w:hint="eastAsia" w:ascii="方正仿宋_GBK" w:hAnsi="方正仿宋_GBK" w:eastAsia="方正仿宋_GBK" w:cs="方正仿宋_GBK"/>
          <w:b w:val="0"/>
          <w:color w:val="auto"/>
          <w:spacing w:val="-4"/>
          <w:sz w:val="32"/>
          <w:szCs w:val="32"/>
          <w:highlight w:val="none"/>
        </w:rPr>
        <w:t>。该指标</w:t>
      </w:r>
      <w:r>
        <w:rPr>
          <w:rStyle w:val="12"/>
          <w:rFonts w:hint="eastAsia" w:ascii="方正仿宋_GBK" w:hAnsi="方正仿宋_GBK" w:eastAsia="方正仿宋_GBK" w:cs="方正仿宋_GBK"/>
          <w:b w:val="0"/>
          <w:color w:val="auto"/>
          <w:spacing w:val="-4"/>
          <w:sz w:val="32"/>
          <w:szCs w:val="32"/>
          <w:highlight w:val="none"/>
          <w:lang w:eastAsia="zh-CN"/>
        </w:rPr>
        <w:t>权重分值为</w:t>
      </w:r>
      <w:r>
        <w:rPr>
          <w:rStyle w:val="12"/>
          <w:rFonts w:hint="eastAsia" w:ascii="方正仿宋_GBK" w:hAnsi="方正仿宋_GBK" w:eastAsia="方正仿宋_GBK" w:cs="方正仿宋_GBK"/>
          <w:b w:val="0"/>
          <w:color w:val="auto"/>
          <w:spacing w:val="-4"/>
          <w:sz w:val="32"/>
          <w:szCs w:val="32"/>
          <w:highlight w:val="none"/>
          <w:lang w:val="en-US" w:eastAsia="zh-CN"/>
        </w:rPr>
        <w:t>18分，自评得分18</w:t>
      </w:r>
      <w:r>
        <w:rPr>
          <w:rStyle w:val="12"/>
          <w:rFonts w:hint="eastAsia" w:ascii="方正仿宋_GBK" w:hAnsi="方正仿宋_GBK" w:eastAsia="方正仿宋_GBK" w:cs="方正仿宋_GBK"/>
          <w:b w:val="0"/>
          <w:color w:val="auto"/>
          <w:spacing w:val="-4"/>
          <w:sz w:val="32"/>
          <w:szCs w:val="32"/>
          <w:highlight w:val="none"/>
        </w:rPr>
        <w:t>分。</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default" w:ascii="方正仿宋_GBK" w:hAnsi="方正仿宋_GBK" w:eastAsia="方正仿宋_GBK" w:cs="方正仿宋_GBK"/>
          <w:bCs w:val="0"/>
          <w:spacing w:val="-4"/>
          <w:sz w:val="32"/>
          <w:szCs w:val="32"/>
          <w:lang w:val="en-US" w:eastAsia="zh-CN"/>
        </w:rPr>
      </w:pPr>
      <w:r>
        <w:rPr>
          <w:rStyle w:val="12"/>
          <w:rFonts w:hint="eastAsia" w:ascii="方正仿宋_GBK" w:hAnsi="方正仿宋_GBK" w:eastAsia="方正仿宋_GBK" w:cs="方正仿宋_GBK"/>
          <w:bCs w:val="0"/>
          <w:spacing w:val="-4"/>
          <w:sz w:val="32"/>
          <w:szCs w:val="32"/>
        </w:rPr>
        <w:t>指标</w:t>
      </w:r>
      <w:r>
        <w:rPr>
          <w:rStyle w:val="12"/>
          <w:rFonts w:hint="eastAsia" w:ascii="方正仿宋_GBK" w:hAnsi="方正仿宋_GBK" w:eastAsia="方正仿宋_GBK" w:cs="方正仿宋_GBK"/>
          <w:bCs w:val="0"/>
          <w:spacing w:val="-4"/>
          <w:sz w:val="32"/>
          <w:szCs w:val="32"/>
          <w:lang w:val="en-US" w:eastAsia="zh-CN"/>
        </w:rPr>
        <w:t>三</w:t>
      </w:r>
      <w:r>
        <w:rPr>
          <w:rStyle w:val="12"/>
          <w:rFonts w:hint="eastAsia" w:ascii="方正仿宋_GBK" w:hAnsi="方正仿宋_GBK" w:eastAsia="方正仿宋_GBK" w:cs="方正仿宋_GBK"/>
          <w:bCs w:val="0"/>
          <w:spacing w:val="-4"/>
          <w:sz w:val="32"/>
          <w:szCs w:val="32"/>
        </w:rPr>
        <w:t>：</w:t>
      </w:r>
      <w:r>
        <w:rPr>
          <w:rStyle w:val="12"/>
          <w:rFonts w:hint="eastAsia" w:ascii="方正仿宋_GBK" w:hAnsi="方正仿宋_GBK" w:eastAsia="方正仿宋_GBK" w:cs="方正仿宋_GBK"/>
          <w:b/>
          <w:bCs w:val="0"/>
          <w:color w:val="auto"/>
          <w:spacing w:val="-4"/>
          <w:sz w:val="32"/>
          <w:szCs w:val="32"/>
          <w:highlight w:val="none"/>
          <w:lang w:val="en-US" w:eastAsia="zh-CN"/>
        </w:rPr>
        <w:t>质量指标</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 w:val="0"/>
          <w:color w:val="auto"/>
          <w:spacing w:val="-4"/>
          <w:sz w:val="32"/>
          <w:szCs w:val="32"/>
          <w:highlight w:val="none"/>
        </w:rPr>
      </w:pPr>
      <w:r>
        <w:rPr>
          <w:rStyle w:val="12"/>
          <w:rFonts w:hint="eastAsia" w:ascii="方正仿宋_GBK" w:hAnsi="方正仿宋_GBK" w:eastAsia="方正仿宋_GBK" w:cs="方正仿宋_GBK"/>
          <w:b/>
          <w:bCs w:val="0"/>
          <w:color w:val="auto"/>
          <w:spacing w:val="-4"/>
          <w:sz w:val="32"/>
          <w:szCs w:val="32"/>
          <w:highlight w:val="none"/>
          <w:lang w:val="en-US" w:eastAsia="zh-CN"/>
        </w:rPr>
        <w:t>机采棉面积占比达到率</w:t>
      </w:r>
      <w:r>
        <w:rPr>
          <w:rStyle w:val="12"/>
          <w:rFonts w:hint="eastAsia" w:ascii="方正仿宋_GBK" w:hAnsi="方正仿宋_GBK" w:eastAsia="方正仿宋_GBK" w:cs="方正仿宋_GBK"/>
          <w:b/>
          <w:bCs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rPr>
        <w:t>该指标预期指标值为</w:t>
      </w:r>
      <w:r>
        <w:rPr>
          <w:rStyle w:val="12"/>
          <w:rFonts w:hint="eastAsia" w:ascii="方正仿宋_GBK" w:hAnsi="方正仿宋_GBK" w:eastAsia="方正仿宋_GBK" w:cs="方正仿宋_GBK"/>
          <w:b w:val="0"/>
          <w:color w:val="auto"/>
          <w:spacing w:val="-4"/>
          <w:sz w:val="32"/>
          <w:szCs w:val="32"/>
          <w:highlight w:val="none"/>
          <w:lang w:val="en-US" w:eastAsia="zh-CN"/>
        </w:rPr>
        <w:t>大于等于80%</w:t>
      </w:r>
      <w:r>
        <w:rPr>
          <w:rStyle w:val="12"/>
          <w:rFonts w:hint="eastAsia" w:ascii="方正仿宋_GBK" w:hAnsi="方正仿宋_GBK" w:eastAsia="方正仿宋_GBK" w:cs="方正仿宋_GBK"/>
          <w:b w:val="0"/>
          <w:color w:val="auto"/>
          <w:spacing w:val="-4"/>
          <w:sz w:val="32"/>
          <w:szCs w:val="32"/>
          <w:highlight w:val="none"/>
        </w:rPr>
        <w:t>，年中监控实际完成值为</w:t>
      </w:r>
      <w:r>
        <w:rPr>
          <w:rStyle w:val="12"/>
          <w:rFonts w:hint="eastAsia" w:ascii="方正仿宋_GBK" w:hAnsi="方正仿宋_GBK" w:eastAsia="方正仿宋_GBK" w:cs="方正仿宋_GBK"/>
          <w:b w:val="0"/>
          <w:color w:val="auto"/>
          <w:spacing w:val="-4"/>
          <w:sz w:val="32"/>
          <w:szCs w:val="32"/>
          <w:highlight w:val="none"/>
          <w:lang w:val="en-US" w:eastAsia="zh-CN"/>
        </w:rPr>
        <w:t>80%</w:t>
      </w:r>
      <w:r>
        <w:rPr>
          <w:rStyle w:val="12"/>
          <w:rFonts w:hint="eastAsia" w:ascii="方正仿宋_GBK" w:hAnsi="方正仿宋_GBK" w:eastAsia="方正仿宋_GBK" w:cs="方正仿宋_GBK"/>
          <w:b w:val="0"/>
          <w:color w:val="auto"/>
          <w:spacing w:val="-4"/>
          <w:sz w:val="32"/>
          <w:szCs w:val="32"/>
          <w:highlight w:val="none"/>
        </w:rPr>
        <w:t>，根据我单位“</w:t>
      </w:r>
      <w:r>
        <w:rPr>
          <w:rStyle w:val="12"/>
          <w:rFonts w:hint="eastAsia" w:ascii="方正仿宋_GBK" w:hAnsi="方正仿宋_GBK" w:eastAsia="方正仿宋_GBK" w:cs="方正仿宋_GBK"/>
          <w:b w:val="0"/>
          <w:color w:val="auto"/>
          <w:spacing w:val="-4"/>
          <w:sz w:val="32"/>
          <w:szCs w:val="32"/>
          <w:highlight w:val="none"/>
          <w:lang w:val="en-US" w:eastAsia="zh-CN"/>
        </w:rPr>
        <w:t>2024年工作总结</w:t>
      </w:r>
      <w:r>
        <w:rPr>
          <w:rStyle w:val="12"/>
          <w:rFonts w:hint="eastAsia" w:ascii="方正仿宋_GBK" w:hAnsi="方正仿宋_GBK" w:eastAsia="方正仿宋_GBK" w:cs="方正仿宋_GBK"/>
          <w:b w:val="0"/>
          <w:color w:val="auto"/>
          <w:spacing w:val="-4"/>
          <w:sz w:val="32"/>
          <w:szCs w:val="32"/>
          <w:highlight w:val="none"/>
        </w:rPr>
        <w:t>”资料显示，</w:t>
      </w:r>
      <w:r>
        <w:rPr>
          <w:rStyle w:val="12"/>
          <w:rFonts w:hint="eastAsia" w:ascii="方正仿宋_GBK" w:hAnsi="方正仿宋_GBK" w:eastAsia="方正仿宋_GBK" w:cs="方正仿宋_GBK"/>
          <w:b w:val="0"/>
          <w:color w:val="auto"/>
          <w:spacing w:val="-4"/>
          <w:sz w:val="32"/>
          <w:szCs w:val="32"/>
          <w:highlight w:val="none"/>
          <w:lang w:val="en-US" w:eastAsia="zh-CN"/>
        </w:rPr>
        <w:t>机采棉面积占比达到80%，</w:t>
      </w:r>
      <w:r>
        <w:rPr>
          <w:rStyle w:val="12"/>
          <w:rFonts w:hint="eastAsia" w:ascii="方正仿宋_GBK" w:hAnsi="方正仿宋_GBK" w:eastAsia="方正仿宋_GBK" w:cs="方正仿宋_GBK"/>
          <w:b w:val="0"/>
          <w:color w:val="auto"/>
          <w:spacing w:val="-4"/>
          <w:sz w:val="32"/>
          <w:szCs w:val="32"/>
          <w:highlight w:val="none"/>
        </w:rPr>
        <w:t>有效提高</w:t>
      </w:r>
      <w:r>
        <w:rPr>
          <w:rStyle w:val="12"/>
          <w:rFonts w:hint="eastAsia" w:ascii="方正仿宋_GBK" w:hAnsi="方正仿宋_GBK" w:eastAsia="方正仿宋_GBK" w:cs="方正仿宋_GBK"/>
          <w:b w:val="0"/>
          <w:color w:val="auto"/>
          <w:spacing w:val="-4"/>
          <w:sz w:val="32"/>
          <w:szCs w:val="32"/>
          <w:highlight w:val="none"/>
          <w:lang w:val="en-US" w:eastAsia="zh-CN"/>
        </w:rPr>
        <w:t>棉花采摘效率</w:t>
      </w:r>
      <w:r>
        <w:rPr>
          <w:rStyle w:val="12"/>
          <w:rFonts w:hint="eastAsia" w:ascii="方正仿宋_GBK" w:hAnsi="方正仿宋_GBK" w:eastAsia="方正仿宋_GBK" w:cs="方正仿宋_GBK"/>
          <w:b w:val="0"/>
          <w:color w:val="auto"/>
          <w:spacing w:val="-4"/>
          <w:sz w:val="32"/>
          <w:szCs w:val="32"/>
          <w:highlight w:val="none"/>
        </w:rPr>
        <w:t>，该指标完成率为</w:t>
      </w:r>
      <w:r>
        <w:rPr>
          <w:rStyle w:val="12"/>
          <w:rFonts w:hint="eastAsia" w:ascii="方正仿宋_GBK" w:hAnsi="方正仿宋_GBK" w:eastAsia="方正仿宋_GBK" w:cs="方正仿宋_GBK"/>
          <w:b w:val="0"/>
          <w:color w:val="auto"/>
          <w:spacing w:val="-4"/>
          <w:sz w:val="32"/>
          <w:szCs w:val="32"/>
          <w:highlight w:val="none"/>
          <w:lang w:val="en-US" w:eastAsia="zh-CN"/>
        </w:rPr>
        <w:t>100%</w:t>
      </w:r>
      <w:r>
        <w:rPr>
          <w:rStyle w:val="12"/>
          <w:rFonts w:hint="eastAsia" w:ascii="方正仿宋_GBK" w:hAnsi="方正仿宋_GBK" w:eastAsia="方正仿宋_GBK" w:cs="方正仿宋_GBK"/>
          <w:b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lang w:val="en-US" w:eastAsia="zh-CN"/>
        </w:rPr>
        <w:t>无偏差</w:t>
      </w:r>
      <w:r>
        <w:rPr>
          <w:rStyle w:val="12"/>
          <w:rFonts w:hint="eastAsia" w:ascii="方正仿宋_GBK" w:hAnsi="方正仿宋_GBK" w:eastAsia="方正仿宋_GBK" w:cs="方正仿宋_GBK"/>
          <w:b w:val="0"/>
          <w:color w:val="auto"/>
          <w:spacing w:val="-4"/>
          <w:sz w:val="32"/>
          <w:szCs w:val="32"/>
          <w:highlight w:val="none"/>
        </w:rPr>
        <w:t>。该指标</w:t>
      </w:r>
      <w:r>
        <w:rPr>
          <w:rStyle w:val="12"/>
          <w:rFonts w:hint="eastAsia" w:ascii="方正仿宋_GBK" w:hAnsi="方正仿宋_GBK" w:eastAsia="方正仿宋_GBK" w:cs="方正仿宋_GBK"/>
          <w:b w:val="0"/>
          <w:color w:val="auto"/>
          <w:spacing w:val="-4"/>
          <w:sz w:val="32"/>
          <w:szCs w:val="32"/>
          <w:highlight w:val="none"/>
          <w:lang w:eastAsia="zh-CN"/>
        </w:rPr>
        <w:t>权重分值为</w:t>
      </w:r>
      <w:r>
        <w:rPr>
          <w:rStyle w:val="12"/>
          <w:rFonts w:hint="eastAsia" w:ascii="方正仿宋_GBK" w:hAnsi="方正仿宋_GBK" w:eastAsia="方正仿宋_GBK" w:cs="方正仿宋_GBK"/>
          <w:b w:val="0"/>
          <w:color w:val="auto"/>
          <w:spacing w:val="-4"/>
          <w:sz w:val="32"/>
          <w:szCs w:val="32"/>
          <w:highlight w:val="none"/>
          <w:lang w:val="en-US" w:eastAsia="zh-CN"/>
        </w:rPr>
        <w:t>18分，自评得分18</w:t>
      </w:r>
      <w:r>
        <w:rPr>
          <w:rStyle w:val="12"/>
          <w:rFonts w:hint="eastAsia" w:ascii="方正仿宋_GBK" w:hAnsi="方正仿宋_GBK" w:eastAsia="方正仿宋_GBK" w:cs="方正仿宋_GBK"/>
          <w:b w:val="0"/>
          <w:color w:val="auto"/>
          <w:spacing w:val="-4"/>
          <w:sz w:val="32"/>
          <w:szCs w:val="32"/>
          <w:highlight w:val="none"/>
        </w:rPr>
        <w:t>分。</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default" w:ascii="方正仿宋_GBK" w:hAnsi="方正仿宋_GBK" w:eastAsia="方正仿宋_GBK" w:cs="方正仿宋_GBK"/>
          <w:b/>
          <w:bCs w:val="0"/>
          <w:color w:val="auto"/>
          <w:spacing w:val="-4"/>
          <w:sz w:val="32"/>
          <w:szCs w:val="32"/>
          <w:highlight w:val="none"/>
          <w:lang w:val="en-US" w:eastAsia="zh-CN"/>
        </w:rPr>
      </w:pPr>
      <w:r>
        <w:rPr>
          <w:rStyle w:val="12"/>
          <w:rFonts w:hint="eastAsia" w:ascii="方正仿宋_GBK" w:hAnsi="方正仿宋_GBK" w:eastAsia="方正仿宋_GBK" w:cs="方正仿宋_GBK"/>
          <w:b/>
          <w:bCs w:val="0"/>
          <w:color w:val="auto"/>
          <w:spacing w:val="-4"/>
          <w:sz w:val="32"/>
          <w:szCs w:val="32"/>
          <w:highlight w:val="none"/>
          <w:lang w:val="en-US" w:eastAsia="zh-CN"/>
        </w:rPr>
        <w:t>指标四：质量指标</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 w:val="0"/>
          <w:color w:val="auto"/>
          <w:spacing w:val="-4"/>
          <w:sz w:val="32"/>
          <w:szCs w:val="32"/>
          <w:highlight w:val="none"/>
        </w:rPr>
      </w:pPr>
      <w:r>
        <w:rPr>
          <w:rStyle w:val="12"/>
          <w:rFonts w:hint="eastAsia" w:ascii="方正仿宋_GBK" w:hAnsi="方正仿宋_GBK" w:eastAsia="方正仿宋_GBK" w:cs="方正仿宋_GBK"/>
          <w:b/>
          <w:bCs w:val="0"/>
          <w:color w:val="auto"/>
          <w:spacing w:val="-4"/>
          <w:sz w:val="32"/>
          <w:szCs w:val="32"/>
          <w:highlight w:val="none"/>
          <w:lang w:val="en-US" w:eastAsia="zh-CN"/>
        </w:rPr>
        <w:t>动物疫病检测率</w:t>
      </w:r>
      <w:r>
        <w:rPr>
          <w:rStyle w:val="12"/>
          <w:rFonts w:hint="eastAsia" w:ascii="方正仿宋_GBK" w:hAnsi="方正仿宋_GBK" w:eastAsia="方正仿宋_GBK" w:cs="方正仿宋_GBK"/>
          <w:b/>
          <w:bCs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rPr>
        <w:t>该指标预期指标值为</w:t>
      </w:r>
      <w:r>
        <w:rPr>
          <w:rStyle w:val="12"/>
          <w:rFonts w:hint="eastAsia" w:ascii="方正仿宋_GBK" w:hAnsi="方正仿宋_GBK" w:eastAsia="方正仿宋_GBK" w:cs="方正仿宋_GBK"/>
          <w:b w:val="0"/>
          <w:color w:val="auto"/>
          <w:spacing w:val="-4"/>
          <w:sz w:val="32"/>
          <w:szCs w:val="32"/>
          <w:highlight w:val="none"/>
          <w:lang w:val="en-US" w:eastAsia="zh-CN"/>
        </w:rPr>
        <w:t>100%</w:t>
      </w:r>
      <w:r>
        <w:rPr>
          <w:rStyle w:val="12"/>
          <w:rFonts w:hint="eastAsia" w:ascii="方正仿宋_GBK" w:hAnsi="方正仿宋_GBK" w:eastAsia="方正仿宋_GBK" w:cs="方正仿宋_GBK"/>
          <w:b w:val="0"/>
          <w:color w:val="auto"/>
          <w:spacing w:val="-4"/>
          <w:sz w:val="32"/>
          <w:szCs w:val="32"/>
          <w:highlight w:val="none"/>
        </w:rPr>
        <w:t>，年中监控实际完成值为</w:t>
      </w:r>
      <w:r>
        <w:rPr>
          <w:rStyle w:val="12"/>
          <w:rFonts w:hint="eastAsia" w:ascii="方正仿宋_GBK" w:hAnsi="方正仿宋_GBK" w:eastAsia="方正仿宋_GBK" w:cs="方正仿宋_GBK"/>
          <w:b w:val="0"/>
          <w:color w:val="auto"/>
          <w:spacing w:val="-4"/>
          <w:sz w:val="32"/>
          <w:szCs w:val="32"/>
          <w:highlight w:val="none"/>
          <w:lang w:val="en-US" w:eastAsia="zh-CN"/>
        </w:rPr>
        <w:t>100%</w:t>
      </w:r>
      <w:r>
        <w:rPr>
          <w:rStyle w:val="12"/>
          <w:rFonts w:hint="eastAsia" w:ascii="方正仿宋_GBK" w:hAnsi="方正仿宋_GBK" w:eastAsia="方正仿宋_GBK" w:cs="方正仿宋_GBK"/>
          <w:b w:val="0"/>
          <w:color w:val="auto"/>
          <w:spacing w:val="-4"/>
          <w:sz w:val="32"/>
          <w:szCs w:val="32"/>
          <w:highlight w:val="none"/>
        </w:rPr>
        <w:t>，根据我单位“</w:t>
      </w:r>
      <w:r>
        <w:rPr>
          <w:rStyle w:val="12"/>
          <w:rFonts w:hint="eastAsia" w:ascii="方正仿宋_GBK" w:hAnsi="方正仿宋_GBK" w:eastAsia="方正仿宋_GBK" w:cs="方正仿宋_GBK"/>
          <w:b w:val="0"/>
          <w:color w:val="auto"/>
          <w:spacing w:val="-4"/>
          <w:sz w:val="32"/>
          <w:szCs w:val="32"/>
          <w:highlight w:val="none"/>
          <w:lang w:val="en-US" w:eastAsia="zh-CN"/>
        </w:rPr>
        <w:t>2024年工作总结</w:t>
      </w:r>
      <w:r>
        <w:rPr>
          <w:rStyle w:val="12"/>
          <w:rFonts w:hint="eastAsia" w:ascii="方正仿宋_GBK" w:hAnsi="方正仿宋_GBK" w:eastAsia="方正仿宋_GBK" w:cs="方正仿宋_GBK"/>
          <w:b w:val="0"/>
          <w:color w:val="auto"/>
          <w:spacing w:val="-4"/>
          <w:sz w:val="32"/>
          <w:szCs w:val="32"/>
          <w:highlight w:val="none"/>
        </w:rPr>
        <w:t>”资料显示，动物疫病检测率</w:t>
      </w:r>
      <w:r>
        <w:rPr>
          <w:rStyle w:val="12"/>
          <w:rFonts w:hint="eastAsia" w:ascii="方正仿宋_GBK" w:hAnsi="方正仿宋_GBK" w:eastAsia="方正仿宋_GBK" w:cs="方正仿宋_GBK"/>
          <w:b w:val="0"/>
          <w:color w:val="auto"/>
          <w:spacing w:val="-4"/>
          <w:sz w:val="32"/>
          <w:szCs w:val="32"/>
          <w:highlight w:val="none"/>
          <w:lang w:val="en-US" w:eastAsia="zh-CN"/>
        </w:rPr>
        <w:t>达到100%，</w:t>
      </w:r>
      <w:r>
        <w:rPr>
          <w:rStyle w:val="12"/>
          <w:rFonts w:hint="eastAsia" w:ascii="方正仿宋_GBK" w:hAnsi="方正仿宋_GBK" w:eastAsia="方正仿宋_GBK" w:cs="方正仿宋_GBK"/>
          <w:b w:val="0"/>
          <w:color w:val="auto"/>
          <w:spacing w:val="-4"/>
          <w:sz w:val="32"/>
          <w:szCs w:val="32"/>
          <w:highlight w:val="none"/>
        </w:rPr>
        <w:t>有效提高</w:t>
      </w:r>
      <w:r>
        <w:rPr>
          <w:rStyle w:val="12"/>
          <w:rFonts w:hint="eastAsia" w:ascii="方正仿宋_GBK" w:hAnsi="方正仿宋_GBK" w:eastAsia="方正仿宋_GBK" w:cs="方正仿宋_GBK"/>
          <w:b w:val="0"/>
          <w:color w:val="auto"/>
          <w:spacing w:val="-4"/>
          <w:sz w:val="32"/>
          <w:szCs w:val="32"/>
          <w:highlight w:val="none"/>
          <w:lang w:val="en-US" w:eastAsia="zh-CN"/>
        </w:rPr>
        <w:t>动物防疫水平</w:t>
      </w:r>
      <w:r>
        <w:rPr>
          <w:rStyle w:val="12"/>
          <w:rFonts w:hint="eastAsia" w:ascii="方正仿宋_GBK" w:hAnsi="方正仿宋_GBK" w:eastAsia="方正仿宋_GBK" w:cs="方正仿宋_GBK"/>
          <w:b w:val="0"/>
          <w:color w:val="auto"/>
          <w:spacing w:val="-4"/>
          <w:sz w:val="32"/>
          <w:szCs w:val="32"/>
          <w:highlight w:val="none"/>
        </w:rPr>
        <w:t>，该指标完成率为</w:t>
      </w:r>
      <w:r>
        <w:rPr>
          <w:rStyle w:val="12"/>
          <w:rFonts w:hint="eastAsia" w:ascii="方正仿宋_GBK" w:hAnsi="方正仿宋_GBK" w:eastAsia="方正仿宋_GBK" w:cs="方正仿宋_GBK"/>
          <w:b w:val="0"/>
          <w:color w:val="auto"/>
          <w:spacing w:val="-4"/>
          <w:sz w:val="32"/>
          <w:szCs w:val="32"/>
          <w:highlight w:val="none"/>
          <w:lang w:val="en-US" w:eastAsia="zh-CN"/>
        </w:rPr>
        <w:t>100</w:t>
      </w:r>
      <w:r>
        <w:rPr>
          <w:rStyle w:val="12"/>
          <w:rFonts w:hint="eastAsia" w:ascii="方正仿宋_GBK" w:hAnsi="方正仿宋_GBK" w:eastAsia="方正仿宋_GBK" w:cs="方正仿宋_GBK"/>
          <w:b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lang w:val="en-US" w:eastAsia="zh-CN"/>
        </w:rPr>
        <w:t>无偏差</w:t>
      </w:r>
      <w:r>
        <w:rPr>
          <w:rStyle w:val="12"/>
          <w:rFonts w:hint="eastAsia" w:ascii="方正仿宋_GBK" w:hAnsi="方正仿宋_GBK" w:eastAsia="方正仿宋_GBK" w:cs="方正仿宋_GBK"/>
          <w:b w:val="0"/>
          <w:color w:val="auto"/>
          <w:spacing w:val="-4"/>
          <w:sz w:val="32"/>
          <w:szCs w:val="32"/>
          <w:highlight w:val="none"/>
        </w:rPr>
        <w:t>。该指标</w:t>
      </w:r>
      <w:r>
        <w:rPr>
          <w:rStyle w:val="12"/>
          <w:rFonts w:hint="eastAsia" w:ascii="方正仿宋_GBK" w:hAnsi="方正仿宋_GBK" w:eastAsia="方正仿宋_GBK" w:cs="方正仿宋_GBK"/>
          <w:b w:val="0"/>
          <w:color w:val="auto"/>
          <w:spacing w:val="-4"/>
          <w:sz w:val="32"/>
          <w:szCs w:val="32"/>
          <w:highlight w:val="none"/>
          <w:lang w:eastAsia="zh-CN"/>
        </w:rPr>
        <w:t>权重分值为</w:t>
      </w:r>
      <w:r>
        <w:rPr>
          <w:rStyle w:val="12"/>
          <w:rFonts w:hint="eastAsia" w:ascii="方正仿宋_GBK" w:hAnsi="方正仿宋_GBK" w:eastAsia="方正仿宋_GBK" w:cs="方正仿宋_GBK"/>
          <w:b w:val="0"/>
          <w:color w:val="auto"/>
          <w:spacing w:val="-4"/>
          <w:sz w:val="32"/>
          <w:szCs w:val="32"/>
          <w:highlight w:val="none"/>
          <w:lang w:val="en-US" w:eastAsia="zh-CN"/>
        </w:rPr>
        <w:t>18分，自评得分18</w:t>
      </w:r>
      <w:r>
        <w:rPr>
          <w:rStyle w:val="12"/>
          <w:rFonts w:hint="eastAsia" w:ascii="方正仿宋_GBK" w:hAnsi="方正仿宋_GBK" w:eastAsia="方正仿宋_GBK" w:cs="方正仿宋_GBK"/>
          <w:b w:val="0"/>
          <w:color w:val="auto"/>
          <w:spacing w:val="-4"/>
          <w:sz w:val="32"/>
          <w:szCs w:val="32"/>
          <w:highlight w:val="none"/>
        </w:rPr>
        <w:t>分。</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default" w:ascii="方正仿宋_GBK" w:hAnsi="方正仿宋_GBK" w:eastAsia="方正仿宋_GBK" w:cs="方正仿宋_GBK"/>
          <w:b/>
          <w:bCs w:val="0"/>
          <w:color w:val="auto"/>
          <w:spacing w:val="-4"/>
          <w:sz w:val="32"/>
          <w:szCs w:val="32"/>
          <w:highlight w:val="none"/>
          <w:lang w:val="en-US" w:eastAsia="zh-CN"/>
        </w:rPr>
      </w:pPr>
      <w:r>
        <w:rPr>
          <w:rStyle w:val="12"/>
          <w:rFonts w:hint="eastAsia" w:ascii="方正仿宋_GBK" w:hAnsi="方正仿宋_GBK" w:eastAsia="方正仿宋_GBK" w:cs="方正仿宋_GBK"/>
          <w:b/>
          <w:bCs w:val="0"/>
          <w:color w:val="auto"/>
          <w:spacing w:val="-4"/>
          <w:sz w:val="32"/>
          <w:szCs w:val="32"/>
          <w:highlight w:val="none"/>
          <w:lang w:val="en-US" w:eastAsia="zh-CN"/>
        </w:rPr>
        <w:t>指标五：质量指标</w:t>
      </w:r>
    </w:p>
    <w:p>
      <w:pPr>
        <w:keepNext w:val="0"/>
        <w:keepLines w:val="0"/>
        <w:pageBreakBefore w:val="0"/>
        <w:kinsoku/>
        <w:wordWrap/>
        <w:overflowPunct/>
        <w:topLinePunct w:val="0"/>
        <w:autoSpaceDE/>
        <w:autoSpaceDN/>
        <w:bidi w:val="0"/>
        <w:adjustRightInd/>
        <w:spacing w:beforeAutospacing="0" w:afterAutospacing="0" w:line="570" w:lineRule="exact"/>
        <w:ind w:left="0" w:firstLine="627" w:firstLineChars="200"/>
        <w:jc w:val="both"/>
        <w:rPr>
          <w:rStyle w:val="12"/>
          <w:rFonts w:hint="eastAsia" w:ascii="方正仿宋_GBK" w:hAnsi="方正仿宋_GBK" w:eastAsia="方正仿宋_GBK" w:cs="方正仿宋_GBK"/>
          <w:b w:val="0"/>
          <w:color w:val="auto"/>
          <w:spacing w:val="-4"/>
          <w:sz w:val="32"/>
          <w:szCs w:val="32"/>
          <w:highlight w:val="none"/>
        </w:rPr>
      </w:pPr>
      <w:r>
        <w:rPr>
          <w:rStyle w:val="12"/>
          <w:rFonts w:hint="eastAsia" w:ascii="方正仿宋_GBK" w:hAnsi="方正仿宋_GBK" w:eastAsia="方正仿宋_GBK" w:cs="方正仿宋_GBK"/>
          <w:b/>
          <w:bCs w:val="0"/>
          <w:color w:val="auto"/>
          <w:spacing w:val="-4"/>
          <w:sz w:val="32"/>
          <w:szCs w:val="32"/>
          <w:highlight w:val="none"/>
          <w:lang w:val="en-US" w:eastAsia="zh-CN"/>
        </w:rPr>
        <w:t>优化种植面积率</w:t>
      </w:r>
      <w:r>
        <w:rPr>
          <w:rStyle w:val="12"/>
          <w:rFonts w:hint="eastAsia" w:ascii="方正仿宋_GBK" w:hAnsi="方正仿宋_GBK" w:eastAsia="方正仿宋_GBK" w:cs="方正仿宋_GBK"/>
          <w:b/>
          <w:bCs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rPr>
        <w:t>该指标预期指标值为</w:t>
      </w:r>
      <w:r>
        <w:rPr>
          <w:rStyle w:val="12"/>
          <w:rFonts w:hint="eastAsia" w:ascii="方正仿宋_GBK" w:hAnsi="方正仿宋_GBK" w:eastAsia="方正仿宋_GBK" w:cs="方正仿宋_GBK"/>
          <w:b w:val="0"/>
          <w:color w:val="auto"/>
          <w:spacing w:val="-4"/>
          <w:sz w:val="32"/>
          <w:szCs w:val="32"/>
          <w:highlight w:val="none"/>
          <w:lang w:val="en-US" w:eastAsia="zh-CN"/>
        </w:rPr>
        <w:t>100%</w:t>
      </w:r>
      <w:r>
        <w:rPr>
          <w:rStyle w:val="12"/>
          <w:rFonts w:hint="eastAsia" w:ascii="方正仿宋_GBK" w:hAnsi="方正仿宋_GBK" w:eastAsia="方正仿宋_GBK" w:cs="方正仿宋_GBK"/>
          <w:b w:val="0"/>
          <w:color w:val="auto"/>
          <w:spacing w:val="-4"/>
          <w:sz w:val="32"/>
          <w:szCs w:val="32"/>
          <w:highlight w:val="none"/>
        </w:rPr>
        <w:t>，年中监控实际完成值为</w:t>
      </w:r>
      <w:r>
        <w:rPr>
          <w:rStyle w:val="12"/>
          <w:rFonts w:hint="eastAsia" w:ascii="方正仿宋_GBK" w:hAnsi="方正仿宋_GBK" w:eastAsia="方正仿宋_GBK" w:cs="方正仿宋_GBK"/>
          <w:b w:val="0"/>
          <w:color w:val="auto"/>
          <w:spacing w:val="-4"/>
          <w:sz w:val="32"/>
          <w:szCs w:val="32"/>
          <w:highlight w:val="none"/>
          <w:lang w:val="en-US" w:eastAsia="zh-CN"/>
        </w:rPr>
        <w:t>100%</w:t>
      </w:r>
      <w:r>
        <w:rPr>
          <w:rStyle w:val="12"/>
          <w:rFonts w:hint="eastAsia" w:ascii="方正仿宋_GBK" w:hAnsi="方正仿宋_GBK" w:eastAsia="方正仿宋_GBK" w:cs="方正仿宋_GBK"/>
          <w:b w:val="0"/>
          <w:color w:val="auto"/>
          <w:spacing w:val="-4"/>
          <w:sz w:val="32"/>
          <w:szCs w:val="32"/>
          <w:highlight w:val="none"/>
        </w:rPr>
        <w:t>，根据我单位“</w:t>
      </w:r>
      <w:r>
        <w:rPr>
          <w:rStyle w:val="12"/>
          <w:rFonts w:hint="eastAsia" w:ascii="方正仿宋_GBK" w:hAnsi="方正仿宋_GBK" w:eastAsia="方正仿宋_GBK" w:cs="方正仿宋_GBK"/>
          <w:b w:val="0"/>
          <w:color w:val="auto"/>
          <w:spacing w:val="-4"/>
          <w:sz w:val="32"/>
          <w:szCs w:val="32"/>
          <w:highlight w:val="none"/>
          <w:lang w:val="en-US" w:eastAsia="zh-CN"/>
        </w:rPr>
        <w:t>2024年工作总结</w:t>
      </w:r>
      <w:r>
        <w:rPr>
          <w:rStyle w:val="12"/>
          <w:rFonts w:hint="eastAsia" w:ascii="方正仿宋_GBK" w:hAnsi="方正仿宋_GBK" w:eastAsia="方正仿宋_GBK" w:cs="方正仿宋_GBK"/>
          <w:b w:val="0"/>
          <w:color w:val="auto"/>
          <w:spacing w:val="-4"/>
          <w:sz w:val="32"/>
          <w:szCs w:val="32"/>
          <w:highlight w:val="none"/>
        </w:rPr>
        <w:t>”资料显示，优化种植面积率</w:t>
      </w:r>
      <w:r>
        <w:rPr>
          <w:rStyle w:val="12"/>
          <w:rFonts w:hint="eastAsia" w:ascii="方正仿宋_GBK" w:hAnsi="方正仿宋_GBK" w:eastAsia="方正仿宋_GBK" w:cs="方正仿宋_GBK"/>
          <w:b w:val="0"/>
          <w:color w:val="auto"/>
          <w:spacing w:val="-4"/>
          <w:sz w:val="32"/>
          <w:szCs w:val="32"/>
          <w:highlight w:val="none"/>
          <w:lang w:val="en-US" w:eastAsia="zh-CN"/>
        </w:rPr>
        <w:t>达到100%，</w:t>
      </w:r>
      <w:r>
        <w:rPr>
          <w:rStyle w:val="12"/>
          <w:rFonts w:hint="eastAsia" w:ascii="方正仿宋_GBK" w:hAnsi="方正仿宋_GBK" w:eastAsia="方正仿宋_GBK" w:cs="方正仿宋_GBK"/>
          <w:b w:val="0"/>
          <w:color w:val="auto"/>
          <w:spacing w:val="-4"/>
          <w:sz w:val="32"/>
          <w:szCs w:val="32"/>
          <w:highlight w:val="none"/>
        </w:rPr>
        <w:t>有效提高</w:t>
      </w:r>
      <w:r>
        <w:rPr>
          <w:rStyle w:val="12"/>
          <w:rFonts w:hint="eastAsia" w:ascii="方正仿宋_GBK" w:hAnsi="方正仿宋_GBK" w:eastAsia="方正仿宋_GBK" w:cs="方正仿宋_GBK"/>
          <w:b w:val="0"/>
          <w:color w:val="auto"/>
          <w:spacing w:val="-4"/>
          <w:sz w:val="32"/>
          <w:szCs w:val="32"/>
          <w:highlight w:val="none"/>
          <w:lang w:val="en-US" w:eastAsia="zh-CN"/>
        </w:rPr>
        <w:t>农业生产效率，</w:t>
      </w:r>
      <w:r>
        <w:rPr>
          <w:rStyle w:val="12"/>
          <w:rFonts w:hint="eastAsia" w:ascii="方正仿宋_GBK" w:hAnsi="方正仿宋_GBK" w:eastAsia="方正仿宋_GBK" w:cs="方正仿宋_GBK"/>
          <w:b w:val="0"/>
          <w:color w:val="auto"/>
          <w:spacing w:val="-4"/>
          <w:sz w:val="32"/>
          <w:szCs w:val="32"/>
          <w:highlight w:val="none"/>
        </w:rPr>
        <w:t>该指标完成率</w:t>
      </w:r>
      <w:r>
        <w:rPr>
          <w:rStyle w:val="12"/>
          <w:rFonts w:hint="eastAsia" w:ascii="方正仿宋_GBK" w:hAnsi="方正仿宋_GBK" w:eastAsia="方正仿宋_GBK" w:cs="方正仿宋_GBK"/>
          <w:b w:val="0"/>
          <w:color w:val="auto"/>
          <w:spacing w:val="-4"/>
          <w:sz w:val="32"/>
          <w:szCs w:val="32"/>
          <w:highlight w:val="none"/>
          <w:lang w:val="en-US" w:eastAsia="zh-CN"/>
        </w:rPr>
        <w:t>100</w:t>
      </w:r>
      <w:r>
        <w:rPr>
          <w:rStyle w:val="12"/>
          <w:rFonts w:hint="eastAsia" w:ascii="方正仿宋_GBK" w:hAnsi="方正仿宋_GBK" w:eastAsia="方正仿宋_GBK" w:cs="方正仿宋_GBK"/>
          <w:b w:val="0"/>
          <w:color w:val="auto"/>
          <w:spacing w:val="-4"/>
          <w:sz w:val="32"/>
          <w:szCs w:val="32"/>
          <w:highlight w:val="none"/>
        </w:rPr>
        <w:t>%，</w:t>
      </w:r>
      <w:r>
        <w:rPr>
          <w:rStyle w:val="12"/>
          <w:rFonts w:hint="eastAsia" w:ascii="方正仿宋_GBK" w:hAnsi="方正仿宋_GBK" w:eastAsia="方正仿宋_GBK" w:cs="方正仿宋_GBK"/>
          <w:b w:val="0"/>
          <w:color w:val="auto"/>
          <w:spacing w:val="-4"/>
          <w:sz w:val="32"/>
          <w:szCs w:val="32"/>
          <w:highlight w:val="none"/>
          <w:lang w:val="en-US" w:eastAsia="zh-CN"/>
        </w:rPr>
        <w:t>无偏差。</w:t>
      </w:r>
      <w:r>
        <w:rPr>
          <w:rStyle w:val="12"/>
          <w:rFonts w:hint="eastAsia" w:ascii="方正仿宋_GBK" w:hAnsi="方正仿宋_GBK" w:eastAsia="方正仿宋_GBK" w:cs="方正仿宋_GBK"/>
          <w:b w:val="0"/>
          <w:color w:val="auto"/>
          <w:spacing w:val="-4"/>
          <w:sz w:val="32"/>
          <w:szCs w:val="32"/>
          <w:highlight w:val="none"/>
        </w:rPr>
        <w:t>该指标</w:t>
      </w:r>
      <w:r>
        <w:rPr>
          <w:rStyle w:val="12"/>
          <w:rFonts w:hint="eastAsia" w:ascii="方正仿宋_GBK" w:hAnsi="方正仿宋_GBK" w:eastAsia="方正仿宋_GBK" w:cs="方正仿宋_GBK"/>
          <w:b w:val="0"/>
          <w:color w:val="auto"/>
          <w:spacing w:val="-4"/>
          <w:sz w:val="32"/>
          <w:szCs w:val="32"/>
          <w:highlight w:val="none"/>
          <w:lang w:eastAsia="zh-CN"/>
        </w:rPr>
        <w:t>权重分值为</w:t>
      </w:r>
      <w:r>
        <w:rPr>
          <w:rStyle w:val="12"/>
          <w:rFonts w:hint="eastAsia" w:ascii="方正仿宋_GBK" w:hAnsi="方正仿宋_GBK" w:eastAsia="方正仿宋_GBK" w:cs="方正仿宋_GBK"/>
          <w:b w:val="0"/>
          <w:color w:val="auto"/>
          <w:spacing w:val="-4"/>
          <w:sz w:val="32"/>
          <w:szCs w:val="32"/>
          <w:highlight w:val="none"/>
          <w:lang w:val="en-US" w:eastAsia="zh-CN"/>
        </w:rPr>
        <w:t>18分，自评得分18</w:t>
      </w:r>
      <w:r>
        <w:rPr>
          <w:rStyle w:val="12"/>
          <w:rFonts w:hint="eastAsia" w:ascii="方正仿宋_GBK" w:hAnsi="方正仿宋_GBK" w:eastAsia="方正仿宋_GBK" w:cs="方正仿宋_GBK"/>
          <w:b w:val="0"/>
          <w:color w:val="auto"/>
          <w:spacing w:val="-4"/>
          <w:sz w:val="32"/>
          <w:szCs w:val="32"/>
          <w:highlight w:val="none"/>
        </w:rPr>
        <w:t>分。</w:t>
      </w:r>
    </w:p>
    <w:p>
      <w:pPr>
        <w:pStyle w:val="17"/>
        <w:keepNext w:val="0"/>
        <w:keepLines w:val="0"/>
        <w:pageBreakBefore w:val="0"/>
        <w:numPr>
          <w:ilvl w:val="0"/>
          <w:numId w:val="3"/>
        </w:numPr>
        <w:kinsoku/>
        <w:wordWrap/>
        <w:overflowPunct/>
        <w:topLinePunct w:val="0"/>
        <w:autoSpaceDE/>
        <w:autoSpaceDN/>
        <w:bidi w:val="0"/>
        <w:adjustRightInd/>
        <w:snapToGrid w:val="0"/>
        <w:spacing w:beforeAutospacing="0" w:afterAutospacing="0" w:line="570" w:lineRule="exact"/>
        <w:ind w:left="0" w:firstLine="624" w:firstLineChars="200"/>
        <w:jc w:val="both"/>
        <w:rPr>
          <w:rStyle w:val="12"/>
          <w:rFonts w:hint="eastAsia" w:ascii="方正黑体_GBK" w:hAnsi="方正黑体_GBK" w:eastAsia="方正黑体_GBK" w:cs="方正黑体_GBK"/>
          <w:b w:val="0"/>
          <w:bCs w:val="0"/>
          <w:spacing w:val="-4"/>
          <w:sz w:val="32"/>
          <w:szCs w:val="32"/>
        </w:rPr>
      </w:pPr>
      <w:r>
        <w:rPr>
          <w:rStyle w:val="12"/>
          <w:rFonts w:hint="eastAsia" w:ascii="方正黑体_GBK" w:hAnsi="方正黑体_GBK" w:eastAsia="方正黑体_GBK" w:cs="方正黑体_GBK"/>
          <w:b w:val="0"/>
          <w:bCs w:val="0"/>
          <w:spacing w:val="-4"/>
          <w:sz w:val="32"/>
          <w:szCs w:val="32"/>
        </w:rPr>
        <w:t>评价结论</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rPr>
      </w:pPr>
      <w:r>
        <w:rPr>
          <w:rStyle w:val="12"/>
          <w:rFonts w:hint="eastAsia" w:ascii="方正仿宋_GBK" w:hAnsi="方正仿宋_GBK" w:eastAsia="方正仿宋_GBK" w:cs="方正仿宋_GBK"/>
          <w:b w:val="0"/>
          <w:spacing w:val="-4"/>
          <w:sz w:val="32"/>
          <w:szCs w:val="32"/>
        </w:rPr>
        <w:t>20</w:t>
      </w:r>
      <w:r>
        <w:rPr>
          <w:rStyle w:val="12"/>
          <w:rFonts w:hint="eastAsia" w:ascii="方正仿宋_GBK" w:hAnsi="方正仿宋_GBK" w:eastAsia="方正仿宋_GBK" w:cs="方正仿宋_GBK"/>
          <w:b w:val="0"/>
          <w:spacing w:val="-4"/>
          <w:sz w:val="32"/>
          <w:szCs w:val="32"/>
          <w:lang w:val="en-US" w:eastAsia="zh-CN"/>
        </w:rPr>
        <w:t>24</w:t>
      </w:r>
      <w:r>
        <w:rPr>
          <w:rStyle w:val="12"/>
          <w:rFonts w:hint="eastAsia" w:ascii="方正仿宋_GBK" w:hAnsi="方正仿宋_GBK" w:eastAsia="方正仿宋_GBK" w:cs="方正仿宋_GBK"/>
          <w:b w:val="0"/>
          <w:spacing w:val="-4"/>
          <w:sz w:val="32"/>
          <w:szCs w:val="32"/>
        </w:rPr>
        <w:t>年度部门整体支出绩效</w:t>
      </w:r>
      <w:r>
        <w:rPr>
          <w:rStyle w:val="12"/>
          <w:rFonts w:hint="eastAsia" w:ascii="方正仿宋_GBK" w:hAnsi="方正仿宋_GBK" w:eastAsia="方正仿宋_GBK" w:cs="方正仿宋_GBK"/>
          <w:b w:val="0"/>
          <w:color w:val="auto"/>
          <w:spacing w:val="-4"/>
          <w:sz w:val="32"/>
          <w:szCs w:val="32"/>
          <w:highlight w:val="none"/>
        </w:rPr>
        <w:t>自评综合得分</w:t>
      </w:r>
      <w:r>
        <w:rPr>
          <w:rStyle w:val="12"/>
          <w:rFonts w:hint="eastAsia" w:ascii="方正仿宋_GBK" w:hAnsi="方正仿宋_GBK" w:eastAsia="方正仿宋_GBK" w:cs="方正仿宋_GBK"/>
          <w:b w:val="0"/>
          <w:color w:val="auto"/>
          <w:spacing w:val="-4"/>
          <w:sz w:val="32"/>
          <w:szCs w:val="32"/>
          <w:highlight w:val="none"/>
          <w:lang w:val="en-US" w:eastAsia="zh-CN"/>
        </w:rPr>
        <w:t>98、7</w:t>
      </w:r>
      <w:r>
        <w:rPr>
          <w:rStyle w:val="12"/>
          <w:rFonts w:hint="eastAsia" w:ascii="方正仿宋_GBK" w:hAnsi="方正仿宋_GBK" w:eastAsia="方正仿宋_GBK" w:cs="方正仿宋_GBK"/>
          <w:b w:val="0"/>
          <w:color w:val="auto"/>
          <w:spacing w:val="-4"/>
          <w:sz w:val="32"/>
          <w:szCs w:val="32"/>
          <w:highlight w:val="none"/>
        </w:rPr>
        <w:t>分，</w:t>
      </w:r>
      <w:r>
        <w:rPr>
          <w:rStyle w:val="12"/>
          <w:rFonts w:hint="eastAsia" w:ascii="方正仿宋_GBK" w:hAnsi="方正仿宋_GBK" w:eastAsia="方正仿宋_GBK" w:cs="方正仿宋_GBK"/>
          <w:b w:val="0"/>
          <w:spacing w:val="-4"/>
          <w:sz w:val="32"/>
          <w:szCs w:val="32"/>
        </w:rPr>
        <w:t>评价结果为“优”。今年，我单位严格遵循地委、行署以及自治区在财政资金管理、政策执行和工作任务落实等方面的要求，全面强化预算管理与成本控制，优化资源配置，高效推进各项工作任务。从整体支出绩效来看，成效显著，达成了年初设定的预期目标。</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highlight w:val="none"/>
          <w:lang w:eastAsia="zh-CN"/>
        </w:rPr>
      </w:pPr>
      <w:r>
        <w:rPr>
          <w:rStyle w:val="12"/>
          <w:rFonts w:hint="eastAsia" w:ascii="方正仿宋_GBK" w:hAnsi="方正仿宋_GBK" w:eastAsia="方正仿宋_GBK" w:cs="方正仿宋_GBK"/>
          <w:b w:val="0"/>
          <w:spacing w:val="-4"/>
          <w:sz w:val="32"/>
          <w:szCs w:val="32"/>
          <w:highlight w:val="none"/>
        </w:rPr>
        <w:t>在预算执行上，严格把控支出进度与方向，确保每一笔资金都精准投入到关键业务领域，有力保障了日常工作的顺利开展与重点项目的稳步推进。在项目产出方面，</w:t>
      </w:r>
      <w:r>
        <w:rPr>
          <w:rStyle w:val="12"/>
          <w:rFonts w:hint="eastAsia" w:ascii="方正仿宋_GBK" w:hAnsi="方正仿宋_GBK" w:eastAsia="方正仿宋_GBK" w:cs="方正仿宋_GBK"/>
          <w:b w:val="0"/>
          <w:spacing w:val="-4"/>
          <w:sz w:val="32"/>
          <w:szCs w:val="32"/>
          <w:highlight w:val="none"/>
          <w:lang w:val="en-US" w:eastAsia="zh-CN"/>
        </w:rPr>
        <w:t>项目管理费</w:t>
      </w:r>
      <w:r>
        <w:rPr>
          <w:rStyle w:val="12"/>
          <w:rFonts w:hint="eastAsia" w:ascii="方正仿宋_GBK" w:hAnsi="方正仿宋_GBK" w:eastAsia="方正仿宋_GBK" w:cs="方正仿宋_GBK"/>
          <w:b w:val="0"/>
          <w:spacing w:val="-4"/>
          <w:sz w:val="32"/>
          <w:szCs w:val="32"/>
          <w:highlight w:val="none"/>
        </w:rPr>
        <w:t>，2023年麦盖提县库尔玛乡塔木墩村乡村振兴人居环境整治建设项目</w:t>
      </w:r>
      <w:r>
        <w:rPr>
          <w:rStyle w:val="12"/>
          <w:rFonts w:hint="eastAsia" w:ascii="方正仿宋_GBK" w:hAnsi="方正仿宋_GBK" w:eastAsia="方正仿宋_GBK" w:cs="方正仿宋_GBK"/>
          <w:b w:val="0"/>
          <w:spacing w:val="-4"/>
          <w:sz w:val="32"/>
          <w:szCs w:val="32"/>
          <w:highlight w:val="none"/>
          <w:lang w:val="en-US" w:eastAsia="zh-CN"/>
        </w:rPr>
        <w:t>和2023年麦盖提县希依提墩乡喀克夏勒村乡村振兴人居环境整治建设项目等项目提前完成，所有项目于2024年7月都已完成支付</w:t>
      </w:r>
      <w:r>
        <w:rPr>
          <w:rStyle w:val="12"/>
          <w:rFonts w:hint="eastAsia" w:ascii="方正仿宋_GBK" w:hAnsi="方正仿宋_GBK" w:eastAsia="方正仿宋_GBK" w:cs="方正仿宋_GBK"/>
          <w:b w:val="0"/>
          <w:spacing w:val="-4"/>
          <w:sz w:val="32"/>
          <w:szCs w:val="32"/>
          <w:highlight w:val="none"/>
        </w:rPr>
        <w:t>，质量远超预期标准，获得了上级部门的高度认可</w:t>
      </w:r>
      <w:r>
        <w:rPr>
          <w:rStyle w:val="12"/>
          <w:rFonts w:hint="eastAsia" w:ascii="方正仿宋_GBK" w:hAnsi="方正仿宋_GBK" w:eastAsia="方正仿宋_GBK" w:cs="方正仿宋_GBK"/>
          <w:b w:val="0"/>
          <w:spacing w:val="-4"/>
          <w:sz w:val="32"/>
          <w:szCs w:val="32"/>
          <w:highlight w:val="none"/>
          <w:lang w:eastAsia="zh-CN"/>
        </w:rPr>
        <w:t>。</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lang w:val="en-US" w:eastAsia="zh-CN"/>
        </w:rPr>
      </w:pPr>
      <w:r>
        <w:rPr>
          <w:rStyle w:val="12"/>
          <w:rFonts w:hint="eastAsia" w:ascii="方正仿宋_GBK" w:hAnsi="方正仿宋_GBK" w:eastAsia="方正仿宋_GBK" w:cs="方正仿宋_GBK"/>
          <w:b w:val="0"/>
          <w:spacing w:val="-4"/>
          <w:sz w:val="32"/>
          <w:szCs w:val="32"/>
        </w:rPr>
        <w:t>综合评估，我单位在本年度部门整体支出绩效表现优秀，各项工作有序推进，资金使用效益显著，为地区发展和政策落实提供了有力支持 。2024年共完成新建及提升改造高标准农田面积3</w:t>
      </w:r>
      <w:r>
        <w:rPr>
          <w:rStyle w:val="12"/>
          <w:rFonts w:hint="eastAsia" w:ascii="方正仿宋_GBK" w:hAnsi="方正仿宋_GBK" w:eastAsia="方正仿宋_GBK" w:cs="方正仿宋_GBK"/>
          <w:b w:val="0"/>
          <w:spacing w:val="-4"/>
          <w:sz w:val="32"/>
          <w:szCs w:val="32"/>
          <w:lang w:eastAsia="zh-CN"/>
        </w:rPr>
        <w:t>、</w:t>
      </w:r>
      <w:r>
        <w:rPr>
          <w:rStyle w:val="12"/>
          <w:rFonts w:hint="eastAsia" w:ascii="方正仿宋_GBK" w:hAnsi="方正仿宋_GBK" w:eastAsia="方正仿宋_GBK" w:cs="方正仿宋_GBK"/>
          <w:b w:val="0"/>
          <w:spacing w:val="-4"/>
          <w:sz w:val="32"/>
          <w:szCs w:val="32"/>
        </w:rPr>
        <w:t>25万亩，新增种植玉米面积21万亩，机采棉面积占比达到率达到80%，动物疫病检测率和优化种植面积率达到100%。</w:t>
      </w:r>
    </w:p>
    <w:p>
      <w:pPr>
        <w:pStyle w:val="17"/>
        <w:keepNext w:val="0"/>
        <w:keepLines w:val="0"/>
        <w:pageBreakBefore w:val="0"/>
        <w:numPr>
          <w:ilvl w:val="0"/>
          <w:numId w:val="3"/>
        </w:numPr>
        <w:kinsoku/>
        <w:wordWrap/>
        <w:overflowPunct/>
        <w:topLinePunct w:val="0"/>
        <w:autoSpaceDE/>
        <w:autoSpaceDN/>
        <w:bidi w:val="0"/>
        <w:adjustRightInd/>
        <w:snapToGrid w:val="0"/>
        <w:spacing w:beforeAutospacing="0" w:afterAutospacing="0" w:line="570" w:lineRule="exact"/>
        <w:ind w:left="0" w:firstLine="624" w:firstLineChars="200"/>
        <w:jc w:val="both"/>
        <w:rPr>
          <w:rStyle w:val="12"/>
          <w:rFonts w:hint="eastAsia" w:ascii="方正黑体_GBK" w:hAnsi="方正黑体_GBK" w:eastAsia="方正黑体_GBK" w:cs="方正黑体_GBK"/>
          <w:b w:val="0"/>
          <w:bCs w:val="0"/>
          <w:spacing w:val="-4"/>
          <w:sz w:val="32"/>
          <w:szCs w:val="32"/>
        </w:rPr>
      </w:pPr>
      <w:r>
        <w:rPr>
          <w:rStyle w:val="12"/>
          <w:rFonts w:hint="eastAsia" w:ascii="方正黑体_GBK" w:hAnsi="方正黑体_GBK" w:eastAsia="方正黑体_GBK" w:cs="方正黑体_GBK"/>
          <w:b w:val="0"/>
          <w:bCs w:val="0"/>
          <w:spacing w:val="-4"/>
          <w:sz w:val="32"/>
          <w:szCs w:val="32"/>
        </w:rPr>
        <w:t>存在的主要问题及原因分析</w:t>
      </w:r>
    </w:p>
    <w:p>
      <w:pPr>
        <w:keepNext w:val="0"/>
        <w:keepLines w:val="0"/>
        <w:pageBreakBefore w:val="0"/>
        <w:numPr>
          <w:ilvl w:val="0"/>
          <w:numId w:val="4"/>
        </w:numPr>
        <w:kinsoku/>
        <w:wordWrap/>
        <w:overflowPunct/>
        <w:autoSpaceDE/>
        <w:autoSpaceDN/>
        <w:bidi w:val="0"/>
        <w:spacing w:beforeAutospacing="0" w:afterAutospacing="0" w:line="570" w:lineRule="exact"/>
        <w:ind w:left="0"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干部业务能力还有欠缺。随着乡村振兴和农村改革深入推进，农业新技术、新模式、新品种、新机具、新业态不断更新，干部运用新思想、新方法、新知识指导服务“三农”工作的能力不高，工作成效和质量还需进一步提升。</w:t>
      </w:r>
    </w:p>
    <w:p>
      <w:pPr>
        <w:keepNext w:val="0"/>
        <w:keepLines w:val="0"/>
        <w:pageBreakBefore w:val="0"/>
        <w:numPr>
          <w:ilvl w:val="0"/>
          <w:numId w:val="4"/>
        </w:numPr>
        <w:kinsoku/>
        <w:wordWrap/>
        <w:overflowPunct/>
        <w:autoSpaceDE/>
        <w:autoSpaceDN/>
        <w:bidi w:val="0"/>
        <w:spacing w:beforeAutospacing="0" w:afterAutospacing="0" w:line="570" w:lineRule="exact"/>
        <w:ind w:left="0" w:firstLine="624" w:firstLineChars="200"/>
        <w:rPr>
          <w:rFonts w:hint="eastAsia" w:ascii="方正仿宋_GBK" w:hAnsi="方正仿宋_GBK" w:eastAsia="方正仿宋_GBK" w:cs="方正仿宋_GBK"/>
          <w:sz w:val="32"/>
          <w:szCs w:val="32"/>
        </w:rPr>
      </w:pPr>
      <w:r>
        <w:rPr>
          <w:rStyle w:val="12"/>
          <w:rFonts w:hint="eastAsia" w:ascii="方正仿宋_GBK" w:hAnsi="方正仿宋_GBK" w:eastAsia="方正仿宋_GBK" w:cs="方正仿宋_GBK"/>
          <w:b w:val="0"/>
          <w:spacing w:val="-4"/>
          <w:sz w:val="32"/>
          <w:szCs w:val="32"/>
          <w:lang w:eastAsia="zh-CN"/>
        </w:rPr>
        <w:t>产业发展基础还相对薄弱。全县地区级以上农业产业化龙头企业25家，大部分起步晚、规模小、实力弱，缺乏科技创新能力，产业链延伸困难，在实现加工增值上短板明显。</w:t>
      </w:r>
    </w:p>
    <w:p>
      <w:pPr>
        <w:keepNext w:val="0"/>
        <w:keepLines w:val="0"/>
        <w:pageBreakBefore w:val="0"/>
        <w:numPr>
          <w:ilvl w:val="0"/>
          <w:numId w:val="4"/>
        </w:numPr>
        <w:kinsoku/>
        <w:wordWrap/>
        <w:overflowPunct/>
        <w:autoSpaceDE/>
        <w:autoSpaceDN/>
        <w:bidi w:val="0"/>
        <w:spacing w:beforeAutospacing="0" w:afterAutospacing="0" w:line="570" w:lineRule="exact"/>
        <w:ind w:left="0" w:firstLine="624" w:firstLineChars="200"/>
        <w:rPr>
          <w:rFonts w:hint="eastAsia" w:ascii="方正仿宋_GBK" w:hAnsi="方正仿宋_GBK" w:eastAsia="方正仿宋_GBK" w:cs="方正仿宋_GBK"/>
          <w:sz w:val="32"/>
          <w:szCs w:val="32"/>
        </w:rPr>
      </w:pPr>
      <w:r>
        <w:rPr>
          <w:rStyle w:val="12"/>
          <w:rFonts w:hint="eastAsia" w:ascii="方正仿宋_GBK" w:hAnsi="方正仿宋_GBK" w:eastAsia="方正仿宋_GBK" w:cs="方正仿宋_GBK"/>
          <w:b w:val="0"/>
          <w:spacing w:val="-4"/>
          <w:sz w:val="32"/>
          <w:szCs w:val="32"/>
          <w:lang w:eastAsia="zh-CN"/>
        </w:rPr>
        <w:t>畜牧业发展动力存在不足。畜牧业受市场冲击，牛羊价格下跌，企业、合作社、大户养殖积极性不高，畜牧养殖效益不明显，发展动力不足。</w:t>
      </w:r>
    </w:p>
    <w:p>
      <w:pPr>
        <w:pStyle w:val="17"/>
        <w:keepNext w:val="0"/>
        <w:keepLines w:val="0"/>
        <w:pageBreakBefore w:val="0"/>
        <w:numPr>
          <w:ilvl w:val="0"/>
          <w:numId w:val="3"/>
        </w:numPr>
        <w:kinsoku/>
        <w:wordWrap/>
        <w:overflowPunct/>
        <w:topLinePunct w:val="0"/>
        <w:autoSpaceDE/>
        <w:autoSpaceDN/>
        <w:bidi w:val="0"/>
        <w:adjustRightInd/>
        <w:snapToGrid w:val="0"/>
        <w:spacing w:beforeAutospacing="0" w:afterAutospacing="0" w:line="570" w:lineRule="exact"/>
        <w:ind w:left="0" w:firstLine="624" w:firstLineChars="200"/>
        <w:jc w:val="both"/>
        <w:rPr>
          <w:rStyle w:val="12"/>
          <w:rFonts w:hint="eastAsia" w:ascii="方正黑体_GBK" w:hAnsi="方正黑体_GBK" w:eastAsia="方正黑体_GBK" w:cs="方正黑体_GBK"/>
          <w:b w:val="0"/>
          <w:bCs w:val="0"/>
          <w:spacing w:val="-4"/>
          <w:sz w:val="32"/>
          <w:szCs w:val="32"/>
        </w:rPr>
      </w:pPr>
      <w:r>
        <w:rPr>
          <w:rStyle w:val="12"/>
          <w:rFonts w:hint="eastAsia" w:ascii="方正黑体_GBK" w:hAnsi="方正黑体_GBK" w:eastAsia="方正黑体_GBK" w:cs="方正黑体_GBK"/>
          <w:b w:val="0"/>
          <w:bCs w:val="0"/>
          <w:spacing w:val="-4"/>
          <w:sz w:val="32"/>
          <w:szCs w:val="32"/>
        </w:rPr>
        <w:t>改进措施和建议</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lang w:eastAsia="zh-CN"/>
        </w:rPr>
      </w:pPr>
      <w:r>
        <w:rPr>
          <w:rStyle w:val="12"/>
          <w:rFonts w:hint="eastAsia" w:ascii="方正仿宋_GBK" w:hAnsi="方正仿宋_GBK" w:eastAsia="方正仿宋_GBK" w:cs="方正仿宋_GBK"/>
          <w:b w:val="0"/>
          <w:spacing w:val="-4"/>
          <w:sz w:val="32"/>
          <w:szCs w:val="32"/>
          <w:lang w:eastAsia="zh-CN"/>
        </w:rPr>
        <w:t>（</w:t>
      </w:r>
      <w:r>
        <w:rPr>
          <w:rStyle w:val="12"/>
          <w:rFonts w:hint="eastAsia" w:ascii="方正仿宋_GBK" w:hAnsi="方正仿宋_GBK" w:eastAsia="方正仿宋_GBK" w:cs="方正仿宋_GBK"/>
          <w:b w:val="0"/>
          <w:spacing w:val="-4"/>
          <w:sz w:val="32"/>
          <w:szCs w:val="32"/>
          <w:lang w:val="en-US" w:eastAsia="zh-CN"/>
        </w:rPr>
        <w:t>一</w:t>
      </w:r>
      <w:r>
        <w:rPr>
          <w:rStyle w:val="12"/>
          <w:rFonts w:hint="eastAsia" w:ascii="方正仿宋_GBK" w:hAnsi="方正仿宋_GBK" w:eastAsia="方正仿宋_GBK" w:cs="方正仿宋_GBK"/>
          <w:b w:val="0"/>
          <w:spacing w:val="-4"/>
          <w:sz w:val="32"/>
          <w:szCs w:val="32"/>
          <w:lang w:eastAsia="zh-CN"/>
        </w:rPr>
        <w:t>）需加大现代农业技术培训力度，加强与科研单位、农业院校在新技术、新品种、盐碱地治理试验示范等方面的深度合作，着力建设一批重点试验田、高产田、实习基地、实验室，提升科技转化率，提高农业生产效益和质量。</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lang w:val="en-US" w:eastAsia="zh-CN"/>
        </w:rPr>
      </w:pPr>
      <w:r>
        <w:rPr>
          <w:rStyle w:val="12"/>
          <w:rFonts w:hint="eastAsia" w:ascii="方正仿宋_GBK" w:hAnsi="方正仿宋_GBK" w:eastAsia="方正仿宋_GBK" w:cs="方正仿宋_GBK"/>
          <w:b w:val="0"/>
          <w:spacing w:val="-4"/>
          <w:sz w:val="32"/>
          <w:szCs w:val="32"/>
          <w:lang w:val="en-US" w:eastAsia="zh-CN"/>
        </w:rPr>
        <w:t>（二）</w:t>
      </w:r>
      <w:r>
        <w:rPr>
          <w:rStyle w:val="12"/>
          <w:rFonts w:hint="eastAsia" w:ascii="方正仿宋_GBK" w:hAnsi="方正仿宋_GBK" w:eastAsia="方正仿宋_GBK" w:cs="方正仿宋_GBK"/>
          <w:b w:val="0"/>
          <w:spacing w:val="-4"/>
          <w:sz w:val="32"/>
          <w:szCs w:val="32"/>
          <w:lang w:eastAsia="zh-CN"/>
        </w:rPr>
        <w:t>需不断完善农业基础设施建设，围绕产业链图谱上中下游薄弱环节，加大招商引资力度，支持现有企业做大做强，加快2个现代农业产业园建设，推动申报为自治区级现代农业产业园，提升产业附加值。</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lang w:val="en-US" w:eastAsia="zh-CN"/>
        </w:rPr>
      </w:pPr>
      <w:r>
        <w:rPr>
          <w:rStyle w:val="12"/>
          <w:rFonts w:hint="eastAsia" w:ascii="方正仿宋_GBK" w:hAnsi="方正仿宋_GBK" w:eastAsia="方正仿宋_GBK" w:cs="方正仿宋_GBK"/>
          <w:b w:val="0"/>
          <w:spacing w:val="-4"/>
          <w:sz w:val="32"/>
          <w:szCs w:val="32"/>
          <w:lang w:eastAsia="zh-CN"/>
        </w:rPr>
        <w:t>（</w:t>
      </w:r>
      <w:r>
        <w:rPr>
          <w:rStyle w:val="12"/>
          <w:rFonts w:hint="eastAsia" w:ascii="方正仿宋_GBK" w:hAnsi="方正仿宋_GBK" w:eastAsia="方正仿宋_GBK" w:cs="方正仿宋_GBK"/>
          <w:b w:val="0"/>
          <w:spacing w:val="-4"/>
          <w:sz w:val="32"/>
          <w:szCs w:val="32"/>
          <w:lang w:val="en-US" w:eastAsia="zh-CN"/>
        </w:rPr>
        <w:t>三</w:t>
      </w:r>
      <w:r>
        <w:rPr>
          <w:rStyle w:val="12"/>
          <w:rFonts w:hint="eastAsia" w:ascii="方正仿宋_GBK" w:hAnsi="方正仿宋_GBK" w:eastAsia="方正仿宋_GBK" w:cs="方正仿宋_GBK"/>
          <w:b w:val="0"/>
          <w:spacing w:val="-4"/>
          <w:sz w:val="32"/>
          <w:szCs w:val="32"/>
          <w:lang w:eastAsia="zh-CN"/>
        </w:rPr>
        <w:t>）需加大对牛羊规模养殖场的扶持和“四良一规范”技术指导，用好到户产业、牧九条、放母收犊、农业政策性保险等政策措施，加快畜牧兽医社会化服务进程，积极引导发展庭院养殖，确保畜牧业发展健康、安全。</w:t>
      </w:r>
    </w:p>
    <w:p>
      <w:pPr>
        <w:pStyle w:val="17"/>
        <w:keepNext w:val="0"/>
        <w:keepLines w:val="0"/>
        <w:pageBreakBefore w:val="0"/>
        <w:numPr>
          <w:ilvl w:val="0"/>
          <w:numId w:val="3"/>
        </w:numPr>
        <w:kinsoku/>
        <w:wordWrap/>
        <w:overflowPunct/>
        <w:topLinePunct w:val="0"/>
        <w:autoSpaceDE/>
        <w:autoSpaceDN/>
        <w:bidi w:val="0"/>
        <w:adjustRightInd/>
        <w:snapToGrid w:val="0"/>
        <w:spacing w:beforeAutospacing="0" w:afterAutospacing="0" w:line="570" w:lineRule="exact"/>
        <w:ind w:left="0" w:firstLine="624" w:firstLineChars="200"/>
        <w:jc w:val="both"/>
        <w:rPr>
          <w:rStyle w:val="12"/>
          <w:rFonts w:hint="eastAsia" w:ascii="方正黑体_GBK" w:hAnsi="方正黑体_GBK" w:eastAsia="方正黑体_GBK" w:cs="方正黑体_GBK"/>
          <w:b w:val="0"/>
          <w:spacing w:val="-4"/>
          <w:sz w:val="32"/>
          <w:szCs w:val="32"/>
        </w:rPr>
      </w:pPr>
      <w:r>
        <w:rPr>
          <w:rStyle w:val="12"/>
          <w:rFonts w:hint="eastAsia" w:ascii="方正黑体_GBK" w:hAnsi="方正黑体_GBK" w:eastAsia="方正黑体_GBK" w:cs="方正黑体_GBK"/>
          <w:b w:val="0"/>
          <w:bCs w:val="0"/>
          <w:spacing w:val="-4"/>
          <w:sz w:val="32"/>
          <w:szCs w:val="32"/>
        </w:rPr>
        <w:t>附表：</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rPr>
      </w:pPr>
      <w:r>
        <w:rPr>
          <w:rStyle w:val="12"/>
          <w:rFonts w:hint="eastAsia" w:ascii="方正仿宋_GBK" w:hAnsi="方正仿宋_GBK" w:eastAsia="方正仿宋_GBK" w:cs="方正仿宋_GBK"/>
          <w:b w:val="0"/>
          <w:spacing w:val="-4"/>
          <w:sz w:val="32"/>
          <w:szCs w:val="32"/>
        </w:rPr>
        <w:t>《</w:t>
      </w:r>
      <w:r>
        <w:rPr>
          <w:rStyle w:val="12"/>
          <w:rFonts w:hint="eastAsia" w:ascii="方正仿宋_GBK" w:hAnsi="方正仿宋_GBK" w:eastAsia="方正仿宋_GBK" w:cs="方正仿宋_GBK"/>
          <w:b w:val="0"/>
          <w:bCs w:val="0"/>
          <w:spacing w:val="-4"/>
          <w:sz w:val="32"/>
          <w:szCs w:val="32"/>
        </w:rPr>
        <w:t>部门整体支出绩效自评表</w:t>
      </w:r>
      <w:r>
        <w:rPr>
          <w:rStyle w:val="12"/>
          <w:rFonts w:hint="eastAsia" w:ascii="方正仿宋_GBK" w:hAnsi="方正仿宋_GBK" w:eastAsia="方正仿宋_GBK" w:cs="方正仿宋_GBK"/>
          <w:b w:val="0"/>
          <w:spacing w:val="-4"/>
          <w:sz w:val="32"/>
          <w:szCs w:val="32"/>
        </w:rPr>
        <w:t>》</w:t>
      </w:r>
    </w:p>
    <w:p>
      <w:pPr>
        <w:keepNext w:val="0"/>
        <w:keepLines w:val="0"/>
        <w:pageBreakBefore w:val="0"/>
        <w:kinsoku/>
        <w:wordWrap/>
        <w:overflowPunct/>
        <w:topLinePunct w:val="0"/>
        <w:autoSpaceDE/>
        <w:autoSpaceDN/>
        <w:bidi w:val="0"/>
        <w:adjustRightInd/>
        <w:spacing w:beforeAutospacing="0" w:afterAutospacing="0" w:line="570" w:lineRule="exact"/>
        <w:ind w:left="0" w:firstLine="624" w:firstLineChars="200"/>
        <w:jc w:val="both"/>
        <w:rPr>
          <w:rStyle w:val="12"/>
          <w:rFonts w:hint="eastAsia" w:ascii="方正仿宋_GBK" w:hAnsi="方正仿宋_GBK" w:eastAsia="方正仿宋_GBK" w:cs="方正仿宋_GBK"/>
          <w:b w:val="0"/>
          <w:spacing w:val="-4"/>
          <w:sz w:val="32"/>
          <w:szCs w:val="32"/>
          <w:lang w:eastAsia="zh-CN"/>
        </w:rPr>
      </w:pPr>
      <w:r>
        <w:rPr>
          <w:rStyle w:val="12"/>
          <w:rFonts w:hint="eastAsia" w:ascii="方正仿宋_GBK" w:hAnsi="方正仿宋_GBK" w:eastAsia="方正仿宋_GBK" w:cs="方正仿宋_GBK"/>
          <w:b w:val="0"/>
          <w:color w:val="auto"/>
          <w:spacing w:val="-4"/>
          <w:sz w:val="32"/>
          <w:szCs w:val="32"/>
          <w:lang w:eastAsia="zh-CN"/>
        </w:rPr>
        <w:t>《</w:t>
      </w:r>
      <w:r>
        <w:rPr>
          <w:rStyle w:val="12"/>
          <w:rFonts w:hint="eastAsia" w:ascii="方正仿宋_GBK" w:hAnsi="方正仿宋_GBK" w:eastAsia="方正仿宋_GBK" w:cs="方正仿宋_GBK"/>
          <w:b w:val="0"/>
          <w:color w:val="auto"/>
          <w:spacing w:val="-4"/>
          <w:sz w:val="32"/>
          <w:szCs w:val="32"/>
          <w:lang w:val="en-US" w:eastAsia="zh-CN"/>
        </w:rPr>
        <w:t>麦盖提县农业农村局</w:t>
      </w:r>
      <w:r>
        <w:rPr>
          <w:rStyle w:val="12"/>
          <w:rFonts w:hint="eastAsia" w:ascii="方正仿宋_GBK" w:hAnsi="方正仿宋_GBK" w:eastAsia="方正仿宋_GBK" w:cs="方正仿宋_GBK"/>
          <w:b w:val="0"/>
          <w:color w:val="auto"/>
          <w:spacing w:val="-4"/>
          <w:sz w:val="32"/>
          <w:szCs w:val="32"/>
        </w:rPr>
        <w:t>整</w:t>
      </w:r>
      <w:r>
        <w:rPr>
          <w:rStyle w:val="12"/>
          <w:rFonts w:hint="eastAsia" w:ascii="方正仿宋_GBK" w:hAnsi="方正仿宋_GBK" w:eastAsia="方正仿宋_GBK" w:cs="方正仿宋_GBK"/>
          <w:b w:val="0"/>
          <w:spacing w:val="-4"/>
          <w:sz w:val="32"/>
          <w:szCs w:val="32"/>
        </w:rPr>
        <w:t>体支出预算执行情况明细表</w:t>
      </w:r>
      <w:r>
        <w:rPr>
          <w:rStyle w:val="12"/>
          <w:rFonts w:hint="eastAsia" w:ascii="方正仿宋_GBK" w:hAnsi="方正仿宋_GBK" w:eastAsia="方正仿宋_GBK" w:cs="方正仿宋_GBK"/>
          <w:b w:val="0"/>
          <w:spacing w:val="-4"/>
          <w:sz w:val="32"/>
          <w:szCs w:val="32"/>
          <w:lang w:eastAsia="zh-CN"/>
        </w:rPr>
        <w:t>》</w:t>
      </w:r>
    </w:p>
    <w:sectPr>
      <w:pgSz w:w="11906" w:h="16838"/>
      <w:pgMar w:top="1984" w:right="1531" w:bottom="1701" w:left="1531"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0A76BC-CD97-41AB-9BB5-A1FD9D8662A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000" w:usb1="00000000" w:usb2="00000000" w:usb3="00000000" w:csb0="00000000" w:csb1="00000000"/>
    <w:embedRegular r:id="rId2" w:fontKey="{FD749315-4385-4036-9B5F-83DC6CCCAFF4}"/>
  </w:font>
  <w:font w:name="方正黑体_GBK">
    <w:panose1 w:val="03000509000000000000"/>
    <w:charset w:val="86"/>
    <w:family w:val="auto"/>
    <w:pitch w:val="default"/>
    <w:sig w:usb0="00000001" w:usb1="080E0000" w:usb2="00000000" w:usb3="00000000" w:csb0="00040000" w:csb1="00000000"/>
    <w:embedRegular r:id="rId3" w:fontKey="{02AD0E32-F27A-4F0E-A6BA-578E44B90153}"/>
  </w:font>
  <w:font w:name="仿宋_GB2312">
    <w:panose1 w:val="02010609030101010101"/>
    <w:charset w:val="86"/>
    <w:family w:val="modern"/>
    <w:pitch w:val="default"/>
    <w:sig w:usb0="00000001" w:usb1="080E0000" w:usb2="00000000" w:usb3="00000000" w:csb0="00040000" w:csb1="00000000"/>
    <w:embedRegular r:id="rId4" w:fontKey="{36B3959B-4301-4A8A-ABC8-E567F474CEC1}"/>
  </w:font>
  <w:font w:name="方正仿宋_GBK">
    <w:panose1 w:val="03000509000000000000"/>
    <w:charset w:val="86"/>
    <w:family w:val="script"/>
    <w:pitch w:val="default"/>
    <w:sig w:usb0="00000001" w:usb1="080E0000" w:usb2="00000000" w:usb3="00000000" w:csb0="00040000" w:csb1="00000000"/>
    <w:embedRegular r:id="rId5" w:fontKey="{3D9610EA-64C7-4087-A932-FA2BE546F6B5}"/>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9F2EBE"/>
    <w:multiLevelType w:val="singleLevel"/>
    <w:tmpl w:val="A19F2EBE"/>
    <w:lvl w:ilvl="0" w:tentative="0">
      <w:start w:val="1"/>
      <w:numFmt w:val="decimal"/>
      <w:suff w:val="nothing"/>
      <w:lvlText w:val="（%1）"/>
      <w:lvlJc w:val="left"/>
    </w:lvl>
  </w:abstractNum>
  <w:abstractNum w:abstractNumId="1">
    <w:nsid w:val="DC9B2530"/>
    <w:multiLevelType w:val="singleLevel"/>
    <w:tmpl w:val="DC9B2530"/>
    <w:lvl w:ilvl="0" w:tentative="0">
      <w:start w:val="1"/>
      <w:numFmt w:val="chineseCounting"/>
      <w:suff w:val="nothing"/>
      <w:lvlText w:val="（%1）"/>
      <w:lvlJc w:val="left"/>
      <w:rPr>
        <w:rFonts w:hint="eastAsia"/>
      </w:rPr>
    </w:lvl>
  </w:abstractNum>
  <w:abstractNum w:abstractNumId="2">
    <w:nsid w:val="F6233733"/>
    <w:multiLevelType w:val="singleLevel"/>
    <w:tmpl w:val="F6233733"/>
    <w:lvl w:ilvl="0" w:tentative="0">
      <w:start w:val="1"/>
      <w:numFmt w:val="chineseCounting"/>
      <w:suff w:val="nothing"/>
      <w:lvlText w:val="%1、"/>
      <w:lvlJc w:val="left"/>
      <w:rPr>
        <w:rFonts w:hint="eastAsia"/>
      </w:rPr>
    </w:lvl>
  </w:abstractNum>
  <w:abstractNum w:abstractNumId="3">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mMzUwZGFlYzVlOTE3ZTA4ZjgxYzMyMzhkNzZkYWYifQ=="/>
    <w:docVar w:name="KSO_WPS_MARK_KEY" w:val="40e95650-004b-4697-ae2b-25bffeeac740"/>
  </w:docVars>
  <w:rsids>
    <w:rsidRoot w:val="00633862"/>
    <w:rsid w:val="0000596E"/>
    <w:rsid w:val="000355A8"/>
    <w:rsid w:val="00066989"/>
    <w:rsid w:val="000D3AFA"/>
    <w:rsid w:val="0010465B"/>
    <w:rsid w:val="00191BA3"/>
    <w:rsid w:val="0022744B"/>
    <w:rsid w:val="00275D4F"/>
    <w:rsid w:val="003D3C95"/>
    <w:rsid w:val="00491FFD"/>
    <w:rsid w:val="004B640F"/>
    <w:rsid w:val="005A6812"/>
    <w:rsid w:val="005B1250"/>
    <w:rsid w:val="005D3A3C"/>
    <w:rsid w:val="005D573F"/>
    <w:rsid w:val="005F6EF4"/>
    <w:rsid w:val="00604E0D"/>
    <w:rsid w:val="00633862"/>
    <w:rsid w:val="00662801"/>
    <w:rsid w:val="006C5BED"/>
    <w:rsid w:val="006D15EF"/>
    <w:rsid w:val="00702D4A"/>
    <w:rsid w:val="007115C8"/>
    <w:rsid w:val="00751DC9"/>
    <w:rsid w:val="00867FFD"/>
    <w:rsid w:val="00887596"/>
    <w:rsid w:val="00893649"/>
    <w:rsid w:val="008B460D"/>
    <w:rsid w:val="00966F4C"/>
    <w:rsid w:val="00975E13"/>
    <w:rsid w:val="0097614B"/>
    <w:rsid w:val="009E77F2"/>
    <w:rsid w:val="00A22C72"/>
    <w:rsid w:val="00A81DA9"/>
    <w:rsid w:val="00AA5126"/>
    <w:rsid w:val="00AD16CD"/>
    <w:rsid w:val="00B20A50"/>
    <w:rsid w:val="00B300D1"/>
    <w:rsid w:val="00BB1D7A"/>
    <w:rsid w:val="00BD7AAE"/>
    <w:rsid w:val="00BF0289"/>
    <w:rsid w:val="00C448CD"/>
    <w:rsid w:val="00C956B6"/>
    <w:rsid w:val="00CD2F35"/>
    <w:rsid w:val="00D232D7"/>
    <w:rsid w:val="00D5628B"/>
    <w:rsid w:val="00D63E40"/>
    <w:rsid w:val="00DA3E74"/>
    <w:rsid w:val="00DB1085"/>
    <w:rsid w:val="00EA14FA"/>
    <w:rsid w:val="00F40BCE"/>
    <w:rsid w:val="00F84215"/>
    <w:rsid w:val="00FF1F92"/>
    <w:rsid w:val="010E0C0C"/>
    <w:rsid w:val="011B366C"/>
    <w:rsid w:val="01225F6B"/>
    <w:rsid w:val="016D0077"/>
    <w:rsid w:val="01E5327C"/>
    <w:rsid w:val="020236B3"/>
    <w:rsid w:val="023512AC"/>
    <w:rsid w:val="02355837"/>
    <w:rsid w:val="02610413"/>
    <w:rsid w:val="027F085E"/>
    <w:rsid w:val="02D74B40"/>
    <w:rsid w:val="02F163A2"/>
    <w:rsid w:val="02FE786C"/>
    <w:rsid w:val="03341650"/>
    <w:rsid w:val="036F2FCB"/>
    <w:rsid w:val="03B2599D"/>
    <w:rsid w:val="03BB1A11"/>
    <w:rsid w:val="043C5F8E"/>
    <w:rsid w:val="049941F3"/>
    <w:rsid w:val="04A60F90"/>
    <w:rsid w:val="04D2103C"/>
    <w:rsid w:val="04D550AF"/>
    <w:rsid w:val="05DC522D"/>
    <w:rsid w:val="06256FA3"/>
    <w:rsid w:val="064D5002"/>
    <w:rsid w:val="068029BD"/>
    <w:rsid w:val="06B83B39"/>
    <w:rsid w:val="06DE29E2"/>
    <w:rsid w:val="071E5FE2"/>
    <w:rsid w:val="074E71A4"/>
    <w:rsid w:val="07702E6D"/>
    <w:rsid w:val="0779740F"/>
    <w:rsid w:val="07945B87"/>
    <w:rsid w:val="07A86AAB"/>
    <w:rsid w:val="07C65825"/>
    <w:rsid w:val="08AF444E"/>
    <w:rsid w:val="09067414"/>
    <w:rsid w:val="09170A81"/>
    <w:rsid w:val="0922463B"/>
    <w:rsid w:val="09A2275D"/>
    <w:rsid w:val="0A582710"/>
    <w:rsid w:val="0AC27E84"/>
    <w:rsid w:val="0AE15667"/>
    <w:rsid w:val="0AEF18D0"/>
    <w:rsid w:val="0B0F5B25"/>
    <w:rsid w:val="0BB9314C"/>
    <w:rsid w:val="0BC824B0"/>
    <w:rsid w:val="0BCF77BA"/>
    <w:rsid w:val="0BD256C9"/>
    <w:rsid w:val="0C301961"/>
    <w:rsid w:val="0C6D20DD"/>
    <w:rsid w:val="0C801D94"/>
    <w:rsid w:val="0CB90E5F"/>
    <w:rsid w:val="0CC0267A"/>
    <w:rsid w:val="0D0A17F5"/>
    <w:rsid w:val="0D1B3C8D"/>
    <w:rsid w:val="0D3F0613"/>
    <w:rsid w:val="0D617282"/>
    <w:rsid w:val="0E3B6E5D"/>
    <w:rsid w:val="0EBC1D9F"/>
    <w:rsid w:val="0F1B4A58"/>
    <w:rsid w:val="0F59448E"/>
    <w:rsid w:val="0F661726"/>
    <w:rsid w:val="0F772EC6"/>
    <w:rsid w:val="0F877334"/>
    <w:rsid w:val="10182B28"/>
    <w:rsid w:val="102472C0"/>
    <w:rsid w:val="109160DD"/>
    <w:rsid w:val="10947BCD"/>
    <w:rsid w:val="114B3E5E"/>
    <w:rsid w:val="115E3FEE"/>
    <w:rsid w:val="116B384E"/>
    <w:rsid w:val="11B93DAB"/>
    <w:rsid w:val="11DD16C8"/>
    <w:rsid w:val="12153B81"/>
    <w:rsid w:val="12437483"/>
    <w:rsid w:val="127D75E5"/>
    <w:rsid w:val="130A20A3"/>
    <w:rsid w:val="13352CE1"/>
    <w:rsid w:val="13B21D7C"/>
    <w:rsid w:val="13CE0476"/>
    <w:rsid w:val="13E07D60"/>
    <w:rsid w:val="14B22A7F"/>
    <w:rsid w:val="150177FB"/>
    <w:rsid w:val="152369A3"/>
    <w:rsid w:val="155362A8"/>
    <w:rsid w:val="15875F52"/>
    <w:rsid w:val="15B73666"/>
    <w:rsid w:val="15C42D02"/>
    <w:rsid w:val="16334495"/>
    <w:rsid w:val="167304E2"/>
    <w:rsid w:val="168A2EA6"/>
    <w:rsid w:val="16D31800"/>
    <w:rsid w:val="17094B03"/>
    <w:rsid w:val="17D5194F"/>
    <w:rsid w:val="18044A8D"/>
    <w:rsid w:val="180A4FDB"/>
    <w:rsid w:val="1840056E"/>
    <w:rsid w:val="18790C37"/>
    <w:rsid w:val="192177D8"/>
    <w:rsid w:val="193E1C7A"/>
    <w:rsid w:val="196A001E"/>
    <w:rsid w:val="198331C0"/>
    <w:rsid w:val="19C92FDD"/>
    <w:rsid w:val="19DB061A"/>
    <w:rsid w:val="19DB458E"/>
    <w:rsid w:val="19E576EB"/>
    <w:rsid w:val="19FF664E"/>
    <w:rsid w:val="1A037BA3"/>
    <w:rsid w:val="1A091F78"/>
    <w:rsid w:val="1A5C2326"/>
    <w:rsid w:val="1A6D6D72"/>
    <w:rsid w:val="1AA8787F"/>
    <w:rsid w:val="1AC629FA"/>
    <w:rsid w:val="1AEB4D61"/>
    <w:rsid w:val="1AF91F50"/>
    <w:rsid w:val="1B3A2E2D"/>
    <w:rsid w:val="1B865BD7"/>
    <w:rsid w:val="1BCD420A"/>
    <w:rsid w:val="1C230AC0"/>
    <w:rsid w:val="1C615CEF"/>
    <w:rsid w:val="1C865C5C"/>
    <w:rsid w:val="1CD55FDE"/>
    <w:rsid w:val="1CDA72AF"/>
    <w:rsid w:val="1D484C98"/>
    <w:rsid w:val="1D54432D"/>
    <w:rsid w:val="1D632B53"/>
    <w:rsid w:val="1D7602A9"/>
    <w:rsid w:val="1DC83D3D"/>
    <w:rsid w:val="1DE43DC3"/>
    <w:rsid w:val="1E1E766F"/>
    <w:rsid w:val="1EAE0073"/>
    <w:rsid w:val="1EF90308"/>
    <w:rsid w:val="1F0566C7"/>
    <w:rsid w:val="1F195A2C"/>
    <w:rsid w:val="1F7774AB"/>
    <w:rsid w:val="1FF53A74"/>
    <w:rsid w:val="1FF765BE"/>
    <w:rsid w:val="205102FB"/>
    <w:rsid w:val="20762FC4"/>
    <w:rsid w:val="20BE3578"/>
    <w:rsid w:val="212C60E2"/>
    <w:rsid w:val="21DE15EF"/>
    <w:rsid w:val="22233C11"/>
    <w:rsid w:val="22700415"/>
    <w:rsid w:val="22883201"/>
    <w:rsid w:val="23021A8B"/>
    <w:rsid w:val="23157720"/>
    <w:rsid w:val="2320540D"/>
    <w:rsid w:val="236E0539"/>
    <w:rsid w:val="23C2514A"/>
    <w:rsid w:val="23E6478B"/>
    <w:rsid w:val="2422471A"/>
    <w:rsid w:val="247A75E9"/>
    <w:rsid w:val="24A85EE5"/>
    <w:rsid w:val="24D6667D"/>
    <w:rsid w:val="24DB72C2"/>
    <w:rsid w:val="24F55884"/>
    <w:rsid w:val="25FB6C06"/>
    <w:rsid w:val="26FC46AD"/>
    <w:rsid w:val="27303F23"/>
    <w:rsid w:val="274A3283"/>
    <w:rsid w:val="276460F3"/>
    <w:rsid w:val="27660FAF"/>
    <w:rsid w:val="277166D1"/>
    <w:rsid w:val="277B4318"/>
    <w:rsid w:val="27B7194D"/>
    <w:rsid w:val="27E37B45"/>
    <w:rsid w:val="280600C8"/>
    <w:rsid w:val="28081174"/>
    <w:rsid w:val="280821E0"/>
    <w:rsid w:val="28481571"/>
    <w:rsid w:val="28722F64"/>
    <w:rsid w:val="289B5D70"/>
    <w:rsid w:val="28B43155"/>
    <w:rsid w:val="290A1EBC"/>
    <w:rsid w:val="291C1B29"/>
    <w:rsid w:val="29465F48"/>
    <w:rsid w:val="296B40D0"/>
    <w:rsid w:val="29980ADF"/>
    <w:rsid w:val="29B460DC"/>
    <w:rsid w:val="29D532D8"/>
    <w:rsid w:val="29E74DB9"/>
    <w:rsid w:val="2A0B6FEB"/>
    <w:rsid w:val="2A2A3694"/>
    <w:rsid w:val="2A6B1740"/>
    <w:rsid w:val="2A903960"/>
    <w:rsid w:val="2AB71864"/>
    <w:rsid w:val="2ACD0453"/>
    <w:rsid w:val="2AD30362"/>
    <w:rsid w:val="2B161A0E"/>
    <w:rsid w:val="2B1D67DB"/>
    <w:rsid w:val="2B2D4A4E"/>
    <w:rsid w:val="2B3C73EB"/>
    <w:rsid w:val="2BFA5278"/>
    <w:rsid w:val="2C3F44FD"/>
    <w:rsid w:val="2C7B6DFD"/>
    <w:rsid w:val="2C8903AA"/>
    <w:rsid w:val="2C8E6CA9"/>
    <w:rsid w:val="2CE43832"/>
    <w:rsid w:val="2D107A61"/>
    <w:rsid w:val="2D607001"/>
    <w:rsid w:val="2DAA6B58"/>
    <w:rsid w:val="2E2D5450"/>
    <w:rsid w:val="2E4A4A48"/>
    <w:rsid w:val="2EF75AE1"/>
    <w:rsid w:val="2F1C5505"/>
    <w:rsid w:val="2F3017FB"/>
    <w:rsid w:val="2F8715FA"/>
    <w:rsid w:val="2FB43990"/>
    <w:rsid w:val="2FC040E2"/>
    <w:rsid w:val="30143D58"/>
    <w:rsid w:val="30240D0F"/>
    <w:rsid w:val="308158E7"/>
    <w:rsid w:val="309817B5"/>
    <w:rsid w:val="30A86679"/>
    <w:rsid w:val="30B8337C"/>
    <w:rsid w:val="313E4022"/>
    <w:rsid w:val="31505F30"/>
    <w:rsid w:val="315A1120"/>
    <w:rsid w:val="3177520D"/>
    <w:rsid w:val="31A612EC"/>
    <w:rsid w:val="31C7249B"/>
    <w:rsid w:val="31DB16A7"/>
    <w:rsid w:val="31E74AD6"/>
    <w:rsid w:val="31FB7654"/>
    <w:rsid w:val="32565D7D"/>
    <w:rsid w:val="32E5730D"/>
    <w:rsid w:val="330D7F36"/>
    <w:rsid w:val="330E4DDE"/>
    <w:rsid w:val="331754E6"/>
    <w:rsid w:val="336E47B8"/>
    <w:rsid w:val="337D2302"/>
    <w:rsid w:val="33935522"/>
    <w:rsid w:val="33DE0EF4"/>
    <w:rsid w:val="3416678C"/>
    <w:rsid w:val="34486A39"/>
    <w:rsid w:val="349C68A7"/>
    <w:rsid w:val="34C13400"/>
    <w:rsid w:val="34F32864"/>
    <w:rsid w:val="35386E11"/>
    <w:rsid w:val="35612ABD"/>
    <w:rsid w:val="35C578D4"/>
    <w:rsid w:val="35C6441D"/>
    <w:rsid w:val="36012FE1"/>
    <w:rsid w:val="36052443"/>
    <w:rsid w:val="364C1AD8"/>
    <w:rsid w:val="36C858F6"/>
    <w:rsid w:val="36DF7E92"/>
    <w:rsid w:val="370C2303"/>
    <w:rsid w:val="375B2943"/>
    <w:rsid w:val="37643EED"/>
    <w:rsid w:val="378732B1"/>
    <w:rsid w:val="37EF1A09"/>
    <w:rsid w:val="38086A4E"/>
    <w:rsid w:val="38C32119"/>
    <w:rsid w:val="38EE054F"/>
    <w:rsid w:val="38F117B0"/>
    <w:rsid w:val="39440A0C"/>
    <w:rsid w:val="398443D3"/>
    <w:rsid w:val="39A60AF6"/>
    <w:rsid w:val="39C07F4B"/>
    <w:rsid w:val="3A0F6392"/>
    <w:rsid w:val="3A737516"/>
    <w:rsid w:val="3AA12D62"/>
    <w:rsid w:val="3B154F43"/>
    <w:rsid w:val="3B2319C9"/>
    <w:rsid w:val="3B5D5890"/>
    <w:rsid w:val="3BA6683D"/>
    <w:rsid w:val="3BC431AC"/>
    <w:rsid w:val="3C012639"/>
    <w:rsid w:val="3D06102C"/>
    <w:rsid w:val="3D0E510B"/>
    <w:rsid w:val="3DA52B6A"/>
    <w:rsid w:val="3DDA0BD5"/>
    <w:rsid w:val="3E833FCF"/>
    <w:rsid w:val="3EE3321B"/>
    <w:rsid w:val="3EE93EED"/>
    <w:rsid w:val="3F177A97"/>
    <w:rsid w:val="3FF57BF1"/>
    <w:rsid w:val="4028295C"/>
    <w:rsid w:val="413D3C14"/>
    <w:rsid w:val="41590DEA"/>
    <w:rsid w:val="416C231C"/>
    <w:rsid w:val="41760AA5"/>
    <w:rsid w:val="418D5753"/>
    <w:rsid w:val="41C31810"/>
    <w:rsid w:val="41D659E7"/>
    <w:rsid w:val="41E43129"/>
    <w:rsid w:val="41E719A3"/>
    <w:rsid w:val="42157427"/>
    <w:rsid w:val="42263ACC"/>
    <w:rsid w:val="427930F7"/>
    <w:rsid w:val="42814117"/>
    <w:rsid w:val="428A15BF"/>
    <w:rsid w:val="42A13C1F"/>
    <w:rsid w:val="42BB7663"/>
    <w:rsid w:val="432A3936"/>
    <w:rsid w:val="434765EB"/>
    <w:rsid w:val="43C43532"/>
    <w:rsid w:val="43D95B2E"/>
    <w:rsid w:val="44332E1A"/>
    <w:rsid w:val="44692B43"/>
    <w:rsid w:val="446E0B35"/>
    <w:rsid w:val="446E504D"/>
    <w:rsid w:val="448B2102"/>
    <w:rsid w:val="44BF2CE3"/>
    <w:rsid w:val="44BF6C07"/>
    <w:rsid w:val="452871EB"/>
    <w:rsid w:val="45BF65E3"/>
    <w:rsid w:val="462C7B1B"/>
    <w:rsid w:val="466E4A12"/>
    <w:rsid w:val="46B92717"/>
    <w:rsid w:val="46BF2EEE"/>
    <w:rsid w:val="46E8793F"/>
    <w:rsid w:val="47013FF5"/>
    <w:rsid w:val="47296066"/>
    <w:rsid w:val="472D26D6"/>
    <w:rsid w:val="4760416E"/>
    <w:rsid w:val="478E39F4"/>
    <w:rsid w:val="479B74B7"/>
    <w:rsid w:val="47B50031"/>
    <w:rsid w:val="47EC5F8C"/>
    <w:rsid w:val="484A2C8B"/>
    <w:rsid w:val="48500FEB"/>
    <w:rsid w:val="48FD7DFB"/>
    <w:rsid w:val="49284D7B"/>
    <w:rsid w:val="494707C7"/>
    <w:rsid w:val="49543DC1"/>
    <w:rsid w:val="495A3437"/>
    <w:rsid w:val="4A0F39E7"/>
    <w:rsid w:val="4A555101"/>
    <w:rsid w:val="4AFB588F"/>
    <w:rsid w:val="4B364032"/>
    <w:rsid w:val="4B3B68BB"/>
    <w:rsid w:val="4B443785"/>
    <w:rsid w:val="4B537C75"/>
    <w:rsid w:val="4BD351E5"/>
    <w:rsid w:val="4C241E79"/>
    <w:rsid w:val="4C365A00"/>
    <w:rsid w:val="4C431ECB"/>
    <w:rsid w:val="4CC33C9F"/>
    <w:rsid w:val="4CF03E01"/>
    <w:rsid w:val="4D605FFE"/>
    <w:rsid w:val="4E760D0B"/>
    <w:rsid w:val="4E8F65E3"/>
    <w:rsid w:val="4EB237AC"/>
    <w:rsid w:val="4EC80245"/>
    <w:rsid w:val="4ED65AC3"/>
    <w:rsid w:val="4EE41196"/>
    <w:rsid w:val="4F596A69"/>
    <w:rsid w:val="4FC955DF"/>
    <w:rsid w:val="50063DD3"/>
    <w:rsid w:val="501F44E6"/>
    <w:rsid w:val="503F6393"/>
    <w:rsid w:val="50562D3F"/>
    <w:rsid w:val="505863A4"/>
    <w:rsid w:val="50591CBD"/>
    <w:rsid w:val="50A240F7"/>
    <w:rsid w:val="511428C2"/>
    <w:rsid w:val="51337FC8"/>
    <w:rsid w:val="516037CC"/>
    <w:rsid w:val="51971C1E"/>
    <w:rsid w:val="51AC698D"/>
    <w:rsid w:val="51F27101"/>
    <w:rsid w:val="51FF2E33"/>
    <w:rsid w:val="52071938"/>
    <w:rsid w:val="525877BC"/>
    <w:rsid w:val="5272504D"/>
    <w:rsid w:val="52CA50F4"/>
    <w:rsid w:val="52EE281C"/>
    <w:rsid w:val="53A82F50"/>
    <w:rsid w:val="53DE0695"/>
    <w:rsid w:val="543D24BF"/>
    <w:rsid w:val="547016A4"/>
    <w:rsid w:val="548754B8"/>
    <w:rsid w:val="54CA318A"/>
    <w:rsid w:val="55517AB0"/>
    <w:rsid w:val="55E21FC7"/>
    <w:rsid w:val="55FA5F9C"/>
    <w:rsid w:val="56153315"/>
    <w:rsid w:val="57192BB8"/>
    <w:rsid w:val="5734671F"/>
    <w:rsid w:val="57423EBA"/>
    <w:rsid w:val="57813298"/>
    <w:rsid w:val="57BB500C"/>
    <w:rsid w:val="57F944E3"/>
    <w:rsid w:val="586D44A2"/>
    <w:rsid w:val="58753EBA"/>
    <w:rsid w:val="58F55EA9"/>
    <w:rsid w:val="58FC3B2E"/>
    <w:rsid w:val="59063548"/>
    <w:rsid w:val="59500BCA"/>
    <w:rsid w:val="598C1076"/>
    <w:rsid w:val="5A6776CD"/>
    <w:rsid w:val="5ADD1E8F"/>
    <w:rsid w:val="5AE6303A"/>
    <w:rsid w:val="5AE709EC"/>
    <w:rsid w:val="5B155A7C"/>
    <w:rsid w:val="5B442B97"/>
    <w:rsid w:val="5B977B3E"/>
    <w:rsid w:val="5BBA00FB"/>
    <w:rsid w:val="5C234E39"/>
    <w:rsid w:val="5C5B0B6B"/>
    <w:rsid w:val="5C836B56"/>
    <w:rsid w:val="5CA54B0C"/>
    <w:rsid w:val="5CB643E4"/>
    <w:rsid w:val="5CBB2533"/>
    <w:rsid w:val="5D0A4531"/>
    <w:rsid w:val="5D1C5A4F"/>
    <w:rsid w:val="5D8D11F8"/>
    <w:rsid w:val="5D951FBD"/>
    <w:rsid w:val="5E1C667C"/>
    <w:rsid w:val="5E2D5305"/>
    <w:rsid w:val="5E7C0689"/>
    <w:rsid w:val="5EAC2CE3"/>
    <w:rsid w:val="5EE31B38"/>
    <w:rsid w:val="5EF14839"/>
    <w:rsid w:val="5F1D65AC"/>
    <w:rsid w:val="5F230066"/>
    <w:rsid w:val="5F451BDC"/>
    <w:rsid w:val="5F814D8D"/>
    <w:rsid w:val="5FA47678"/>
    <w:rsid w:val="5FCD40DD"/>
    <w:rsid w:val="5FE455B0"/>
    <w:rsid w:val="60504E56"/>
    <w:rsid w:val="60535261"/>
    <w:rsid w:val="60D57983"/>
    <w:rsid w:val="624A314E"/>
    <w:rsid w:val="62715FB9"/>
    <w:rsid w:val="627A5057"/>
    <w:rsid w:val="62A033DD"/>
    <w:rsid w:val="62B113CD"/>
    <w:rsid w:val="62D376AD"/>
    <w:rsid w:val="63002758"/>
    <w:rsid w:val="632708C9"/>
    <w:rsid w:val="632B5951"/>
    <w:rsid w:val="63497970"/>
    <w:rsid w:val="63886101"/>
    <w:rsid w:val="63CF6AC6"/>
    <w:rsid w:val="63E072F9"/>
    <w:rsid w:val="63E738F2"/>
    <w:rsid w:val="64490695"/>
    <w:rsid w:val="648B2856"/>
    <w:rsid w:val="64AC4960"/>
    <w:rsid w:val="64AD2180"/>
    <w:rsid w:val="64EE7287"/>
    <w:rsid w:val="64EF2F28"/>
    <w:rsid w:val="64F46001"/>
    <w:rsid w:val="65031149"/>
    <w:rsid w:val="650520CD"/>
    <w:rsid w:val="658E5B0E"/>
    <w:rsid w:val="65B87468"/>
    <w:rsid w:val="65D86017"/>
    <w:rsid w:val="65DE7193"/>
    <w:rsid w:val="65E6594A"/>
    <w:rsid w:val="660E1EAC"/>
    <w:rsid w:val="661600DA"/>
    <w:rsid w:val="666E6B55"/>
    <w:rsid w:val="66B50673"/>
    <w:rsid w:val="66DF5346"/>
    <w:rsid w:val="66E14AAB"/>
    <w:rsid w:val="66EE5940"/>
    <w:rsid w:val="671A4D87"/>
    <w:rsid w:val="671D3EB0"/>
    <w:rsid w:val="6736630B"/>
    <w:rsid w:val="6764121C"/>
    <w:rsid w:val="67D43241"/>
    <w:rsid w:val="67EE0E11"/>
    <w:rsid w:val="67F4257A"/>
    <w:rsid w:val="685E30C9"/>
    <w:rsid w:val="68A86A54"/>
    <w:rsid w:val="68CD337D"/>
    <w:rsid w:val="68DF3109"/>
    <w:rsid w:val="690D27A3"/>
    <w:rsid w:val="693F2885"/>
    <w:rsid w:val="695113D8"/>
    <w:rsid w:val="699F5DE9"/>
    <w:rsid w:val="69FB4684"/>
    <w:rsid w:val="6A9776F8"/>
    <w:rsid w:val="6AAF0A00"/>
    <w:rsid w:val="6ACE7B92"/>
    <w:rsid w:val="6AD97B93"/>
    <w:rsid w:val="6AEF34F2"/>
    <w:rsid w:val="6B234F4A"/>
    <w:rsid w:val="6B7F6C24"/>
    <w:rsid w:val="6BC166A7"/>
    <w:rsid w:val="6BD373D3"/>
    <w:rsid w:val="6BFC6B2F"/>
    <w:rsid w:val="6C5F0204"/>
    <w:rsid w:val="6C69186D"/>
    <w:rsid w:val="6C7D443F"/>
    <w:rsid w:val="6C8851EE"/>
    <w:rsid w:val="6CCF1622"/>
    <w:rsid w:val="6CD13207"/>
    <w:rsid w:val="6CDE5498"/>
    <w:rsid w:val="6CE7035E"/>
    <w:rsid w:val="6D6E7D76"/>
    <w:rsid w:val="6D760823"/>
    <w:rsid w:val="6DB1246A"/>
    <w:rsid w:val="6E0E0133"/>
    <w:rsid w:val="6E3E3321"/>
    <w:rsid w:val="6E4B1FDB"/>
    <w:rsid w:val="6E567743"/>
    <w:rsid w:val="6EAE5472"/>
    <w:rsid w:val="6EE43E6C"/>
    <w:rsid w:val="6EFD795B"/>
    <w:rsid w:val="6F6F7C9A"/>
    <w:rsid w:val="702F5608"/>
    <w:rsid w:val="708F2CC4"/>
    <w:rsid w:val="709444F0"/>
    <w:rsid w:val="70FB3F99"/>
    <w:rsid w:val="71182116"/>
    <w:rsid w:val="71205936"/>
    <w:rsid w:val="71477CCB"/>
    <w:rsid w:val="715A4C86"/>
    <w:rsid w:val="7178018F"/>
    <w:rsid w:val="717B27B0"/>
    <w:rsid w:val="71BA40BB"/>
    <w:rsid w:val="71CD052F"/>
    <w:rsid w:val="72195CC6"/>
    <w:rsid w:val="72716B89"/>
    <w:rsid w:val="72F561B0"/>
    <w:rsid w:val="731D5BEB"/>
    <w:rsid w:val="73740A39"/>
    <w:rsid w:val="738A0F3B"/>
    <w:rsid w:val="73A252E1"/>
    <w:rsid w:val="73BA4DD1"/>
    <w:rsid w:val="74173885"/>
    <w:rsid w:val="741B5358"/>
    <w:rsid w:val="742B746E"/>
    <w:rsid w:val="7449094E"/>
    <w:rsid w:val="74570DEB"/>
    <w:rsid w:val="74736F42"/>
    <w:rsid w:val="74A40EEA"/>
    <w:rsid w:val="74CA7F29"/>
    <w:rsid w:val="752B1D3E"/>
    <w:rsid w:val="7548217D"/>
    <w:rsid w:val="75596138"/>
    <w:rsid w:val="75913D16"/>
    <w:rsid w:val="75B00123"/>
    <w:rsid w:val="75BA4AA3"/>
    <w:rsid w:val="760268A8"/>
    <w:rsid w:val="763C0048"/>
    <w:rsid w:val="77135965"/>
    <w:rsid w:val="77262B54"/>
    <w:rsid w:val="772D4414"/>
    <w:rsid w:val="773A5C43"/>
    <w:rsid w:val="77477CC6"/>
    <w:rsid w:val="774E77F3"/>
    <w:rsid w:val="775947BB"/>
    <w:rsid w:val="77902BB7"/>
    <w:rsid w:val="77AD276B"/>
    <w:rsid w:val="77B87094"/>
    <w:rsid w:val="77C96E08"/>
    <w:rsid w:val="78917997"/>
    <w:rsid w:val="794C6CDD"/>
    <w:rsid w:val="79500F4C"/>
    <w:rsid w:val="796F1DC8"/>
    <w:rsid w:val="7973201A"/>
    <w:rsid w:val="7986195D"/>
    <w:rsid w:val="79874F03"/>
    <w:rsid w:val="79944586"/>
    <w:rsid w:val="79E005EE"/>
    <w:rsid w:val="7A044DC4"/>
    <w:rsid w:val="7A2B5BC9"/>
    <w:rsid w:val="7A865511"/>
    <w:rsid w:val="7AA20E97"/>
    <w:rsid w:val="7AAA4D40"/>
    <w:rsid w:val="7ABC4A73"/>
    <w:rsid w:val="7AC10876"/>
    <w:rsid w:val="7B2F16E9"/>
    <w:rsid w:val="7B334ED0"/>
    <w:rsid w:val="7B712AAC"/>
    <w:rsid w:val="7B8B6C3F"/>
    <w:rsid w:val="7B9177DF"/>
    <w:rsid w:val="7BC56ADF"/>
    <w:rsid w:val="7BF87BA6"/>
    <w:rsid w:val="7C4B6886"/>
    <w:rsid w:val="7C71236F"/>
    <w:rsid w:val="7C7B25BC"/>
    <w:rsid w:val="7C8D2B6B"/>
    <w:rsid w:val="7D3B45C9"/>
    <w:rsid w:val="7D3D5E43"/>
    <w:rsid w:val="7D55069E"/>
    <w:rsid w:val="7D670C49"/>
    <w:rsid w:val="7D711B45"/>
    <w:rsid w:val="7DF24E2F"/>
    <w:rsid w:val="7E3B242A"/>
    <w:rsid w:val="7E472E89"/>
    <w:rsid w:val="7E5F5E41"/>
    <w:rsid w:val="7E78432D"/>
    <w:rsid w:val="7E8E02D3"/>
    <w:rsid w:val="7EA902C5"/>
    <w:rsid w:val="7EAA3560"/>
    <w:rsid w:val="7ECF553C"/>
    <w:rsid w:val="7EF10E29"/>
    <w:rsid w:val="7F17496E"/>
    <w:rsid w:val="7F4F4D6C"/>
    <w:rsid w:val="7F9C4E17"/>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3"/>
    <w:unhideWhenUsed/>
    <w:qFormat/>
    <w:uiPriority w:val="0"/>
    <w:pPr>
      <w:spacing w:line="365" w:lineRule="atLeast"/>
      <w:ind w:left="1"/>
      <w:textAlignment w:val="bottom"/>
      <w:outlineLvl w:val="2"/>
    </w:pPr>
    <w:rPr>
      <w:rFonts w:eastAsia="黑体"/>
      <w:kern w:val="0"/>
      <w:szCs w:val="21"/>
    </w:rPr>
  </w:style>
  <w:style w:type="character" w:default="1" w:styleId="11">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table of authorities"/>
    <w:basedOn w:val="1"/>
    <w:next w:val="1"/>
    <w:qFormat/>
    <w:uiPriority w:val="0"/>
    <w:pPr>
      <w:ind w:left="200" w:leftChars="200"/>
    </w:pPr>
  </w:style>
  <w:style w:type="paragraph" w:styleId="4">
    <w:name w:val="annotation subject"/>
    <w:basedOn w:val="5"/>
    <w:next w:val="5"/>
    <w:link w:val="20"/>
    <w:semiHidden/>
    <w:unhideWhenUsed/>
    <w:qFormat/>
    <w:uiPriority w:val="99"/>
    <w:rPr>
      <w:rFonts w:asciiTheme="minorHAnsi" w:hAnsiTheme="minorHAnsi" w:eastAsiaTheme="minorEastAsia" w:cstheme="minorBidi"/>
      <w:b/>
      <w:bCs/>
    </w:rPr>
  </w:style>
  <w:style w:type="paragraph" w:styleId="5">
    <w:name w:val="annotation text"/>
    <w:basedOn w:val="1"/>
    <w:link w:val="18"/>
    <w:semiHidden/>
    <w:unhideWhenUsed/>
    <w:qFormat/>
    <w:uiPriority w:val="99"/>
    <w:pPr>
      <w:jc w:val="left"/>
    </w:pPr>
    <w:rPr>
      <w:rFonts w:ascii="Calibri" w:hAnsi="Calibri" w:eastAsia="宋体" w:cs="Arial"/>
    </w:rPr>
  </w:style>
  <w:style w:type="paragraph" w:styleId="6">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7">
    <w:name w:val="Balloon Text"/>
    <w:basedOn w:val="1"/>
    <w:link w:val="19"/>
    <w:semiHidden/>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next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bCs/>
    </w:rPr>
  </w:style>
  <w:style w:type="character" w:styleId="13">
    <w:name w:val="annotation reference"/>
    <w:basedOn w:val="11"/>
    <w:semiHidden/>
    <w:unhideWhenUsed/>
    <w:qFormat/>
    <w:uiPriority w:val="99"/>
    <w:rPr>
      <w:sz w:val="21"/>
      <w:szCs w:val="21"/>
    </w:rPr>
  </w:style>
  <w:style w:type="character" w:customStyle="1" w:styleId="15">
    <w:name w:val="页眉 Char"/>
    <w:basedOn w:val="11"/>
    <w:link w:val="9"/>
    <w:qFormat/>
    <w:uiPriority w:val="99"/>
    <w:rPr>
      <w:sz w:val="18"/>
      <w:szCs w:val="18"/>
    </w:rPr>
  </w:style>
  <w:style w:type="character" w:customStyle="1" w:styleId="16">
    <w:name w:val="页脚 Char"/>
    <w:basedOn w:val="11"/>
    <w:link w:val="8"/>
    <w:qFormat/>
    <w:uiPriority w:val="99"/>
    <w:rPr>
      <w:sz w:val="18"/>
      <w:szCs w:val="18"/>
    </w:rPr>
  </w:style>
  <w:style w:type="paragraph" w:styleId="17">
    <w:name w:val="List Paragraph"/>
    <w:basedOn w:val="1"/>
    <w:unhideWhenUsed/>
    <w:qFormat/>
    <w:uiPriority w:val="99"/>
    <w:pPr>
      <w:ind w:firstLine="420" w:firstLineChars="200"/>
    </w:pPr>
  </w:style>
  <w:style w:type="character" w:customStyle="1" w:styleId="18">
    <w:name w:val="批注文字 Char"/>
    <w:basedOn w:val="11"/>
    <w:link w:val="5"/>
    <w:semiHidden/>
    <w:qFormat/>
    <w:uiPriority w:val="99"/>
    <w:rPr>
      <w:rFonts w:ascii="Calibri" w:hAnsi="Calibri" w:cs="Arial"/>
      <w:kern w:val="2"/>
      <w:sz w:val="21"/>
      <w:szCs w:val="24"/>
    </w:rPr>
  </w:style>
  <w:style w:type="character" w:customStyle="1" w:styleId="19">
    <w:name w:val="批注框文本 Char"/>
    <w:basedOn w:val="11"/>
    <w:link w:val="7"/>
    <w:semiHidden/>
    <w:qFormat/>
    <w:uiPriority w:val="99"/>
    <w:rPr>
      <w:rFonts w:asciiTheme="minorHAnsi" w:hAnsiTheme="minorHAnsi" w:eastAsiaTheme="minorEastAsia" w:cstheme="minorBidi"/>
      <w:kern w:val="2"/>
      <w:sz w:val="18"/>
      <w:szCs w:val="18"/>
    </w:rPr>
  </w:style>
  <w:style w:type="character" w:customStyle="1" w:styleId="20">
    <w:name w:val="批注主题 Char"/>
    <w:basedOn w:val="18"/>
    <w:link w:val="4"/>
    <w:semiHidden/>
    <w:qFormat/>
    <w:uiPriority w:val="99"/>
    <w:rPr>
      <w:rFonts w:asciiTheme="minorHAnsi" w:hAnsiTheme="minorHAnsi" w:eastAsiaTheme="minorEastAsia" w:cstheme="minorBidi"/>
      <w:b/>
      <w:bCs/>
      <w:kern w:val="2"/>
      <w:sz w:val="21"/>
      <w:szCs w:val="24"/>
    </w:rPr>
  </w:style>
  <w:style w:type="character" w:customStyle="1" w:styleId="21">
    <w:name w:val="font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28</Pages>
  <Words>14131</Words>
  <Characters>15692</Characters>
  <Lines>29</Lines>
  <Paragraphs>8</Paragraphs>
  <TotalTime>22</TotalTime>
  <ScaleCrop>false</ScaleCrop>
  <LinksUpToDate>false</LinksUpToDate>
  <CharactersWithSpaces>15704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2024-02-26T09:59:00Z</cp:lastPrinted>
  <dcterms:modified xsi:type="dcterms:W3CDTF">2025-09-06T03:54:20Z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DA62D574BE034C57B3295D63591568C7_13</vt:lpwstr>
  </property>
  <property fmtid="{D5CDD505-2E9C-101B-9397-08002B2CF9AE}" pid="4" name="KSOTemplateDocerSaveRecord">
    <vt:lpwstr>eyJoZGlkIjoiZTZmMzUwZGFlYzVlOTE3ZTA4ZjgxYzMyMzhkNzZkYWYiLCJ1c2VySWQiOiI0NjkxMjk0MjQifQ==</vt:lpwstr>
  </property>
</Properties>
</file>