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麦盖提县第三次全国土壤普查项目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麦盖提县农技中心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麦盖提县农技中心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李志远</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2025年02月17日</w:t>
      </w:r>
    </w:p>
    <w:p>
      <w:pPr>
        <w:rPr>
          <w:rStyle w:val="17"/>
          <w:rFonts w:hint="eastAsia" w:ascii="仿宋" w:hAnsi="仿宋" w:eastAsia="仿宋" w:cs="仿宋"/>
          <w:b w:val="0"/>
          <w:bCs w:val="0"/>
          <w:spacing w:val="-4"/>
          <w:sz w:val="32"/>
          <w:szCs w:val="32"/>
        </w:rPr>
      </w:pPr>
      <w: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第三次全国土壤普查工作是一项重要的国情国力调查，是必须高质量完成的政治任务；麦盖提县开展的全国第二次土壤普查已过去了40多年，其调查的数据资料对全县国民经济发展规划，农业结构性调整发挥了巨大的经济社会效益，为全县经济社会发展作出了积极贡献；由于40多年来全县耕作制度、种植模式，复种指数、培肥方式、产量指标、土壤生态等方面发生了很大的变化，原有的普查成果已不能全面反映当前耕地土壤质量实际情况；开展第三次全国土壤普查是从战略和全局的高度，确保到2025年实现对全县耕地“全面体检”，摸清耕地质量家底，为保障粮食安全、守住耕地红线、保护生态环境、优化农业生产布局、推进全县农业高质量发展奠定坚实基础。</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建设主要服务于当地农业生产的发展。农业发展要坚持稳粮、优棉、强果、兴畜、促特色，突出绿色化、优质化、特色化、品牌化，推动农业供给侧结构性改革。发挥麦盖提县区域优势，合理利用土壤资源，提高水土光热等资源利用率，因地制宜多业发展，推进全县农林牧业生产布局优化和落实落地，推动实现既保粮食和重要农产品有效供给、又保食物多样，促进乡村产业兴旺和农民增收致富，离不开土壤普查数据支撑和保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麦盖提县农业技术推广中心为独立核算机构，属一级预算单位。根据编委核定，内设股室3个,其中：植保站、栽培站、土肥站。</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麦盖提县农业技术推广中心核定事业编制20名，其中：事业单位管理岗6名，事业单位专业技术岗13，机关工勤事业编制1名。实有人员20人。</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按照《关于下达2024年中央耕地建设与利用资金预算的通知》（喀地财农[2024]10号）通知要求，拨付2024年中央耕地建设与利用预算资金60万元；按照《关于拨付2024年土地指标跨省域调剂收入安排的支出预算的通知》（麦财综字[2024]37号）通知要求，拨付2024年土地指标跨省域调剂收入安排的支出预算资金377.399万元，合计第三次全国土壤普查项目资金437.399万元。</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截至2024年12月31日，实际支出435.7382万元，预算执行率99.62%。</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全面查明全县土壤类型及分布规律、土壤资源现状及变化趋势,真实准确掌握土壤资源质量、性状和利用状况等基础数据，为土壤科学分类、规划利用、改良焙肥、保护管理等提供科学支撑，为麦盖提县制定经济社会发展和生态建设等重大政策提供决策依据。项目建设对耕地保护及支撑“藏粮于地”战略实施、促进农产品质量安全、推进农业高质量发展、夯实粮食安全基础、促进乡村振兴、推进生态文明建设、实现“碳中和”目标具有重要意义。</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(一)启动工作。成立麦盖提县第三次全国土壤普查领导小组；2022年7月底前，组织编制《麦盖提县第三次全国土壤普查工作实施方案》，适时召开领导小组会议暨全县土壤普查动员</w:t>
      </w:r>
      <w:r>
        <w:rPr>
          <w:rStyle w:val="17"/>
          <w:rFonts w:hint="eastAsia" w:ascii="仿宋" w:hAnsi="仿宋" w:eastAsia="仿宋" w:cs="仿宋"/>
          <w:b w:val="0"/>
          <w:bCs w:val="0"/>
          <w:spacing w:val="-4"/>
          <w:sz w:val="32"/>
          <w:szCs w:val="32"/>
          <w:lang w:eastAsia="zh-CN"/>
        </w:rPr>
        <w:t>部署</w:t>
      </w:r>
      <w:r>
        <w:rPr>
          <w:rStyle w:val="17"/>
          <w:rFonts w:hint="eastAsia" w:ascii="仿宋" w:hAnsi="仿宋" w:eastAsia="仿宋" w:cs="仿宋"/>
          <w:b w:val="0"/>
          <w:bCs w:val="0"/>
          <w:spacing w:val="-4"/>
          <w:sz w:val="32"/>
          <w:szCs w:val="32"/>
        </w:rPr>
        <w:t>会议，安排部署有关工作。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(二)资料准备。按照国务院第三次全国土壤普查领导小组办公室要求，及时收集整理全县土壤二普、国土三调(更新数据)、农用地土壤污染状况详查、耕地质量调查评价、森林资源清查等成果资料；收集</w:t>
      </w:r>
      <w:bookmarkStart w:id="0" w:name="_GoBack"/>
      <w:bookmarkEnd w:id="0"/>
      <w:r>
        <w:rPr>
          <w:rStyle w:val="17"/>
          <w:rFonts w:hint="eastAsia" w:ascii="仿宋" w:hAnsi="仿宋" w:eastAsia="仿宋" w:cs="仿宋"/>
          <w:b w:val="0"/>
          <w:bCs w:val="0"/>
          <w:spacing w:val="-4"/>
          <w:sz w:val="32"/>
          <w:szCs w:val="32"/>
          <w:lang w:eastAsia="zh-CN"/>
        </w:rPr>
        <w:t>气候</w:t>
      </w:r>
      <w:r>
        <w:rPr>
          <w:rStyle w:val="17"/>
          <w:rFonts w:hint="eastAsia" w:ascii="仿宋" w:hAnsi="仿宋" w:eastAsia="仿宋" w:cs="仿宋"/>
          <w:b w:val="0"/>
          <w:bCs w:val="0"/>
          <w:spacing w:val="-4"/>
          <w:sz w:val="32"/>
          <w:szCs w:val="32"/>
        </w:rPr>
        <w:t>区划图、植被类型图(或归一化植被指数图)、农用地整理复垦规划或现状图、国土空间规划图等资料；收集气温、降水、水文地质等自然成土环境资料；收集2019年以来全县农田基本建设情况、土地利用现状与历史情况(包括耕地、园地、林地、草地面积，主要作物类型与耕作制度等)、农业生产水平情况(包括历年产量变化、障碍因素种类与影响、复种、施肥水平、自然灾害类型与影响、灌溉水平等)等农业生产资料。</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(三)技术准备。2022年6-7月，根据国务院第三次全国土壤普查领导小组办公室统一</w:t>
      </w:r>
      <w:r>
        <w:rPr>
          <w:rStyle w:val="17"/>
          <w:rFonts w:hint="eastAsia" w:ascii="仿宋" w:hAnsi="仿宋" w:eastAsia="仿宋" w:cs="仿宋"/>
          <w:b w:val="0"/>
          <w:bCs w:val="0"/>
          <w:spacing w:val="-4"/>
          <w:sz w:val="32"/>
          <w:szCs w:val="32"/>
          <w:lang w:eastAsia="zh-CN"/>
        </w:rPr>
        <w:t>部署</w:t>
      </w:r>
      <w:r>
        <w:rPr>
          <w:rStyle w:val="17"/>
          <w:rFonts w:hint="eastAsia" w:ascii="仿宋" w:hAnsi="仿宋" w:eastAsia="仿宋" w:cs="仿宋"/>
          <w:b w:val="0"/>
          <w:bCs w:val="0"/>
          <w:spacing w:val="-4"/>
          <w:sz w:val="32"/>
          <w:szCs w:val="32"/>
        </w:rPr>
        <w:t>开展培训，按照自治区第三次全国土壤普查领导小组办公室要求，自治区第三次全国土壤普查专家咨询组和专家技术指导组开展指导培训，培训内容主要以普查内容、技术规程、内外业操作、外业调查实操等业务培训。</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四)队伍准备。2022年6-7月，分级组建外业调查采样、土壤样品制备与检测化验、数据分析与成果汇总队伍。优先选择参与过土壤普查、土地质量调查、耕地质量调查等相关工作的专业队伍，普查期内普查人员及队伍原则上不作更换调整，以确保普查质量。</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(五)物资准备。2022年8月，自治区负责采购外业调查部分必备采样移动终端、电导率速测仪器等采样工具和数据中心建设所需软件、设备等。麦盖提县负责采购和准备土壤采集工具、辅助材料和生活保障类物资。</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六)布设样点校核。按照国务院第三次全国土壤普查领导小组办公室印发的《外业调查与采样技术规范》要求开展样点校核工作。县农业农村局会同自然资源、林草、生态环境等部门依据土壤二普和最新国土变更调查成果，借助遥感影像技术，采取室内作业与外业勘察相结合的方式，从样点土地利用代表性和距离村庄、道路、河流等远近及交通通达情况等方面进行校核，确定县域内样点。预布设样点原则上只增不减(建筑等占用除外)，如有重大调整，须将调整原由、调整方案报自治区领导小组办公室审核后，提请国务院第三次全国土壤普查领导小组办公室审批。2022年12月底前，完成全县所有样点校核工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七)外业调查采样。严格按照国务院第三次全国土壤普查领导小组办公室印发的《外业调查与采样技术规范》有关要求开展外业调查采样工作，并通过定制手持移动终端填报外业调查信息。2022年10月底前，完成全县盐碱地、典型区域盐碱耕地样点调查采样工作；2024年6月底前，完成全县普查样点调查采样工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八)内业检测化验。严格按照国务院第三次土壤普查领导小组办公室印发的《土壤样品制备、保存、流转和检测技术规范》《土壤普查全程质量控制技术规范》要求，委托具有资质的检测实验室开展样品制备、内业检测化验等工作。自治区质量控制实验室负责全县样品转码及密码平行样和质控样添加和分发工作，并按照“边采边送、边制边检”方式和样品总量的5%抽检完成样品检测化验工作。2022年11月底前，完成全县盐碱地样品检测化验；2024 年8月底,完成全县土壤普查样品检测化验。</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(九)数据汇总。2022年12月底前，完成全县盐碱地数据分析、分类分级制图、数据库建设等工作。2025 年6月底前，完成全县普查数据审核、汇总。</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质量校核。自治区专家技术指导组负责全县样品采集、数据审核等环节质量控制工作，按照样品总量的5%进行抽查；质量控制实验室负责全县样品制备、保存、流转、检测等环节质量控制。自治区领导小组办公室加强全程质量管控，采用“电子围栏”航迹管理、样点样品编码溯源、密码平行样和标准样添加、飞行检查等手段对野外调查、样品 流转、样品分析等进行检查与校核，确保数据完整、规范、准确。</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(十一)成果汇总。2022年12月底前，完成全县盐碱地成果汇总；2025 年9月底前，完成全县普查成果汇总。</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十二)总结阶段。2022年12月，总结全县盐碱地普查工作，健全土壤三普工作机制，完善土壤三普技术路战和规程规范，形成可复制、可推广的普查示范模式，为全县土壤三普提供借鉴。2025年底,完成全县土壤三普工作总结与验收。</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麦盖提县第三次全国土壤普查项目为评价对象，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麦盖提县第三次全国土壤普查项目综合评分表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产出成本（15分）  成本节约率（15分）            14.62</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权重分值：100分                     总得分      99.62</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麦盖提县农业技术推广中心主任李志远同志任评价组组长，绩效评价工作职责为负责全盘工作。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麦盖提县农业技术推广中心副主任阿布拉·卡迪尔同志任评价组副组长，绩效评价工作职责为为对项目实施情况进行实地调查。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麦盖提县农业技术推广中心正科级干部徐峰同志任评价组成员，绩效评价工作职责为负责资料审核等工作。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综合评价情况及评价结论</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通过实施麦盖提县第三次全国土壤普查项目产生社会效益、生态效益、经济效益。项目实施主要通过项目决策、项目过程、项目产出以及项目效益等方面进行评价，其中：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项目决策：该项目主要通过自治区人民政府印发了《关于开展自治区第三次全国土壤普查的通知》文件立项，项目实施符合立项要求，项目立项依据充分，立项程序规范。</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麦盖提县第三次全国土壤普查项目预算安排437.399万元，实际支出435.7382万元，预算执行率99.62%。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项目产出：麦盖提县第三次全国土壤普查工作下达点位1645个，其中：表层样1634个（其中耕地1099个、园地453个、林地31个、草地51个）、水稳性大团聚体423个、密码平行样37个、剖面样11个。</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农业发展要坚持稳粮、优棉、强果、兴畜、促特色，突出绿色化、优质化、特色化、品牌化，推动农业供给侧结构性改革。发挥麦盖提县区域优势，合理利用土壤资源，提高水土光热等资源利用率，因地制宜多业发展，推进全县农林牧业生产布局优化和落实落地，推动实现既保粮食和重要农产品有效供给、又保食物多样，促进乡村产业兴旺和农民增收致富，离不开土壤普查数据支撑和保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随着城镇化、工业化快速推进，大量废弃物排放直接或间接影响农用地土壤质量，规模化集约化经营导致地膜、化肥、农药等土壤污染趋势加重，土壤生物多样性下降、土传病害加剧，制约了土壤多功能发挥，导致土壤质量下降，农产品质量安全受到威胁。为全面掌握全县耕地、园地、林地、草地、盐碱地等土壤性状及耕作造林种草用地土壤造宜性，协调发挥土壤的生产、环保、生态等功能，促进“碳中和”，迫切需要开展土壤普查。</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第三次全国土壤普查项目进行客观评价，最终评分结果：评价总分99.62分，绩效等级为“优”。</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项目绩效评价评分汇总表</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决策指标 15 15 100%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过程指标 20 20 100%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产出指标 45 44.62 99.16%</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效益指标 20 20 100%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 100 99.62 99.62%</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本项目按照自治区人民政府印发了《关于开展自治区第三次全国土壤普查的通知》制定《麦盖提县第三次全国土壤普查工作实施方案》。结合职责，并组织实施该项目。围绕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该项目已设置年度绩效目标，具体内容为“主要工作为按照自治区三普办、喀什地区三普办要求，高质量开展外业调查采样、内业检测化验、启动麦盖提县级成果编制等工作，对全县土壤进行“全面体检”，预计土壤样品数量1254个。”。</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该项目实际工作内容为：主要工作为按照自治区三普办、喀什地区三普办要求，高质量开展外业调查采样、内业检测化验、启动麦盖提县级成果编制等工作，对全县土壤进行“全面体检”，预计土壤样品数量1254个。绩效目标与实际工作内容一致，两者具有相关性。</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③该项目按照绩效目标完成数量指标、质量指标、时效指标、成本指标，完成了土壤样品采集、流转、制备、检测，达到预期效益，预期产出效益和效果是否符合正常的业绩水平。</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④该项目批复的预算金额为437.399万元，《项目支出绩效目标表》中预算金额为437.399万元，预算确定的项目资金与预算确定的项目投资额相匹配。</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3个，二级指标4个，三级指标8个，定量指标5个，定性指标2个，指标量化率为100%，量化率达100%以上，将项目绩效目标细化分解为具体的绩效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绩效目标申报表》中，数量指标指标值为普查点位个数1254个，三级指标的年度指标值与年度绩效目标中任务数一致（或不完全一致），已设置时效指标“项目完成时间”。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本项目按照自治区三普办、喀什地区三普办要求，高质量开展外业调查采样、内业检测化验、启动麦盖提县级成果编制等工作，对全县土壤进行“全面体检”，摸清麦盖提县土壤质量家底，为守住耕地红线、保护生态环境、优化农业生产布局、推进农业高质量发展奠定坚实基础，即预算编制较科学且经过论证；</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预算申请内容为县级外业调查采样、内业检测化验（样品流转、制备、检测）及成果汇总等相关工作，在落实土壤普查资金的基础上，资金也可用于第三次全国土壤普查宣传培训等相关的其他工作，项目实际内容为县级外业调查采样、内业检测化验（样品流转、制备、检测）及成果汇总等相关工作，在落实土壤普查资金的基础上，资金也可用于第三次全国土壤普查宣传培训等相关的其他工作，预算申请与《麦盖提县第三次全国土壤普查项目实施方案》中涉及的项目内容匹配；</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预算申请资金437.399的万元，我单位在预算申请中严格按照项目实施内容及测算标准进行核算，其中：土壤样品制备费用12.039万元、土壤样品检测费用328.6992万元、普查成果汇总费用95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本项目实际分配资金以《关于申请麦盖提县第三次全国土壤普查项目资金的请示》和《麦盖提县第三次全国土壤普查项目实施方案》为依据进行资金分配，预算资金分配依据充分。按照《关于下达2024年中央耕地建设与利用资金预算的通知》（喀地财农[2024]10号）通知要求，拨付麦盖提县第三次全国土壤普查项目资金60万元，按照《关于拨付2024年土地指标跨省域调剂收入安排的支出预算的通知》（麦财综字[2024]37号）通知要求，县级财政配套第三次全国土壤普查项目资金377.399万元，本项目实际到位资金437.399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资金到位率：本项目预算资金为437.399万元，其中：财政安排资金377.399万元，其他资金60万元，实际到位资金437.399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本项目实际支出资金435.7382万元，预算执行率=（实际支出资金/实际到位资金）×100.0%=99.62%；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农业农村局单位资金管理办法》《农业农村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我单位已制定《农业农村局资金管理办法》《农业农村局收支业务管理制度》《农业农村局政府采购业务管理制度》《农业农村局合同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①该项目的实施符合《农业农村局办法》《农业农村局管理制度》《农业农村局采购业务管理制度》《农业农村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③该项目是否存在调整，调整手续是否齐全，如未调整，则填“该项目实施过程中不存在调整事项”。</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第三次全国土壤普查项目工作领导小组，由李志远任组长，负责项目的组织工作；阿布拉卡地尔任副组长，负责项目的实施工作；组员包括：郑丽和王正亮，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项目产出类指标包括产出数量、产出质量、产出时效、产出成本四方面的内容，由4个三级指标构成，权重分为45分，实际得分44.62分，得分率为99.16%。</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普查点位个数指标，预期指标值为1254个，实际完成值为1254个，指标完成率为100%，与预期目标一致，根据评分标准，该指标不扣分，得10分。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普查结果合格率指标，预期指标值为100%，实际完成值为100%，指标完成率为100%，与预期目标一致，根据评分标准，该指标不扣分，得10分。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项目完成时间指标，预期指标值为2024年12月，实际完成值为2024年9月18日，指标完成率为100%，与预期目标一致，根据评分标准，该指标不扣分，得10分。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普查检测成本指标，预期指标值为225.47万元，实际完成值为223.81万元，指标完成率为99.77%。出具成果成本指标，预期指标值为198.23万元，实际完成值为198.23万元，指标完成率为100%。其他费用成本指标，预期指标值为13.69万元，实际完成值为13.69万元，指标完成率为100%。本年支付工程余款金额435.74万元，项目经费都能控制绩效目标范围内，根据评分标准，该指标扣0.38分，得14.62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提高农作物种植水平指标，该指标预期指标值为100%，实际完成值为100%，指标完成率为100%，与预期指标一致，根据评分标准，该指标不扣分，得5分。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有效提高农作物种植水平，该指标预期指标值为100%，实际完成值为100%，指标完成率为100%，与预期指标一致，根据评分标准，该指标不扣分，得5分。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对于“满意度指标：农户满意度满意度100%，该指标预期指标值为100%，实际完成值为100%，指标完成率为100%，与预期目标一致，根据评分标准，该指标不扣分,得10分。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五、预算执行进度与绩效指标偏差情况</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次全国土壤普查项目预算437.399万元，到位437.399万元，实际支出435.73万元，预算执行率为99.62%，项目绩效指标总体完成率为99.62%，偏差率为0.38%,偏出去原因招标金额比实际预算少，采取的措施已结余1.66万元退回国库。</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麦盖提县成立了由农业农村局牵头，自然资源局、生态环境局、各乡镇政府等多部门参与的土壤普查领导小组，明确各单位职责分工，形成了 “统一领导、部门协作、分级负责” 的工作格局。建立定期联席会议制度，每月召开工作推进会，及时协调解决普查过程中遇到的问题。</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在此次全国土壤普查工作中，县乡两级农技骨干齐心协力，以科学严谨的态度完成各项任务。通过此次普查，摸清全县耕地质量家底，为保障粮食安全、守住耕地红线、保护生态环境、优化农业生产布局、有效提高农作物种植水平，推进全县农业高质量发展奠定坚实基础。</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的问题：1.专业技术人员短缺，虽然开展了多次培训，但由于土壤普查工作专业性强、技术要求高，全县现有的专业技术人员数量仍难以满足大规模普查工作需求。尤其是在实验室检测环节，熟练掌握精密仪器操作和数据分析的技术人员严重不足，导致部分样品检测进度缓慢。2.部分区域采样难度大。</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原因分析：1.麦盖提县地处偏远地区，对专业人才的吸引力有限，且本地培养的相关专业人才数量较少，难以在短期内满足普查工作的大量需求。2.麦盖提县地形复杂，部分区域如沙漠边缘、山区等地，交通不便，采样人员难以到达，增加了采样工作的难度和危险性。此外，这些区域土壤条件特殊，采样技术要求更高，部分采样人员因缺乏相关经验，导致样品采集质量不稳定。</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下一步计划：1.加强人才队伍建设，一方面，积极向上级部门申请，协调引进专业技术人才，充实土壤普查工作队伍；另一方面，与疆内高校和科研机构合作，建立实习基地，吸引相关专业学生参与普查工作，并为表现优秀的学生提供就业机会。同时，持续开展技术培训和交流活动，定期组织技术人员到先进地区学习取经，不断提升业务水平。2.针对沙漠边缘、山区等特殊区域，组织专家团队进行实地调研，制定专门的采样方案和安全保障措施。采购适用于复杂地形的采样设备，如便携式采样钻机、无人机采样设备等，提高采样效率和质量。同时，加强对采样人员的特殊区域采样技术培训，确保采样工作规范、安全进行。</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立长期人才培养机制。建议上级部门加大对基层土壤普查专业人才培养的支持力度，在疆内高校设立土壤普查相关专业定向培养计划，为基层输送更多专业人才。同时，建立基层土壤普查人才激励机制，提高基层专业技术人员的待遇和职业发展空间，吸引和留住人才，为土壤普查工作及后续土壤保护和利用工作提供长期的人才保障。</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大资金支持与统筹力度。建议中央和自治区进一步加大对经济欠发达地区土壤普查项目的资金支持力度，适当提高专项资金比例。同时，建立土壤普查资金统筹协调机制，加强对资金使用的监管和评估，确保资金合理分配、高效使用。此外，鼓励各地探索多元化的资金投入模式，如设立土壤保护基金，吸引社会资本参与，拓宽资金来源渠道。</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加强技术研发与推广应用。建议相关部门组织科研力量，针对土壤普查工作中遇到的技术难题，开展专项技术研发。例如，研发适用于不同地形和土壤条件的快速采样和检测技术，提高普查工作效率和准确性。同时，加强新技术、新设备的推广应用，建立技术示范基地，组织基层技术人员实地学习，推动土壤普查技术水平整体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其他需要说明的问题</w:t>
      </w:r>
      <w:r>
        <w:rPr>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681142F"/>
    <w:rsid w:val="7AFB08BE"/>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table" w:styleId="20">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1">
    <w:name w:val="标题 1 字符"/>
    <w:basedOn w:val="16"/>
    <w:link w:val="2"/>
    <w:qFormat/>
    <w:uiPriority w:val="9"/>
    <w:rPr>
      <w:rFonts w:asciiTheme="majorHAnsi" w:hAnsiTheme="majorHAnsi" w:eastAsiaTheme="majorEastAsia"/>
      <w:b/>
      <w:bCs/>
      <w:kern w:val="32"/>
      <w:sz w:val="32"/>
      <w:szCs w:val="32"/>
    </w:rPr>
  </w:style>
  <w:style w:type="character" w:customStyle="1" w:styleId="22">
    <w:name w:val="标题 2 字符"/>
    <w:basedOn w:val="16"/>
    <w:link w:val="3"/>
    <w:semiHidden/>
    <w:qFormat/>
    <w:uiPriority w:val="9"/>
    <w:rPr>
      <w:rFonts w:asciiTheme="majorHAnsi" w:hAnsiTheme="majorHAnsi" w:eastAsiaTheme="majorEastAsia"/>
      <w:b/>
      <w:bCs/>
      <w:i/>
      <w:iCs/>
      <w:sz w:val="28"/>
      <w:szCs w:val="28"/>
    </w:rPr>
  </w:style>
  <w:style w:type="character" w:customStyle="1" w:styleId="23">
    <w:name w:val="标题 3 字符"/>
    <w:basedOn w:val="16"/>
    <w:link w:val="4"/>
    <w:semiHidden/>
    <w:qFormat/>
    <w:uiPriority w:val="9"/>
    <w:rPr>
      <w:rFonts w:asciiTheme="majorHAnsi" w:hAnsiTheme="majorHAnsi" w:eastAsiaTheme="majorEastAsia"/>
      <w:b/>
      <w:bCs/>
      <w:sz w:val="26"/>
      <w:szCs w:val="26"/>
    </w:rPr>
  </w:style>
  <w:style w:type="character" w:customStyle="1" w:styleId="24">
    <w:name w:val="标题 4 字符"/>
    <w:basedOn w:val="16"/>
    <w:link w:val="5"/>
    <w:qFormat/>
    <w:uiPriority w:val="9"/>
    <w:rPr>
      <w:b/>
      <w:bCs/>
      <w:sz w:val="28"/>
      <w:szCs w:val="28"/>
    </w:rPr>
  </w:style>
  <w:style w:type="character" w:customStyle="1" w:styleId="25">
    <w:name w:val="标题 5 字符"/>
    <w:basedOn w:val="16"/>
    <w:link w:val="6"/>
    <w:semiHidden/>
    <w:qFormat/>
    <w:uiPriority w:val="9"/>
    <w:rPr>
      <w:b/>
      <w:bCs/>
      <w:i/>
      <w:iCs/>
      <w:sz w:val="26"/>
      <w:szCs w:val="26"/>
    </w:rPr>
  </w:style>
  <w:style w:type="character" w:customStyle="1" w:styleId="26">
    <w:name w:val="标题 6 字符"/>
    <w:basedOn w:val="16"/>
    <w:link w:val="7"/>
    <w:semiHidden/>
    <w:qFormat/>
    <w:uiPriority w:val="9"/>
    <w:rPr>
      <w:b/>
      <w:bCs/>
    </w:rPr>
  </w:style>
  <w:style w:type="character" w:customStyle="1" w:styleId="27">
    <w:name w:val="标题 7 字符"/>
    <w:basedOn w:val="16"/>
    <w:link w:val="8"/>
    <w:semiHidden/>
    <w:qFormat/>
    <w:uiPriority w:val="9"/>
    <w:rPr>
      <w:sz w:val="24"/>
      <w:szCs w:val="24"/>
    </w:rPr>
  </w:style>
  <w:style w:type="character" w:customStyle="1" w:styleId="28">
    <w:name w:val="标题 8 字符"/>
    <w:basedOn w:val="16"/>
    <w:link w:val="9"/>
    <w:semiHidden/>
    <w:qFormat/>
    <w:uiPriority w:val="9"/>
    <w:rPr>
      <w:i/>
      <w:iCs/>
      <w:sz w:val="24"/>
      <w:szCs w:val="24"/>
    </w:rPr>
  </w:style>
  <w:style w:type="character" w:customStyle="1" w:styleId="29">
    <w:name w:val="标题 9 字符"/>
    <w:basedOn w:val="16"/>
    <w:link w:val="10"/>
    <w:semiHidden/>
    <w:qFormat/>
    <w:uiPriority w:val="9"/>
    <w:rPr>
      <w:rFonts w:asciiTheme="majorHAnsi" w:hAnsiTheme="majorHAnsi" w:eastAsiaTheme="majorEastAsia"/>
    </w:rPr>
  </w:style>
  <w:style w:type="character" w:customStyle="1" w:styleId="30">
    <w:name w:val="标题 字符"/>
    <w:basedOn w:val="16"/>
    <w:link w:val="15"/>
    <w:qFormat/>
    <w:uiPriority w:val="10"/>
    <w:rPr>
      <w:rFonts w:asciiTheme="majorHAnsi" w:hAnsiTheme="majorHAnsi" w:eastAsiaTheme="majorEastAsia"/>
      <w:b/>
      <w:bCs/>
      <w:kern w:val="28"/>
      <w:sz w:val="32"/>
      <w:szCs w:val="32"/>
    </w:rPr>
  </w:style>
  <w:style w:type="character" w:customStyle="1" w:styleId="31">
    <w:name w:val="副标题 字符"/>
    <w:basedOn w:val="16"/>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6"/>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6"/>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6"/>
    <w:qFormat/>
    <w:uiPriority w:val="21"/>
    <w:rPr>
      <w:b/>
      <w:i/>
      <w:sz w:val="24"/>
      <w:szCs w:val="24"/>
      <w:u w:val="single"/>
    </w:rPr>
  </w:style>
  <w:style w:type="character" w:customStyle="1" w:styleId="40">
    <w:name w:val="不明显参考1"/>
    <w:basedOn w:val="16"/>
    <w:qFormat/>
    <w:uiPriority w:val="31"/>
    <w:rPr>
      <w:sz w:val="24"/>
      <w:szCs w:val="24"/>
      <w:u w:val="single"/>
    </w:rPr>
  </w:style>
  <w:style w:type="character" w:customStyle="1" w:styleId="41">
    <w:name w:val="明显参考1"/>
    <w:basedOn w:val="16"/>
    <w:qFormat/>
    <w:uiPriority w:val="32"/>
    <w:rPr>
      <w:b/>
      <w:sz w:val="24"/>
      <w:u w:val="single"/>
    </w:rPr>
  </w:style>
  <w:style w:type="character" w:customStyle="1" w:styleId="42">
    <w:name w:val="书籍标题1"/>
    <w:basedOn w:val="16"/>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6"/>
    <w:link w:val="13"/>
    <w:qFormat/>
    <w:uiPriority w:val="99"/>
    <w:rPr>
      <w:rFonts w:ascii="Calibri" w:hAnsi="Calibri" w:eastAsia="宋体"/>
      <w:kern w:val="2"/>
      <w:sz w:val="18"/>
      <w:szCs w:val="18"/>
    </w:rPr>
  </w:style>
  <w:style w:type="character" w:customStyle="1" w:styleId="45">
    <w:name w:val="页脚 字符"/>
    <w:basedOn w:val="16"/>
    <w:link w:val="12"/>
    <w:qFormat/>
    <w:uiPriority w:val="99"/>
    <w:rPr>
      <w:rFonts w:ascii="Calibri" w:hAnsi="Calibri" w:eastAsia="宋体"/>
      <w:kern w:val="2"/>
      <w:sz w:val="18"/>
      <w:szCs w:val="18"/>
    </w:rPr>
  </w:style>
  <w:style w:type="character" w:customStyle="1" w:styleId="46">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35c1b0-5d43-41b4-93ff-e977e33cb83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Administrator</cp:lastModifiedBy>
  <cp:lastPrinted>2018-12-31T10:56:00Z</cp:lastPrinted>
  <dcterms:modified xsi:type="dcterms:W3CDTF">2025-09-06T03:51:35Z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299A846E7742483FADE25949A45A48D3_12</vt:lpwstr>
  </property>
</Properties>
</file>