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bookmarkStart w:id="0" w:name="_GoBack"/>
      <w:bookmarkEnd w:id="0"/>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麦盖提县农业农村局2024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rPr>
          <w:highlight w:val="yellow"/>
        </w:rPr>
      </w:pPr>
      <w:r>
        <w:rPr>
          <w:rFonts w:ascii="黑体" w:hAnsi="黑体" w:eastAsia="黑体"/>
          <w:sz w:val="32"/>
          <w:highlight w:val="yellow"/>
        </w:rPr>
        <w:t>一、主要职能</w:t>
      </w:r>
    </w:p>
    <w:p>
      <w:pPr>
        <w:keepNext w:val="0"/>
        <w:keepLines w:val="0"/>
        <w:pageBreakBefore w:val="0"/>
        <w:widowControl/>
        <w:kinsoku/>
        <w:wordWrap/>
        <w:overflowPunct/>
        <w:topLinePunct w:val="0"/>
        <w:autoSpaceDE/>
        <w:autoSpaceDN/>
        <w:bidi w:val="0"/>
        <w:adjustRightInd w:val="0"/>
        <w:snapToGrid w:val="0"/>
        <w:spacing w:after="0" w:line="570" w:lineRule="exact"/>
        <w:ind w:firstLine="570"/>
        <w:jc w:val="both"/>
        <w:textAlignment w:val="auto"/>
        <w:rPr>
          <w:rFonts w:hint="eastAsia" w:ascii="仿宋_GB2312" w:hAnsi="仿宋_GB2312" w:eastAsia="仿宋_GB2312" w:cs="仿宋_GB2312"/>
          <w:bCs/>
          <w:kern w:val="0"/>
          <w:sz w:val="32"/>
          <w:szCs w:val="32"/>
          <w:highlight w:val="yellow"/>
          <w:lang w:val="en-US" w:eastAsia="zh-CN" w:bidi="ar-SA"/>
        </w:rPr>
      </w:pPr>
      <w:r>
        <w:rPr>
          <w:rFonts w:hint="eastAsia" w:ascii="仿宋_GB2312" w:hAnsi="仿宋_GB2312" w:eastAsia="仿宋_GB2312" w:cs="仿宋_GB2312"/>
          <w:bCs/>
          <w:kern w:val="0"/>
          <w:sz w:val="32"/>
          <w:szCs w:val="32"/>
          <w:highlight w:val="yellow"/>
          <w:lang w:val="en-US" w:eastAsia="zh-CN" w:bidi="ar-SA"/>
        </w:rPr>
        <w:t>（一）组织实施全县“三农”工作的发展战略、中长期规划、重大政策；指导监督农业综合执法；参与涉农的财税、价格、收储、金融保险等政策研究。</w:t>
      </w:r>
    </w:p>
    <w:p>
      <w:pPr>
        <w:keepNext w:val="0"/>
        <w:keepLines w:val="0"/>
        <w:pageBreakBefore w:val="0"/>
        <w:widowControl/>
        <w:kinsoku/>
        <w:wordWrap/>
        <w:overflowPunct/>
        <w:topLinePunct w:val="0"/>
        <w:autoSpaceDE/>
        <w:autoSpaceDN/>
        <w:bidi w:val="0"/>
        <w:adjustRightInd w:val="0"/>
        <w:snapToGrid w:val="0"/>
        <w:spacing w:after="0" w:line="570" w:lineRule="exact"/>
        <w:ind w:firstLine="570"/>
        <w:jc w:val="both"/>
        <w:textAlignment w:val="auto"/>
        <w:rPr>
          <w:rFonts w:hint="eastAsia" w:ascii="仿宋_GB2312" w:hAnsi="仿宋_GB2312" w:eastAsia="仿宋_GB2312" w:cs="仿宋_GB2312"/>
          <w:bCs/>
          <w:kern w:val="0"/>
          <w:sz w:val="32"/>
          <w:szCs w:val="32"/>
          <w:highlight w:val="yellow"/>
          <w:lang w:val="en-US" w:eastAsia="zh-CN" w:bidi="ar-SA"/>
        </w:rPr>
      </w:pPr>
      <w:r>
        <w:rPr>
          <w:rFonts w:hint="eastAsia" w:ascii="仿宋_GB2312" w:hAnsi="仿宋_GB2312" w:eastAsia="仿宋_GB2312" w:cs="仿宋_GB2312"/>
          <w:bCs/>
          <w:kern w:val="0"/>
          <w:sz w:val="32"/>
          <w:szCs w:val="32"/>
          <w:highlight w:val="yellow"/>
          <w:lang w:val="en-US" w:eastAsia="zh-CN" w:bidi="ar-SA"/>
        </w:rPr>
        <w:t>（二）统筹推动发展农村社会事业、农村公共服务、农村文化、农村基础设施和乡村治理；牵头组织改善农村人居环境；指导农村精神文明和优秀农耕文化建设。指导农村行业安全生产工作。</w:t>
      </w:r>
    </w:p>
    <w:p>
      <w:pPr>
        <w:keepNext w:val="0"/>
        <w:keepLines w:val="0"/>
        <w:pageBreakBefore w:val="0"/>
        <w:widowControl/>
        <w:kinsoku/>
        <w:wordWrap/>
        <w:overflowPunct/>
        <w:topLinePunct w:val="0"/>
        <w:autoSpaceDE/>
        <w:autoSpaceDN/>
        <w:bidi w:val="0"/>
        <w:adjustRightInd w:val="0"/>
        <w:snapToGrid w:val="0"/>
        <w:spacing w:after="0" w:line="570" w:lineRule="exact"/>
        <w:ind w:firstLine="570"/>
        <w:jc w:val="both"/>
        <w:textAlignment w:val="auto"/>
        <w:rPr>
          <w:rFonts w:hint="eastAsia" w:ascii="仿宋_GB2312" w:hAnsi="仿宋_GB2312" w:eastAsia="仿宋_GB2312" w:cs="仿宋_GB2312"/>
          <w:bCs/>
          <w:kern w:val="0"/>
          <w:sz w:val="32"/>
          <w:szCs w:val="32"/>
          <w:highlight w:val="yellow"/>
          <w:lang w:val="en-US" w:eastAsia="zh-CN" w:bidi="ar-SA"/>
        </w:rPr>
      </w:pPr>
      <w:r>
        <w:rPr>
          <w:rFonts w:hint="eastAsia" w:ascii="仿宋_GB2312" w:hAnsi="仿宋_GB2312" w:eastAsia="仿宋_GB2312" w:cs="仿宋_GB2312"/>
          <w:bCs/>
          <w:kern w:val="0"/>
          <w:sz w:val="32"/>
          <w:szCs w:val="32"/>
          <w:highlight w:val="yellow"/>
          <w:lang w:val="en-US" w:eastAsia="zh-CN" w:bidi="ar-SA"/>
        </w:rPr>
        <w:t>（三）贯彻深化农村经济体制改革和巩固完善农村基本经营制度的政策；负责农民承包地、农村宅基地改革和管理有关工作；负责农村集体产权制度改革，指导农村集体经济组织发展和集体资产管理工作；指导农民合作社经济组织、农业社会化服务体系、新型农业经营主体建设与发展。</w:t>
      </w:r>
    </w:p>
    <w:p>
      <w:pPr>
        <w:keepNext w:val="0"/>
        <w:keepLines w:val="0"/>
        <w:pageBreakBefore w:val="0"/>
        <w:widowControl/>
        <w:kinsoku/>
        <w:wordWrap/>
        <w:overflowPunct/>
        <w:topLinePunct w:val="0"/>
        <w:autoSpaceDE/>
        <w:autoSpaceDN/>
        <w:bidi w:val="0"/>
        <w:adjustRightInd w:val="0"/>
        <w:snapToGrid w:val="0"/>
        <w:spacing w:after="0" w:line="570" w:lineRule="exact"/>
        <w:ind w:firstLine="570"/>
        <w:jc w:val="both"/>
        <w:textAlignment w:val="auto"/>
        <w:rPr>
          <w:rFonts w:hint="eastAsia" w:ascii="仿宋_GB2312" w:hAnsi="仿宋_GB2312" w:eastAsia="仿宋_GB2312" w:cs="仿宋_GB2312"/>
          <w:bCs/>
          <w:kern w:val="0"/>
          <w:sz w:val="32"/>
          <w:szCs w:val="32"/>
          <w:highlight w:val="yellow"/>
          <w:lang w:val="en-US" w:eastAsia="zh-CN" w:bidi="ar-SA"/>
        </w:rPr>
      </w:pPr>
      <w:r>
        <w:rPr>
          <w:rFonts w:hint="eastAsia" w:ascii="仿宋_GB2312" w:hAnsi="仿宋_GB2312" w:eastAsia="仿宋_GB2312" w:cs="仿宋_GB2312"/>
          <w:bCs/>
          <w:kern w:val="0"/>
          <w:sz w:val="32"/>
          <w:szCs w:val="32"/>
          <w:highlight w:val="yellow"/>
          <w:lang w:val="en-US" w:eastAsia="zh-CN" w:bidi="ar-SA"/>
        </w:rPr>
        <w:t>（四）指导乡村特色产业、农产品加工业、休闲农业和乡镇企业发展工作；提出促进大宗农产品流通的建议，培育、保护农业品牌；发布农业农村经济信息，监测分析农业农村经济运行。承担农业统计和农业农村信息化有关工作。</w:t>
      </w:r>
    </w:p>
    <w:p>
      <w:pPr>
        <w:keepNext w:val="0"/>
        <w:keepLines w:val="0"/>
        <w:pageBreakBefore w:val="0"/>
        <w:widowControl/>
        <w:kinsoku/>
        <w:wordWrap/>
        <w:overflowPunct/>
        <w:topLinePunct w:val="0"/>
        <w:autoSpaceDE/>
        <w:autoSpaceDN/>
        <w:bidi w:val="0"/>
        <w:adjustRightInd w:val="0"/>
        <w:snapToGrid w:val="0"/>
        <w:spacing w:after="0" w:line="570" w:lineRule="exact"/>
        <w:ind w:firstLine="570"/>
        <w:jc w:val="both"/>
        <w:textAlignment w:val="auto"/>
        <w:rPr>
          <w:rFonts w:hint="eastAsia" w:ascii="仿宋_GB2312" w:hAnsi="仿宋_GB2312" w:eastAsia="仿宋_GB2312" w:cs="仿宋_GB2312"/>
          <w:bCs/>
          <w:kern w:val="0"/>
          <w:sz w:val="32"/>
          <w:szCs w:val="32"/>
          <w:highlight w:val="yellow"/>
          <w:lang w:val="en-US" w:eastAsia="zh-CN" w:bidi="ar-SA"/>
        </w:rPr>
      </w:pPr>
      <w:r>
        <w:rPr>
          <w:rFonts w:hint="eastAsia" w:ascii="仿宋_GB2312" w:hAnsi="仿宋_GB2312" w:eastAsia="仿宋_GB2312" w:cs="仿宋_GB2312"/>
          <w:bCs/>
          <w:kern w:val="0"/>
          <w:sz w:val="32"/>
          <w:szCs w:val="32"/>
          <w:highlight w:val="yellow"/>
          <w:lang w:val="en-US" w:eastAsia="zh-CN" w:bidi="ar-SA"/>
        </w:rPr>
        <w:t>（五）负责种植业、国有农场、农业机械化等农业各产业的监督管理；指导农业产业化发展。指导粮食等农产品生产。组织构建现代农业产业体系、生产体系、经营体系，指导农业标准化生产。负责渔业监督管理。</w:t>
      </w:r>
    </w:p>
    <w:p>
      <w:pPr>
        <w:keepNext w:val="0"/>
        <w:keepLines w:val="0"/>
        <w:pageBreakBefore w:val="0"/>
        <w:widowControl/>
        <w:kinsoku/>
        <w:wordWrap/>
        <w:overflowPunct/>
        <w:topLinePunct w:val="0"/>
        <w:autoSpaceDE/>
        <w:autoSpaceDN/>
        <w:bidi w:val="0"/>
        <w:adjustRightInd w:val="0"/>
        <w:snapToGrid w:val="0"/>
        <w:spacing w:after="0" w:line="570" w:lineRule="exact"/>
        <w:ind w:firstLine="570"/>
        <w:jc w:val="both"/>
        <w:textAlignment w:val="auto"/>
        <w:rPr>
          <w:rFonts w:hint="eastAsia" w:ascii="仿宋_GB2312" w:hAnsi="仿宋_GB2312" w:eastAsia="仿宋_GB2312" w:cs="仿宋_GB2312"/>
          <w:bCs/>
          <w:kern w:val="0"/>
          <w:sz w:val="32"/>
          <w:szCs w:val="32"/>
          <w:highlight w:val="yellow"/>
          <w:lang w:val="en-US" w:eastAsia="zh-CN" w:bidi="ar-SA"/>
        </w:rPr>
      </w:pPr>
      <w:r>
        <w:rPr>
          <w:rFonts w:hint="eastAsia" w:ascii="仿宋_GB2312" w:hAnsi="仿宋_GB2312" w:eastAsia="仿宋_GB2312" w:cs="仿宋_GB2312"/>
          <w:bCs/>
          <w:kern w:val="0"/>
          <w:sz w:val="32"/>
          <w:szCs w:val="32"/>
          <w:highlight w:val="yellow"/>
          <w:lang w:val="en-US" w:eastAsia="zh-CN" w:bidi="ar-SA"/>
        </w:rPr>
        <w:t>（六）负责农产品质量安全监督管理。组织开展农产品质量安全监测、追溯、风险评估；参与制定农产品质量安全地方标准并会同有关部门组织实施；指导农产品检验检测体系建设。</w:t>
      </w:r>
    </w:p>
    <w:p>
      <w:pPr>
        <w:keepNext w:val="0"/>
        <w:keepLines w:val="0"/>
        <w:pageBreakBefore w:val="0"/>
        <w:widowControl/>
        <w:kinsoku/>
        <w:wordWrap/>
        <w:overflowPunct/>
        <w:topLinePunct w:val="0"/>
        <w:autoSpaceDE/>
        <w:autoSpaceDN/>
        <w:bidi w:val="0"/>
        <w:adjustRightInd w:val="0"/>
        <w:snapToGrid w:val="0"/>
        <w:spacing w:after="0" w:line="570" w:lineRule="exact"/>
        <w:ind w:firstLine="570"/>
        <w:jc w:val="both"/>
        <w:textAlignment w:val="auto"/>
        <w:rPr>
          <w:rFonts w:hint="eastAsia" w:ascii="仿宋_GB2312" w:hAnsi="仿宋_GB2312" w:eastAsia="仿宋_GB2312" w:cs="仿宋_GB2312"/>
          <w:bCs/>
          <w:kern w:val="0"/>
          <w:sz w:val="32"/>
          <w:szCs w:val="32"/>
          <w:highlight w:val="yellow"/>
          <w:lang w:val="en-US" w:eastAsia="zh-CN" w:bidi="ar-SA"/>
        </w:rPr>
      </w:pPr>
      <w:r>
        <w:rPr>
          <w:rFonts w:hint="eastAsia" w:ascii="仿宋_GB2312" w:hAnsi="仿宋_GB2312" w:eastAsia="仿宋_GB2312" w:cs="仿宋_GB2312"/>
          <w:bCs/>
          <w:kern w:val="0"/>
          <w:sz w:val="32"/>
          <w:szCs w:val="32"/>
          <w:highlight w:val="yellow"/>
          <w:lang w:val="en-US" w:eastAsia="zh-CN" w:bidi="ar-SA"/>
        </w:rPr>
        <w:t>（七）组织农业资源区划工作。指导农用地、农业生物物种资源的保护与管理，负责耕地及永久基本农田质量保护工作；指导农产品产地环境管理和农业清洁生产；指导设施农业、生态循环农业、节水农业发展以及农村可再生能源综合开发利用、农业生物质产业发展。承担外来物种相关管理工作。</w:t>
      </w:r>
    </w:p>
    <w:p>
      <w:pPr>
        <w:keepNext w:val="0"/>
        <w:keepLines w:val="0"/>
        <w:pageBreakBefore w:val="0"/>
        <w:widowControl/>
        <w:kinsoku/>
        <w:wordWrap/>
        <w:overflowPunct/>
        <w:topLinePunct w:val="0"/>
        <w:autoSpaceDE/>
        <w:autoSpaceDN/>
        <w:bidi w:val="0"/>
        <w:adjustRightInd w:val="0"/>
        <w:snapToGrid w:val="0"/>
        <w:spacing w:after="0" w:line="570" w:lineRule="exact"/>
        <w:ind w:firstLine="570"/>
        <w:jc w:val="both"/>
        <w:textAlignment w:val="auto"/>
        <w:rPr>
          <w:rFonts w:hint="eastAsia" w:ascii="仿宋_GB2312" w:hAnsi="仿宋_GB2312" w:eastAsia="仿宋_GB2312" w:cs="仿宋_GB2312"/>
          <w:bCs/>
          <w:kern w:val="0"/>
          <w:sz w:val="32"/>
          <w:szCs w:val="32"/>
          <w:highlight w:val="yellow"/>
          <w:lang w:val="en-US" w:eastAsia="zh-CN" w:bidi="ar-SA"/>
        </w:rPr>
      </w:pPr>
      <w:r>
        <w:rPr>
          <w:rFonts w:hint="eastAsia" w:ascii="仿宋_GB2312" w:hAnsi="仿宋_GB2312" w:eastAsia="仿宋_GB2312" w:cs="仿宋_GB2312"/>
          <w:bCs/>
          <w:kern w:val="0"/>
          <w:sz w:val="32"/>
          <w:szCs w:val="32"/>
          <w:highlight w:val="yellow"/>
          <w:lang w:val="en-US" w:eastAsia="zh-CN" w:bidi="ar-SA"/>
        </w:rPr>
        <w:t>（八）负责全县有关农业生产资料和农业投入品的监督管理。组织农业生产资料市场体系建设，参与有关农业生产资料地方标准拟订并监督实施。</w:t>
      </w:r>
    </w:p>
    <w:p>
      <w:pPr>
        <w:keepNext w:val="0"/>
        <w:keepLines w:val="0"/>
        <w:pageBreakBefore w:val="0"/>
        <w:widowControl/>
        <w:kinsoku/>
        <w:wordWrap/>
        <w:overflowPunct/>
        <w:topLinePunct w:val="0"/>
        <w:autoSpaceDE/>
        <w:autoSpaceDN/>
        <w:bidi w:val="0"/>
        <w:adjustRightInd w:val="0"/>
        <w:snapToGrid w:val="0"/>
        <w:spacing w:after="0" w:line="570" w:lineRule="exact"/>
        <w:ind w:firstLine="570"/>
        <w:jc w:val="both"/>
        <w:textAlignment w:val="auto"/>
        <w:rPr>
          <w:rFonts w:hint="eastAsia" w:ascii="仿宋_GB2312" w:hAnsi="仿宋_GB2312" w:eastAsia="仿宋_GB2312" w:cs="仿宋_GB2312"/>
          <w:bCs/>
          <w:kern w:val="0"/>
          <w:sz w:val="32"/>
          <w:szCs w:val="32"/>
          <w:highlight w:val="yellow"/>
          <w:lang w:val="en-US" w:eastAsia="zh-CN" w:bidi="ar-SA"/>
        </w:rPr>
      </w:pPr>
      <w:r>
        <w:rPr>
          <w:rFonts w:hint="eastAsia" w:ascii="仿宋_GB2312" w:hAnsi="仿宋_GB2312" w:eastAsia="仿宋_GB2312" w:cs="仿宋_GB2312"/>
          <w:bCs/>
          <w:kern w:val="0"/>
          <w:sz w:val="32"/>
          <w:szCs w:val="32"/>
          <w:highlight w:val="yellow"/>
          <w:lang w:val="en-US" w:eastAsia="zh-CN" w:bidi="ar-SA"/>
        </w:rPr>
        <w:t>（九）负责农业防灾减灾、农作物重大病虫害防治工作；指导植物防疫检疫体系建设，组织、监督县域内植物防疫检疫工作，发布疫情并组织扑灭。</w:t>
      </w:r>
    </w:p>
    <w:p>
      <w:pPr>
        <w:keepNext w:val="0"/>
        <w:keepLines w:val="0"/>
        <w:pageBreakBefore w:val="0"/>
        <w:widowControl/>
        <w:kinsoku/>
        <w:wordWrap/>
        <w:overflowPunct/>
        <w:topLinePunct w:val="0"/>
        <w:autoSpaceDE/>
        <w:autoSpaceDN/>
        <w:bidi w:val="0"/>
        <w:adjustRightInd w:val="0"/>
        <w:snapToGrid w:val="0"/>
        <w:spacing w:after="0" w:line="570" w:lineRule="exact"/>
        <w:ind w:firstLine="570"/>
        <w:jc w:val="both"/>
        <w:textAlignment w:val="auto"/>
        <w:rPr>
          <w:rFonts w:hint="eastAsia" w:ascii="仿宋_GB2312" w:hAnsi="仿宋_GB2312" w:eastAsia="仿宋_GB2312" w:cs="仿宋_GB2312"/>
          <w:bCs/>
          <w:kern w:val="0"/>
          <w:sz w:val="32"/>
          <w:szCs w:val="32"/>
          <w:highlight w:val="yellow"/>
          <w:lang w:val="en-US" w:eastAsia="zh-CN" w:bidi="ar-SA"/>
        </w:rPr>
      </w:pPr>
      <w:r>
        <w:rPr>
          <w:rFonts w:hint="eastAsia" w:ascii="仿宋_GB2312" w:hAnsi="仿宋_GB2312" w:eastAsia="仿宋_GB2312" w:cs="仿宋_GB2312"/>
          <w:bCs/>
          <w:kern w:val="0"/>
          <w:sz w:val="32"/>
          <w:szCs w:val="32"/>
          <w:highlight w:val="yellow"/>
          <w:lang w:val="en-US" w:eastAsia="zh-CN" w:bidi="ar-SA"/>
        </w:rPr>
        <w:t>（十）负责农业投资管理。提出农业投融资体制机制改革建议。编制中央、自治区、地区及本县投资安排的农业投资项目建设规划，提出农业投资规模方向、扶持农业农村发展财政项目的建议，按规定权限审批农业投资项目，负责农业投资项目资金安排和监督管理。</w:t>
      </w:r>
    </w:p>
    <w:p>
      <w:pPr>
        <w:keepNext w:val="0"/>
        <w:keepLines w:val="0"/>
        <w:pageBreakBefore w:val="0"/>
        <w:widowControl/>
        <w:kinsoku/>
        <w:wordWrap/>
        <w:overflowPunct/>
        <w:topLinePunct w:val="0"/>
        <w:autoSpaceDE/>
        <w:autoSpaceDN/>
        <w:bidi w:val="0"/>
        <w:adjustRightInd w:val="0"/>
        <w:snapToGrid w:val="0"/>
        <w:spacing w:after="0" w:line="570" w:lineRule="exact"/>
        <w:ind w:firstLine="570"/>
        <w:jc w:val="both"/>
        <w:textAlignment w:val="auto"/>
        <w:rPr>
          <w:rFonts w:hint="eastAsia" w:ascii="仿宋_GB2312" w:hAnsi="仿宋_GB2312" w:eastAsia="仿宋_GB2312" w:cs="仿宋_GB2312"/>
          <w:bCs/>
          <w:kern w:val="0"/>
          <w:sz w:val="32"/>
          <w:szCs w:val="32"/>
          <w:highlight w:val="yellow"/>
          <w:lang w:val="en-US" w:eastAsia="zh-CN" w:bidi="ar-SA"/>
        </w:rPr>
      </w:pPr>
      <w:r>
        <w:rPr>
          <w:rFonts w:hint="eastAsia" w:ascii="仿宋_GB2312" w:hAnsi="仿宋_GB2312" w:eastAsia="仿宋_GB2312" w:cs="仿宋_GB2312"/>
          <w:bCs/>
          <w:kern w:val="0"/>
          <w:sz w:val="32"/>
          <w:szCs w:val="32"/>
          <w:highlight w:val="yellow"/>
          <w:lang w:val="en-US" w:eastAsia="zh-CN" w:bidi="ar-SA"/>
        </w:rPr>
        <w:t>（十一）承担农业科技体制改革和农业科技创新体系建设。指导农业产业技术体系和农技推广体系建设，组织开展农业领域的高新技术和应用技术研究、科技成果转化和技术推广。负责农业转基因生物安全监督管理和农业植物新品种保护。</w:t>
      </w:r>
    </w:p>
    <w:p>
      <w:pPr>
        <w:keepNext w:val="0"/>
        <w:keepLines w:val="0"/>
        <w:pageBreakBefore w:val="0"/>
        <w:widowControl/>
        <w:kinsoku/>
        <w:wordWrap/>
        <w:overflowPunct/>
        <w:topLinePunct w:val="0"/>
        <w:autoSpaceDE/>
        <w:autoSpaceDN/>
        <w:bidi w:val="0"/>
        <w:adjustRightInd w:val="0"/>
        <w:snapToGrid w:val="0"/>
        <w:spacing w:after="0" w:line="570" w:lineRule="exact"/>
        <w:ind w:firstLine="570"/>
        <w:jc w:val="both"/>
        <w:textAlignment w:val="auto"/>
        <w:rPr>
          <w:rFonts w:hint="eastAsia" w:ascii="仿宋_GB2312" w:hAnsi="仿宋_GB2312" w:eastAsia="仿宋_GB2312" w:cs="仿宋_GB2312"/>
          <w:bCs/>
          <w:kern w:val="0"/>
          <w:sz w:val="32"/>
          <w:szCs w:val="32"/>
          <w:highlight w:val="yellow"/>
          <w:lang w:val="en-US" w:eastAsia="zh-CN" w:bidi="ar-SA"/>
        </w:rPr>
      </w:pPr>
      <w:r>
        <w:rPr>
          <w:rFonts w:hint="eastAsia" w:ascii="仿宋_GB2312" w:hAnsi="仿宋_GB2312" w:eastAsia="仿宋_GB2312" w:cs="仿宋_GB2312"/>
          <w:bCs/>
          <w:kern w:val="0"/>
          <w:sz w:val="32"/>
          <w:szCs w:val="32"/>
          <w:highlight w:val="yellow"/>
          <w:lang w:val="en-US" w:eastAsia="zh-CN" w:bidi="ar-SA"/>
        </w:rPr>
        <w:t>（十二）指导农业农村人才工作。拟订农业农村人才队伍建设规划并组织实施，指导农业教育和农业职业技能开发，指导新型农民培育、农业科技人才培养和农村实用人才培训工作。</w:t>
      </w:r>
    </w:p>
    <w:p>
      <w:pPr>
        <w:keepNext w:val="0"/>
        <w:keepLines w:val="0"/>
        <w:pageBreakBefore w:val="0"/>
        <w:widowControl/>
        <w:kinsoku/>
        <w:wordWrap/>
        <w:overflowPunct/>
        <w:topLinePunct w:val="0"/>
        <w:autoSpaceDE/>
        <w:autoSpaceDN/>
        <w:bidi w:val="0"/>
        <w:adjustRightInd w:val="0"/>
        <w:snapToGrid w:val="0"/>
        <w:spacing w:after="0" w:line="570" w:lineRule="exact"/>
        <w:ind w:firstLine="570"/>
        <w:jc w:val="both"/>
        <w:textAlignment w:val="auto"/>
        <w:rPr>
          <w:rFonts w:hint="eastAsia" w:ascii="仿宋_GB2312" w:hAnsi="仿宋_GB2312" w:eastAsia="仿宋_GB2312" w:cs="仿宋_GB2312"/>
          <w:bCs/>
          <w:kern w:val="0"/>
          <w:sz w:val="32"/>
          <w:szCs w:val="32"/>
          <w:highlight w:val="yellow"/>
          <w:lang w:val="en-US" w:eastAsia="zh-CN" w:bidi="ar-SA"/>
        </w:rPr>
      </w:pPr>
      <w:r>
        <w:rPr>
          <w:rFonts w:hint="eastAsia" w:ascii="仿宋_GB2312" w:hAnsi="仿宋_GB2312" w:eastAsia="仿宋_GB2312" w:cs="仿宋_GB2312"/>
          <w:bCs/>
          <w:kern w:val="0"/>
          <w:sz w:val="32"/>
          <w:szCs w:val="32"/>
          <w:highlight w:val="yellow"/>
          <w:lang w:val="en-US" w:eastAsia="zh-CN" w:bidi="ar-SA"/>
        </w:rPr>
        <w:t>（十三）牵头开展农业对外合作工作。承办农业涉外事务，参与地区农业贸易促进和有关国际交流合作，参与地区农业对外援助政策和规划制定，协助有关部门组织实施有关农业援外项目。</w:t>
      </w:r>
    </w:p>
    <w:p>
      <w:pPr>
        <w:keepNext w:val="0"/>
        <w:keepLines w:val="0"/>
        <w:pageBreakBefore w:val="0"/>
        <w:widowControl/>
        <w:kinsoku/>
        <w:wordWrap/>
        <w:overflowPunct/>
        <w:topLinePunct w:val="0"/>
        <w:autoSpaceDE/>
        <w:autoSpaceDN/>
        <w:bidi w:val="0"/>
        <w:adjustRightInd w:val="0"/>
        <w:snapToGrid w:val="0"/>
        <w:spacing w:after="0" w:line="570" w:lineRule="exact"/>
        <w:ind w:firstLine="570"/>
        <w:jc w:val="both"/>
        <w:textAlignment w:val="auto"/>
        <w:rPr>
          <w:rFonts w:hint="eastAsia" w:ascii="仿宋_GB2312" w:hAnsi="仿宋_GB2312" w:eastAsia="仿宋_GB2312" w:cs="仿宋_GB2312"/>
          <w:bCs/>
          <w:kern w:val="0"/>
          <w:sz w:val="32"/>
          <w:szCs w:val="32"/>
          <w:highlight w:val="yellow"/>
          <w:lang w:val="en-US" w:eastAsia="zh-CN" w:bidi="ar-SA"/>
        </w:rPr>
      </w:pPr>
      <w:r>
        <w:rPr>
          <w:rFonts w:hint="eastAsia" w:ascii="仿宋_GB2312" w:hAnsi="仿宋_GB2312" w:eastAsia="仿宋_GB2312" w:cs="仿宋_GB2312"/>
          <w:bCs/>
          <w:kern w:val="0"/>
          <w:sz w:val="32"/>
          <w:szCs w:val="32"/>
          <w:highlight w:val="yellow"/>
          <w:lang w:val="en-US" w:eastAsia="zh-CN" w:bidi="ar-SA"/>
        </w:rPr>
        <w:t>（十四）贯彻落实国家和自治区有关畜牧兽医方面的法律、法规和政策等。</w:t>
      </w:r>
    </w:p>
    <w:p>
      <w:pPr>
        <w:keepNext w:val="0"/>
        <w:keepLines w:val="0"/>
        <w:pageBreakBefore w:val="0"/>
        <w:widowControl/>
        <w:kinsoku/>
        <w:wordWrap/>
        <w:overflowPunct/>
        <w:topLinePunct w:val="0"/>
        <w:autoSpaceDE/>
        <w:autoSpaceDN/>
        <w:bidi w:val="0"/>
        <w:adjustRightInd w:val="0"/>
        <w:snapToGrid w:val="0"/>
        <w:spacing w:after="0" w:line="570" w:lineRule="exact"/>
        <w:ind w:firstLine="570"/>
        <w:jc w:val="both"/>
        <w:textAlignment w:val="auto"/>
        <w:rPr>
          <w:rFonts w:hint="eastAsia" w:ascii="仿宋_GB2312" w:hAnsi="仿宋_GB2312" w:eastAsia="仿宋_GB2312" w:cs="仿宋_GB2312"/>
          <w:bCs/>
          <w:kern w:val="0"/>
          <w:sz w:val="32"/>
          <w:szCs w:val="32"/>
          <w:highlight w:val="yellow"/>
          <w:lang w:val="en-US" w:eastAsia="zh-CN" w:bidi="ar-SA"/>
        </w:rPr>
      </w:pPr>
      <w:r>
        <w:rPr>
          <w:rFonts w:hint="eastAsia" w:ascii="仿宋_GB2312" w:hAnsi="仿宋_GB2312" w:eastAsia="仿宋_GB2312" w:cs="仿宋_GB2312"/>
          <w:bCs/>
          <w:kern w:val="0"/>
          <w:sz w:val="32"/>
          <w:szCs w:val="32"/>
          <w:highlight w:val="yellow"/>
          <w:lang w:val="en-US" w:eastAsia="zh-CN" w:bidi="ar-SA"/>
        </w:rPr>
        <w:t>（十五）负责畜牧业、兽药和兽医器械行业、饲料饲草加工行业、畜禽屠宰行业监督管理。</w:t>
      </w:r>
    </w:p>
    <w:p>
      <w:pPr>
        <w:keepNext w:val="0"/>
        <w:keepLines w:val="0"/>
        <w:pageBreakBefore w:val="0"/>
        <w:widowControl/>
        <w:kinsoku/>
        <w:wordWrap/>
        <w:overflowPunct/>
        <w:topLinePunct w:val="0"/>
        <w:autoSpaceDE/>
        <w:autoSpaceDN/>
        <w:bidi w:val="0"/>
        <w:adjustRightInd w:val="0"/>
        <w:snapToGrid w:val="0"/>
        <w:spacing w:after="0" w:line="570" w:lineRule="exact"/>
        <w:ind w:firstLine="570"/>
        <w:jc w:val="both"/>
        <w:textAlignment w:val="auto"/>
        <w:rPr>
          <w:rFonts w:hint="eastAsia" w:ascii="仿宋_GB2312" w:hAnsi="仿宋_GB2312" w:eastAsia="仿宋_GB2312" w:cs="仿宋_GB2312"/>
          <w:bCs/>
          <w:kern w:val="0"/>
          <w:sz w:val="32"/>
          <w:szCs w:val="32"/>
          <w:highlight w:val="yellow"/>
          <w:lang w:val="en-US" w:eastAsia="zh-CN" w:bidi="ar-SA"/>
        </w:rPr>
      </w:pPr>
      <w:r>
        <w:rPr>
          <w:rFonts w:hint="eastAsia" w:ascii="仿宋_GB2312" w:hAnsi="仿宋_GB2312" w:eastAsia="仿宋_GB2312" w:cs="仿宋_GB2312"/>
          <w:bCs/>
          <w:kern w:val="0"/>
          <w:sz w:val="32"/>
          <w:szCs w:val="32"/>
          <w:highlight w:val="yellow"/>
          <w:lang w:val="en-US" w:eastAsia="zh-CN" w:bidi="ar-SA"/>
        </w:rPr>
        <w:t>（十六）组织实施畜牧业、兽药和兽医器械行业、兽医事业发展、动物疫病防治、检疫监督、饲料饲草加工行业、畜禽屠宰行业的政策法规，拟订发展规划并组织实施。</w:t>
      </w:r>
    </w:p>
    <w:p>
      <w:pPr>
        <w:keepNext w:val="0"/>
        <w:keepLines w:val="0"/>
        <w:pageBreakBefore w:val="0"/>
        <w:widowControl/>
        <w:kinsoku/>
        <w:wordWrap/>
        <w:overflowPunct/>
        <w:topLinePunct w:val="0"/>
        <w:autoSpaceDE/>
        <w:autoSpaceDN/>
        <w:bidi w:val="0"/>
        <w:adjustRightInd w:val="0"/>
        <w:snapToGrid w:val="0"/>
        <w:spacing w:after="0" w:line="570" w:lineRule="exact"/>
        <w:ind w:firstLine="570"/>
        <w:jc w:val="both"/>
        <w:textAlignment w:val="auto"/>
        <w:rPr>
          <w:rFonts w:hint="eastAsia" w:ascii="仿宋_GB2312" w:hAnsi="仿宋_GB2312" w:eastAsia="仿宋_GB2312" w:cs="仿宋_GB2312"/>
          <w:bCs/>
          <w:kern w:val="0"/>
          <w:sz w:val="32"/>
          <w:szCs w:val="32"/>
          <w:highlight w:val="yellow"/>
          <w:lang w:val="en-US" w:eastAsia="zh-CN" w:bidi="ar-SA"/>
        </w:rPr>
      </w:pPr>
      <w:r>
        <w:rPr>
          <w:rFonts w:hint="eastAsia" w:ascii="仿宋_GB2312" w:hAnsi="仿宋_GB2312" w:eastAsia="仿宋_GB2312" w:cs="仿宋_GB2312"/>
          <w:bCs/>
          <w:kern w:val="0"/>
          <w:sz w:val="32"/>
          <w:szCs w:val="32"/>
          <w:highlight w:val="yellow"/>
          <w:lang w:val="en-US" w:eastAsia="zh-CN" w:bidi="ar-SA"/>
        </w:rPr>
        <w:t>（十七）拟订和组织实施畜牧业、兽医行业、动物疫病防治、动物卫生、饲料饲草加工行业、畜禽屠宰行业有关标准和技术规范。</w:t>
      </w:r>
    </w:p>
    <w:p>
      <w:pPr>
        <w:keepNext w:val="0"/>
        <w:keepLines w:val="0"/>
        <w:pageBreakBefore w:val="0"/>
        <w:widowControl/>
        <w:kinsoku/>
        <w:wordWrap/>
        <w:overflowPunct/>
        <w:topLinePunct w:val="0"/>
        <w:autoSpaceDE/>
        <w:autoSpaceDN/>
        <w:bidi w:val="0"/>
        <w:adjustRightInd w:val="0"/>
        <w:snapToGrid w:val="0"/>
        <w:spacing w:after="0" w:line="570" w:lineRule="exact"/>
        <w:ind w:firstLine="570"/>
        <w:jc w:val="both"/>
        <w:textAlignment w:val="auto"/>
        <w:rPr>
          <w:rFonts w:hint="eastAsia" w:ascii="仿宋_GB2312" w:hAnsi="仿宋_GB2312" w:eastAsia="仿宋_GB2312" w:cs="仿宋_GB2312"/>
          <w:bCs/>
          <w:kern w:val="0"/>
          <w:sz w:val="32"/>
          <w:szCs w:val="32"/>
          <w:highlight w:val="yellow"/>
          <w:lang w:val="en-US" w:eastAsia="zh-CN" w:bidi="ar-SA"/>
        </w:rPr>
      </w:pPr>
      <w:r>
        <w:rPr>
          <w:rFonts w:hint="eastAsia" w:ascii="仿宋_GB2312" w:hAnsi="仿宋_GB2312" w:eastAsia="仿宋_GB2312" w:cs="仿宋_GB2312"/>
          <w:bCs/>
          <w:kern w:val="0"/>
          <w:sz w:val="32"/>
          <w:szCs w:val="32"/>
          <w:highlight w:val="yellow"/>
          <w:lang w:val="en-US" w:eastAsia="zh-CN" w:bidi="ar-SA"/>
        </w:rPr>
        <w:t>（十八）指导和组织实施畜牧业结构调整、畜禽遗传资源保护与利用、种畜禽管理及良种推广利用、标准化规模化生产、畜禽养殖场备案管理、畜禽粪污资源化利用、病死畜禽无害化处理、畜牧设施装备现代化。</w:t>
      </w:r>
    </w:p>
    <w:p>
      <w:pPr>
        <w:keepNext w:val="0"/>
        <w:keepLines w:val="0"/>
        <w:pageBreakBefore w:val="0"/>
        <w:widowControl/>
        <w:kinsoku/>
        <w:wordWrap/>
        <w:overflowPunct/>
        <w:topLinePunct w:val="0"/>
        <w:autoSpaceDE/>
        <w:autoSpaceDN/>
        <w:bidi w:val="0"/>
        <w:adjustRightInd w:val="0"/>
        <w:snapToGrid w:val="0"/>
        <w:spacing w:after="0" w:line="570" w:lineRule="exact"/>
        <w:ind w:firstLine="570"/>
        <w:jc w:val="both"/>
        <w:textAlignment w:val="auto"/>
        <w:rPr>
          <w:rFonts w:hint="eastAsia" w:ascii="仿宋_GB2312" w:hAnsi="仿宋_GB2312" w:eastAsia="仿宋_GB2312" w:cs="仿宋_GB2312"/>
          <w:bCs/>
          <w:kern w:val="0"/>
          <w:sz w:val="32"/>
          <w:szCs w:val="32"/>
          <w:highlight w:val="yellow"/>
          <w:lang w:val="en-US" w:eastAsia="zh-CN" w:bidi="ar-SA"/>
        </w:rPr>
      </w:pPr>
      <w:r>
        <w:rPr>
          <w:rFonts w:hint="eastAsia" w:ascii="仿宋_GB2312" w:hAnsi="仿宋_GB2312" w:eastAsia="仿宋_GB2312" w:cs="仿宋_GB2312"/>
          <w:bCs/>
          <w:kern w:val="0"/>
          <w:sz w:val="32"/>
          <w:szCs w:val="32"/>
          <w:highlight w:val="yellow"/>
          <w:lang w:val="en-US" w:eastAsia="zh-CN" w:bidi="ar-SA"/>
        </w:rPr>
        <w:t>（十九）指导和组织实施饲草生产加工流通、草牧业转型升级。</w:t>
      </w:r>
    </w:p>
    <w:p>
      <w:pPr>
        <w:keepNext w:val="0"/>
        <w:keepLines w:val="0"/>
        <w:pageBreakBefore w:val="0"/>
        <w:widowControl/>
        <w:kinsoku/>
        <w:wordWrap/>
        <w:overflowPunct/>
        <w:topLinePunct w:val="0"/>
        <w:autoSpaceDE/>
        <w:autoSpaceDN/>
        <w:bidi w:val="0"/>
        <w:adjustRightInd w:val="0"/>
        <w:snapToGrid w:val="0"/>
        <w:spacing w:after="0" w:line="570" w:lineRule="exact"/>
        <w:ind w:firstLine="570"/>
        <w:jc w:val="both"/>
        <w:textAlignment w:val="auto"/>
        <w:rPr>
          <w:rFonts w:hint="eastAsia" w:ascii="仿宋_GB2312" w:hAnsi="仿宋_GB2312" w:eastAsia="仿宋_GB2312" w:cs="仿宋_GB2312"/>
          <w:bCs/>
          <w:kern w:val="0"/>
          <w:sz w:val="32"/>
          <w:szCs w:val="32"/>
          <w:highlight w:val="yellow"/>
          <w:lang w:val="en-US" w:eastAsia="zh-CN" w:bidi="ar-SA"/>
        </w:rPr>
      </w:pPr>
      <w:r>
        <w:rPr>
          <w:rFonts w:hint="eastAsia" w:ascii="仿宋_GB2312" w:hAnsi="仿宋_GB2312" w:eastAsia="仿宋_GB2312" w:cs="仿宋_GB2312"/>
          <w:bCs/>
          <w:kern w:val="0"/>
          <w:sz w:val="32"/>
          <w:szCs w:val="32"/>
          <w:highlight w:val="yellow"/>
          <w:lang w:val="en-US" w:eastAsia="zh-CN" w:bidi="ar-SA"/>
        </w:rPr>
        <w:t>（二十）负责动物疫病防治和疫情管理工作。组织实施动物疫病免疫、效价监测和风险评估，监督指导实施动物疫情扑灭工作。指导动物防疫应急管理。</w:t>
      </w:r>
    </w:p>
    <w:p>
      <w:pPr>
        <w:keepNext w:val="0"/>
        <w:keepLines w:val="0"/>
        <w:pageBreakBefore w:val="0"/>
        <w:widowControl/>
        <w:kinsoku/>
        <w:wordWrap/>
        <w:overflowPunct/>
        <w:topLinePunct w:val="0"/>
        <w:autoSpaceDE/>
        <w:autoSpaceDN/>
        <w:bidi w:val="0"/>
        <w:adjustRightInd w:val="0"/>
        <w:snapToGrid w:val="0"/>
        <w:spacing w:after="0" w:line="570" w:lineRule="exact"/>
        <w:ind w:firstLine="570"/>
        <w:jc w:val="both"/>
        <w:textAlignment w:val="auto"/>
        <w:rPr>
          <w:rFonts w:hint="eastAsia" w:ascii="仿宋_GB2312" w:hAnsi="仿宋_GB2312" w:eastAsia="仿宋_GB2312" w:cs="仿宋_GB2312"/>
          <w:bCs/>
          <w:kern w:val="0"/>
          <w:sz w:val="32"/>
          <w:szCs w:val="32"/>
          <w:highlight w:val="yellow"/>
          <w:lang w:val="en-US" w:eastAsia="zh-CN" w:bidi="ar-SA"/>
        </w:rPr>
      </w:pPr>
      <w:r>
        <w:rPr>
          <w:rFonts w:hint="eastAsia" w:ascii="仿宋_GB2312" w:hAnsi="仿宋_GB2312" w:eastAsia="仿宋_GB2312" w:cs="仿宋_GB2312"/>
          <w:bCs/>
          <w:kern w:val="0"/>
          <w:sz w:val="32"/>
          <w:szCs w:val="32"/>
          <w:highlight w:val="yellow"/>
          <w:lang w:val="en-US" w:eastAsia="zh-CN" w:bidi="ar-SA"/>
        </w:rPr>
        <w:t>（二十一）负责兽医医政监督管理，监督管理兽医相关人员、中兽医和动物诊疗机构。承担兽医体系建设工作。</w:t>
      </w:r>
    </w:p>
    <w:p>
      <w:pPr>
        <w:keepNext w:val="0"/>
        <w:keepLines w:val="0"/>
        <w:pageBreakBefore w:val="0"/>
        <w:widowControl/>
        <w:kinsoku/>
        <w:wordWrap/>
        <w:overflowPunct/>
        <w:topLinePunct w:val="0"/>
        <w:autoSpaceDE/>
        <w:autoSpaceDN/>
        <w:bidi w:val="0"/>
        <w:adjustRightInd w:val="0"/>
        <w:snapToGrid w:val="0"/>
        <w:spacing w:after="0" w:line="570" w:lineRule="exact"/>
        <w:ind w:firstLine="570"/>
        <w:jc w:val="both"/>
        <w:textAlignment w:val="auto"/>
        <w:rPr>
          <w:rFonts w:hint="eastAsia" w:ascii="仿宋_GB2312" w:hAnsi="仿宋_GB2312" w:eastAsia="仿宋_GB2312" w:cs="仿宋_GB2312"/>
          <w:bCs/>
          <w:kern w:val="0"/>
          <w:sz w:val="32"/>
          <w:szCs w:val="32"/>
          <w:highlight w:val="yellow"/>
          <w:lang w:val="en-US" w:eastAsia="zh-CN" w:bidi="ar-SA"/>
        </w:rPr>
      </w:pPr>
      <w:r>
        <w:rPr>
          <w:rFonts w:hint="eastAsia" w:ascii="仿宋_GB2312" w:hAnsi="仿宋_GB2312" w:eastAsia="仿宋_GB2312" w:cs="仿宋_GB2312"/>
          <w:bCs/>
          <w:kern w:val="0"/>
          <w:sz w:val="32"/>
          <w:szCs w:val="32"/>
          <w:highlight w:val="yellow"/>
          <w:lang w:val="en-US" w:eastAsia="zh-CN" w:bidi="ar-SA"/>
        </w:rPr>
        <w:t>（二十二）负责监督动物及动物产品检疫、动物标识及动物产品可追溯、动物卫生监督分级管理工作。</w:t>
      </w:r>
    </w:p>
    <w:p>
      <w:pPr>
        <w:keepNext w:val="0"/>
        <w:keepLines w:val="0"/>
        <w:pageBreakBefore w:val="0"/>
        <w:widowControl/>
        <w:kinsoku/>
        <w:wordWrap/>
        <w:overflowPunct/>
        <w:topLinePunct w:val="0"/>
        <w:autoSpaceDE/>
        <w:autoSpaceDN/>
        <w:bidi w:val="0"/>
        <w:adjustRightInd w:val="0"/>
        <w:snapToGrid w:val="0"/>
        <w:spacing w:after="0" w:line="570" w:lineRule="exact"/>
        <w:ind w:firstLine="570"/>
        <w:jc w:val="both"/>
        <w:textAlignment w:val="auto"/>
        <w:rPr>
          <w:rFonts w:hint="eastAsia" w:ascii="仿宋_GB2312" w:hAnsi="仿宋_GB2312" w:eastAsia="仿宋_GB2312" w:cs="仿宋_GB2312"/>
          <w:bCs/>
          <w:kern w:val="0"/>
          <w:sz w:val="32"/>
          <w:szCs w:val="32"/>
          <w:highlight w:val="yellow"/>
          <w:lang w:val="en-US" w:eastAsia="zh-CN" w:bidi="ar-SA"/>
        </w:rPr>
      </w:pPr>
      <w:r>
        <w:rPr>
          <w:rFonts w:hint="eastAsia" w:ascii="仿宋_GB2312" w:hAnsi="仿宋_GB2312" w:eastAsia="仿宋_GB2312" w:cs="仿宋_GB2312"/>
          <w:bCs/>
          <w:kern w:val="0"/>
          <w:sz w:val="32"/>
          <w:szCs w:val="32"/>
          <w:highlight w:val="yellow"/>
          <w:lang w:val="en-US" w:eastAsia="zh-CN" w:bidi="ar-SA"/>
        </w:rPr>
        <w:t>（二十三）负责兽药及兽医器械、饲料及饲料添加剂、生鲜乳生产收购及运输环节、畜禽屠宰环节质量安全监督管理。</w:t>
      </w:r>
    </w:p>
    <w:p>
      <w:pPr>
        <w:keepNext w:val="0"/>
        <w:keepLines w:val="0"/>
        <w:pageBreakBefore w:val="0"/>
        <w:widowControl/>
        <w:kinsoku/>
        <w:wordWrap/>
        <w:overflowPunct/>
        <w:topLinePunct w:val="0"/>
        <w:autoSpaceDE/>
        <w:autoSpaceDN/>
        <w:bidi w:val="0"/>
        <w:adjustRightInd w:val="0"/>
        <w:snapToGrid w:val="0"/>
        <w:spacing w:after="0" w:line="570" w:lineRule="exact"/>
        <w:ind w:firstLine="570"/>
        <w:jc w:val="both"/>
        <w:textAlignment w:val="auto"/>
        <w:rPr>
          <w:rFonts w:hint="eastAsia" w:ascii="仿宋_GB2312" w:hAnsi="仿宋_GB2312" w:eastAsia="仿宋_GB2312" w:cs="仿宋_GB2312"/>
          <w:bCs/>
          <w:kern w:val="0"/>
          <w:sz w:val="32"/>
          <w:szCs w:val="32"/>
          <w:highlight w:val="yellow"/>
          <w:lang w:val="en-US" w:eastAsia="zh-CN" w:bidi="ar-SA"/>
        </w:rPr>
      </w:pPr>
      <w:r>
        <w:rPr>
          <w:rFonts w:hint="eastAsia" w:ascii="仿宋_GB2312" w:hAnsi="仿宋_GB2312" w:eastAsia="仿宋_GB2312" w:cs="仿宋_GB2312"/>
          <w:bCs/>
          <w:kern w:val="0"/>
          <w:sz w:val="32"/>
          <w:szCs w:val="32"/>
          <w:highlight w:val="yellow"/>
          <w:lang w:val="en-US" w:eastAsia="zh-CN" w:bidi="ar-SA"/>
        </w:rPr>
        <w:t>（二十四）负责畜牧兽医技术推广项目的管理工作。指导行业技术推广体系建设与改革。负责组织畜牧行业科技培训。</w:t>
      </w:r>
    </w:p>
    <w:p>
      <w:pPr>
        <w:keepNext w:val="0"/>
        <w:keepLines w:val="0"/>
        <w:pageBreakBefore w:val="0"/>
        <w:widowControl/>
        <w:kinsoku/>
        <w:wordWrap/>
        <w:overflowPunct/>
        <w:topLinePunct w:val="0"/>
        <w:autoSpaceDE/>
        <w:autoSpaceDN/>
        <w:bidi w:val="0"/>
        <w:adjustRightInd w:val="0"/>
        <w:snapToGrid w:val="0"/>
        <w:spacing w:after="0" w:line="570" w:lineRule="exact"/>
        <w:ind w:firstLine="570"/>
        <w:jc w:val="both"/>
        <w:textAlignment w:val="auto"/>
        <w:rPr>
          <w:rFonts w:hint="eastAsia" w:ascii="仿宋_GB2312" w:hAnsi="仿宋_GB2312" w:eastAsia="仿宋_GB2312" w:cs="仿宋_GB2312"/>
          <w:bCs/>
          <w:kern w:val="0"/>
          <w:sz w:val="32"/>
          <w:szCs w:val="32"/>
          <w:highlight w:val="yellow"/>
          <w:lang w:val="en-US" w:eastAsia="zh-CN" w:bidi="ar-SA"/>
        </w:rPr>
      </w:pPr>
      <w:r>
        <w:rPr>
          <w:rFonts w:hint="eastAsia" w:ascii="仿宋_GB2312" w:hAnsi="仿宋_GB2312" w:eastAsia="仿宋_GB2312" w:cs="仿宋_GB2312"/>
          <w:bCs/>
          <w:kern w:val="0"/>
          <w:sz w:val="32"/>
          <w:szCs w:val="32"/>
          <w:highlight w:val="yellow"/>
          <w:lang w:val="en-US" w:eastAsia="zh-CN" w:bidi="ar-SA"/>
        </w:rPr>
        <w:t>（二十五）组织畜禽养殖、屠宰等牧情调度。承担畜牧业综合生产形势分析和畜牧兽医行业统计有关工作。</w:t>
      </w:r>
    </w:p>
    <w:p>
      <w:pPr>
        <w:keepNext w:val="0"/>
        <w:keepLines w:val="0"/>
        <w:pageBreakBefore w:val="0"/>
        <w:widowControl/>
        <w:kinsoku/>
        <w:wordWrap/>
        <w:overflowPunct/>
        <w:topLinePunct w:val="0"/>
        <w:autoSpaceDE/>
        <w:autoSpaceDN/>
        <w:bidi w:val="0"/>
        <w:adjustRightInd w:val="0"/>
        <w:snapToGrid w:val="0"/>
        <w:spacing w:after="0" w:line="570" w:lineRule="exact"/>
        <w:ind w:firstLine="570"/>
        <w:jc w:val="both"/>
        <w:textAlignment w:val="auto"/>
        <w:rPr>
          <w:rFonts w:hint="eastAsia" w:ascii="仿宋_GB2312" w:hAnsi="仿宋_GB2312" w:eastAsia="仿宋_GB2312" w:cs="仿宋_GB2312"/>
          <w:bCs/>
          <w:kern w:val="0"/>
          <w:sz w:val="32"/>
          <w:szCs w:val="32"/>
          <w:highlight w:val="yellow"/>
          <w:lang w:val="en-US" w:eastAsia="zh-CN" w:bidi="ar-SA"/>
        </w:rPr>
      </w:pPr>
      <w:r>
        <w:rPr>
          <w:rFonts w:hint="eastAsia" w:ascii="仿宋_GB2312" w:hAnsi="仿宋_GB2312" w:eastAsia="仿宋_GB2312" w:cs="仿宋_GB2312"/>
          <w:bCs/>
          <w:kern w:val="0"/>
          <w:sz w:val="32"/>
          <w:szCs w:val="32"/>
          <w:highlight w:val="yellow"/>
          <w:lang w:val="en-US" w:eastAsia="zh-CN" w:bidi="ar-SA"/>
        </w:rPr>
        <w:t>（二十六）拟订畜牧业发展规划。提出相关投资项目需求和安排建议并监督实施。</w:t>
      </w:r>
    </w:p>
    <w:p>
      <w:pPr>
        <w:keepNext w:val="0"/>
        <w:keepLines w:val="0"/>
        <w:pageBreakBefore w:val="0"/>
        <w:widowControl/>
        <w:kinsoku/>
        <w:wordWrap/>
        <w:overflowPunct/>
        <w:topLinePunct w:val="0"/>
        <w:autoSpaceDE/>
        <w:autoSpaceDN/>
        <w:bidi w:val="0"/>
        <w:adjustRightInd w:val="0"/>
        <w:snapToGrid w:val="0"/>
        <w:spacing w:after="0" w:line="570" w:lineRule="exact"/>
        <w:ind w:firstLine="570"/>
        <w:jc w:val="both"/>
        <w:textAlignment w:val="auto"/>
        <w:rPr>
          <w:rFonts w:hint="eastAsia" w:ascii="仿宋_GB2312" w:hAnsi="仿宋_GB2312" w:eastAsia="仿宋_GB2312" w:cs="仿宋_GB2312"/>
          <w:bCs/>
          <w:kern w:val="0"/>
          <w:sz w:val="32"/>
          <w:szCs w:val="32"/>
          <w:highlight w:val="yellow"/>
          <w:lang w:val="en-US" w:eastAsia="zh-CN" w:bidi="ar-SA"/>
        </w:rPr>
      </w:pPr>
      <w:r>
        <w:rPr>
          <w:rFonts w:hint="eastAsia" w:ascii="仿宋_GB2312" w:hAnsi="仿宋_GB2312" w:eastAsia="仿宋_GB2312" w:cs="仿宋_GB2312"/>
          <w:bCs/>
          <w:kern w:val="0"/>
          <w:sz w:val="32"/>
          <w:szCs w:val="32"/>
          <w:highlight w:val="yellow"/>
          <w:lang w:val="en-US" w:eastAsia="zh-CN" w:bidi="ar-SA"/>
        </w:rPr>
        <w:t>（二十七）统筹协调全县林果业发展。</w:t>
      </w:r>
    </w:p>
    <w:p>
      <w:pPr>
        <w:keepNext w:val="0"/>
        <w:keepLines w:val="0"/>
        <w:pageBreakBefore w:val="0"/>
        <w:widowControl/>
        <w:kinsoku/>
        <w:wordWrap/>
        <w:overflowPunct/>
        <w:topLinePunct w:val="0"/>
        <w:autoSpaceDE/>
        <w:autoSpaceDN/>
        <w:bidi w:val="0"/>
        <w:adjustRightInd w:val="0"/>
        <w:snapToGrid w:val="0"/>
        <w:spacing w:after="0" w:line="570" w:lineRule="exact"/>
        <w:ind w:firstLine="570"/>
        <w:jc w:val="both"/>
        <w:textAlignment w:val="auto"/>
        <w:rPr>
          <w:rFonts w:hint="eastAsia" w:ascii="仿宋_GB2312" w:hAnsi="仿宋_GB2312" w:eastAsia="仿宋_GB2312" w:cs="仿宋_GB2312"/>
          <w:bCs/>
          <w:kern w:val="0"/>
          <w:sz w:val="32"/>
          <w:szCs w:val="32"/>
          <w:highlight w:val="yellow"/>
          <w:lang w:val="en-US" w:eastAsia="zh-CN" w:bidi="ar-SA"/>
        </w:rPr>
      </w:pPr>
      <w:r>
        <w:rPr>
          <w:rFonts w:hint="eastAsia" w:ascii="仿宋_GB2312" w:hAnsi="仿宋_GB2312" w:eastAsia="仿宋_GB2312" w:cs="仿宋_GB2312"/>
          <w:bCs/>
          <w:kern w:val="0"/>
          <w:sz w:val="32"/>
          <w:szCs w:val="32"/>
          <w:highlight w:val="yellow"/>
          <w:lang w:val="en-US" w:eastAsia="zh-CN" w:bidi="ar-SA"/>
        </w:rPr>
        <w:t>（二十八）承办县委、县政府交办的其他任务。</w:t>
      </w:r>
    </w:p>
    <w:p>
      <w:pPr>
        <w:spacing w:line="640" w:lineRule="exact"/>
        <w:ind w:firstLine="640"/>
        <w:jc w:val="both"/>
        <w:outlineLvl w:val="2"/>
        <w:rPr>
          <w:rFonts w:hint="eastAsia" w:ascii="仿宋_GB2312" w:hAnsi="仿宋_GB2312" w:eastAsia="仿宋_GB2312" w:cs="仿宋_GB2312"/>
          <w:bCs/>
          <w:kern w:val="0"/>
          <w:sz w:val="32"/>
          <w:szCs w:val="32"/>
          <w:highlight w:val="yellow"/>
          <w:lang w:val="en-US" w:eastAsia="zh-CN" w:bidi="ar-SA"/>
        </w:rPr>
      </w:pPr>
      <w:r>
        <w:rPr>
          <w:rFonts w:hint="eastAsia" w:ascii="仿宋_GB2312" w:hAnsi="仿宋_GB2312" w:eastAsia="仿宋_GB2312" w:cs="仿宋_GB2312"/>
          <w:bCs/>
          <w:kern w:val="0"/>
          <w:sz w:val="32"/>
          <w:szCs w:val="32"/>
          <w:highlight w:val="yellow"/>
          <w:lang w:val="en-US" w:eastAsia="zh-CN" w:bidi="ar-SA"/>
        </w:rPr>
        <w:t>二、机构设置及人员情况</w:t>
      </w:r>
    </w:p>
    <w:p>
      <w:pPr>
        <w:spacing w:line="580" w:lineRule="exact"/>
        <w:ind w:firstLine="640"/>
        <w:jc w:val="both"/>
        <w:rPr>
          <w:rFonts w:hint="default" w:ascii="仿宋_GB2312" w:hAnsi="仿宋_GB2312" w:eastAsia="仿宋_GB2312" w:cs="仿宋_GB2312"/>
          <w:bCs/>
          <w:kern w:val="0"/>
          <w:sz w:val="32"/>
          <w:szCs w:val="32"/>
          <w:highlight w:val="yellow"/>
          <w:lang w:val="en-US" w:eastAsia="zh-CN" w:bidi="ar-SA"/>
        </w:rPr>
      </w:pPr>
      <w:r>
        <w:rPr>
          <w:rFonts w:hint="eastAsia" w:ascii="仿宋_GB2312" w:hAnsi="仿宋_GB2312" w:eastAsia="仿宋_GB2312" w:cs="仿宋_GB2312"/>
          <w:bCs/>
          <w:kern w:val="0"/>
          <w:sz w:val="32"/>
          <w:szCs w:val="32"/>
          <w:highlight w:val="yellow"/>
          <w:lang w:val="en-US" w:eastAsia="zh-CN" w:bidi="ar-SA"/>
        </w:rPr>
        <w:t>麦盖提县农业农村局2024年度，实有人数207人，其中：在职人员130人，增加29人；离休人员0人，增加0人；退休人员77人,减少2人。</w:t>
      </w:r>
    </w:p>
    <w:p>
      <w:pPr>
        <w:spacing w:line="580" w:lineRule="exact"/>
        <w:ind w:firstLine="640"/>
        <w:jc w:val="both"/>
      </w:pPr>
      <w:r>
        <w:rPr>
          <w:rFonts w:ascii="仿宋_GB2312" w:hAnsi="仿宋_GB2312" w:eastAsia="仿宋_GB2312"/>
          <w:sz w:val="32"/>
        </w:rPr>
        <w:t>麦盖提县农业农村局无下属预算单位，下设4个科室，分别是：行政办、农业生产股、畜牧兽医股、乡村振兴股。</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2024年度收入总计54,620.22万元，</w:t>
      </w:r>
      <w:r>
        <w:rPr>
          <w:rFonts w:ascii="仿宋_GB2312" w:hAnsi="仿宋_GB2312" w:eastAsia="仿宋_GB2312"/>
          <w:b w:val="0"/>
          <w:sz w:val="32"/>
        </w:rPr>
        <w:t>其中：本年收入合计54,620.22万元，使用非财政拨款结余（含专用结余）0.00万元，年初结转和结余0.00万元。</w:t>
      </w:r>
    </w:p>
    <w:p>
      <w:pPr>
        <w:spacing w:line="580" w:lineRule="exact"/>
        <w:ind w:firstLine="640"/>
        <w:jc w:val="both"/>
      </w:pPr>
      <w:r>
        <w:rPr>
          <w:rFonts w:ascii="仿宋_GB2312" w:hAnsi="仿宋_GB2312" w:eastAsia="仿宋_GB2312"/>
          <w:b/>
          <w:sz w:val="32"/>
        </w:rPr>
        <w:t>2024年度支出总计54,620.22万元，</w:t>
      </w:r>
      <w:r>
        <w:rPr>
          <w:rFonts w:ascii="仿宋_GB2312" w:hAnsi="仿宋_GB2312" w:eastAsia="仿宋_GB2312"/>
          <w:b w:val="0"/>
          <w:sz w:val="32"/>
        </w:rPr>
        <w:t>其中：本年支出合计54,620.22万元，结余分配0.00万元，年末结转和结余0.00万元。</w:t>
      </w:r>
    </w:p>
    <w:p>
      <w:pPr>
        <w:spacing w:line="580" w:lineRule="exact"/>
        <w:ind w:firstLine="640"/>
        <w:jc w:val="both"/>
      </w:pPr>
      <w:r>
        <w:rPr>
          <w:rFonts w:ascii="仿宋_GB2312" w:hAnsi="仿宋_GB2312" w:eastAsia="仿宋_GB2312"/>
          <w:b w:val="0"/>
          <w:sz w:val="32"/>
        </w:rPr>
        <w:t>收入支出总体与上年相比，增加2,276.89万元，增长4.35%，主要原因是：本年度新增2024年耕地地力保护补贴项目、2023年麦盖提县优质棉基地建设项目、2023年麦盖提县大豆生产基地建设项目、2024年期货助力乡村振兴暨“保险+期货”持续发展大会经费，导致决算数比上年度增加。</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本年收入54,620.22万元，</w:t>
      </w:r>
      <w:r>
        <w:rPr>
          <w:rFonts w:ascii="仿宋_GB2312" w:hAnsi="仿宋_GB2312" w:eastAsia="仿宋_GB2312"/>
          <w:b w:val="0"/>
          <w:sz w:val="32"/>
        </w:rPr>
        <w:t>其中：财政拨款收入53,480.43万元，占97.91%；上级补助收入0.00万元，占0.00%；事业收入0.00万元，占0.00%；经营收入0.00万元，占0.00%；附属单位上缴收入0.00万元，占0.00%；其他收入1,139.79万元，占2.09%。</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本年支出54,620.22万元，</w:t>
      </w:r>
      <w:r>
        <w:rPr>
          <w:rFonts w:ascii="仿宋_GB2312" w:hAnsi="仿宋_GB2312" w:eastAsia="仿宋_GB2312"/>
          <w:b w:val="0"/>
          <w:sz w:val="32"/>
        </w:rPr>
        <w:t>其中：基本支出2,175.44万元，占3.98%；项目支出52,444.78万元，占96.02%；上缴上级支出0.00万元，占0.00%；经营支出0.00万元，占0.00%；对附属单位补助支出0.00万元，占0.00%。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2024年度财政拨款收入总计53,480.43万元，</w:t>
      </w:r>
      <w:r>
        <w:rPr>
          <w:rFonts w:ascii="仿宋_GB2312" w:hAnsi="仿宋_GB2312" w:eastAsia="仿宋_GB2312"/>
          <w:b w:val="0"/>
          <w:sz w:val="32"/>
        </w:rPr>
        <w:t>其中：年初财政拨款结转和结余0.00万元，本年财政拨款收入53,480.43万元。</w:t>
      </w:r>
      <w:r>
        <w:rPr>
          <w:rFonts w:ascii="仿宋_GB2312" w:hAnsi="仿宋_GB2312" w:eastAsia="仿宋_GB2312"/>
          <w:b/>
          <w:sz w:val="32"/>
        </w:rPr>
        <w:t>财政拨款支出总计53,480.43万元，</w:t>
      </w:r>
      <w:r>
        <w:rPr>
          <w:rFonts w:ascii="仿宋_GB2312" w:hAnsi="仿宋_GB2312" w:eastAsia="仿宋_GB2312"/>
          <w:b w:val="0"/>
          <w:sz w:val="32"/>
        </w:rPr>
        <w:t>其中：年末财政拨款结转和结余0.00万元，本年财政拨款支出53,480.43万元。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2,482.44万元，增长4.87%，主要原因是：本年度新增2024年耕地地力保护补贴项目、2023年麦盖提县优质棉基地建设项目、2023年麦盖提县大豆生产基地建设项目、2024年期货助力乡村振兴暨“保险+期货”持续发展大会经费，导致决算数比上年度增加。</w:t>
      </w:r>
      <w:r>
        <w:rPr>
          <w:rFonts w:ascii="仿宋_GB2312" w:hAnsi="仿宋_GB2312" w:eastAsia="仿宋_GB2312"/>
          <w:b/>
          <w:sz w:val="32"/>
        </w:rPr>
        <w:t>与年初预算相比，</w:t>
      </w:r>
      <w:r>
        <w:rPr>
          <w:rFonts w:ascii="仿宋_GB2312" w:hAnsi="仿宋_GB2312" w:eastAsia="仿宋_GB2312"/>
          <w:b w:val="0"/>
          <w:sz w:val="32"/>
        </w:rPr>
        <w:t>年初预算数23,043.31万元，决算数53,480.43万元，预决算差异率132.09%，主要原因是：年中追加农村厕所革命整村推进财政奖补项目，麦盖提县产业（畜牧业）扶持以奖代补项目、麦盖提县克孜勒阿瓦提乡乡村振兴配套农畜基础设施建设项目、麦盖提县肉羊良繁中心改造提升建设项目（二期）、麦盖提县乡村振兴配套农畜基础设施建设项目、莎车现代农业（肉羊）产业园-麦盖提县场建设项目，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2024年度一般公共预算财政拨款支出45,480.43万元，</w:t>
      </w:r>
      <w:r>
        <w:rPr>
          <w:rFonts w:ascii="仿宋_GB2312" w:hAnsi="仿宋_GB2312" w:eastAsia="仿宋_GB2312"/>
          <w:b w:val="0"/>
          <w:sz w:val="32"/>
        </w:rPr>
        <w:t>占本年支出合计的83.27%。</w:t>
      </w:r>
      <w:r>
        <w:rPr>
          <w:rFonts w:ascii="仿宋_GB2312" w:hAnsi="仿宋_GB2312" w:eastAsia="仿宋_GB2312"/>
          <w:b/>
          <w:sz w:val="32"/>
        </w:rPr>
        <w:t>与上年相比，</w:t>
      </w:r>
      <w:r>
        <w:rPr>
          <w:rFonts w:ascii="仿宋_GB2312" w:hAnsi="仿宋_GB2312" w:eastAsia="仿宋_GB2312"/>
          <w:b w:val="0"/>
          <w:sz w:val="32"/>
        </w:rPr>
        <w:t>减少400.19万元，下降0.87%，主要原因是：本年减少耕地地力保护补贴、高标准农田建设项目资金等项目经费，导致相关经费减少。</w:t>
      </w:r>
      <w:r>
        <w:rPr>
          <w:rFonts w:ascii="仿宋_GB2312" w:hAnsi="仿宋_GB2312" w:eastAsia="仿宋_GB2312"/>
          <w:b/>
          <w:sz w:val="32"/>
        </w:rPr>
        <w:t>与年初预算相比,</w:t>
      </w:r>
      <w:r>
        <w:rPr>
          <w:rFonts w:ascii="仿宋_GB2312" w:hAnsi="仿宋_GB2312" w:eastAsia="仿宋_GB2312"/>
          <w:b w:val="0"/>
          <w:sz w:val="32"/>
        </w:rPr>
        <w:t>年初预算数23,043.31万元，决算数45,480.43万元，预决算差异率97.37%，主要原因是：年中追加农村厕所革命整村推进财政奖补项目，麦盖提县产业（畜牧业）扶持以奖代补项目、麦盖提县克孜勒阿瓦提乡乡村振兴配套农畜基础设施建设项目、麦盖提县肉羊良繁中心改造提升建设项目（二期）、麦盖提县乡村振兴配套农畜基础设施建设项目，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1.社会保障和就业支出(类)315.64万元,占0.69%。</w:t>
      </w:r>
    </w:p>
    <w:p>
      <w:pPr>
        <w:spacing w:line="580" w:lineRule="exact"/>
        <w:ind w:firstLine="640"/>
        <w:jc w:val="both"/>
      </w:pPr>
      <w:r>
        <w:rPr>
          <w:rFonts w:ascii="仿宋_GB2312" w:hAnsi="仿宋_GB2312" w:eastAsia="仿宋_GB2312"/>
          <w:b w:val="0"/>
          <w:sz w:val="32"/>
        </w:rPr>
        <w:t>2.卫生健康支出(类)94.66万元,占0.21%。</w:t>
      </w:r>
    </w:p>
    <w:p>
      <w:pPr>
        <w:spacing w:line="580" w:lineRule="exact"/>
        <w:ind w:firstLine="640"/>
        <w:jc w:val="both"/>
      </w:pPr>
      <w:r>
        <w:rPr>
          <w:rFonts w:ascii="仿宋_GB2312" w:hAnsi="仿宋_GB2312" w:eastAsia="仿宋_GB2312"/>
          <w:b w:val="0"/>
          <w:sz w:val="32"/>
        </w:rPr>
        <w:t>3.农林水支出(类)44,912.07万元,占98.75%。</w:t>
      </w:r>
    </w:p>
    <w:p>
      <w:pPr>
        <w:spacing w:line="580" w:lineRule="exact"/>
        <w:ind w:firstLine="640"/>
        <w:jc w:val="both"/>
      </w:pPr>
      <w:r>
        <w:rPr>
          <w:rFonts w:ascii="仿宋_GB2312" w:hAnsi="仿宋_GB2312" w:eastAsia="仿宋_GB2312"/>
          <w:b w:val="0"/>
          <w:sz w:val="32"/>
        </w:rPr>
        <w:t>4.住房保障支出(类)156.96万元,占0.35%。</w:t>
      </w:r>
    </w:p>
    <w:p>
      <w:pPr>
        <w:spacing w:line="580" w:lineRule="exact"/>
        <w:ind w:firstLine="640"/>
        <w:jc w:val="both"/>
      </w:pPr>
      <w:r>
        <w:rPr>
          <w:rFonts w:ascii="仿宋_GB2312" w:hAnsi="仿宋_GB2312" w:eastAsia="仿宋_GB2312"/>
          <w:b w:val="0"/>
          <w:sz w:val="32"/>
        </w:rPr>
        <w:t>5.其他支出(类)1.10万元,占0.002%。</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社会保障和就业支出(类)行政事业单位养老支出(款)行政单位离退休(项):支出决算数为104.75万元，比上年决算增加29.19万元，增长38.63%,主要原因是：本年退休人员增加，退休人员基础绩效奖增加，导致退休费支出增加。</w:t>
      </w:r>
    </w:p>
    <w:p>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194.47万元，比上年决算增加15.05万元，增长8.39%,主要原因是：本年在职人员工资基数调增，养老缴费基数上涨，相应支出增加。</w:t>
      </w:r>
    </w:p>
    <w:p>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16.42万元，比上年决算减少28.74万元，下降63.64%,主要原因是：本年新增退休人员较上年减少，职业年金缴费较上年减少。</w:t>
      </w:r>
    </w:p>
    <w:p>
      <w:pPr>
        <w:spacing w:line="580" w:lineRule="exact"/>
        <w:ind w:firstLine="640"/>
        <w:jc w:val="both"/>
      </w:pPr>
      <w:r>
        <w:rPr>
          <w:rFonts w:ascii="仿宋_GB2312" w:hAnsi="仿宋_GB2312" w:eastAsia="仿宋_GB2312"/>
          <w:b w:val="0"/>
          <w:sz w:val="32"/>
        </w:rPr>
        <w:t>4.卫生健康支出(类)行政事业单位医疗(款)行政单位医疗(项):支出决算数为82.65万元，比上年决算增加6.46万元，增长8.48%,主要原因是：本年在职人员工资基数调增，医疗缴费基数上涨，相应支出增加。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5.卫生健康支出(类)行政事业单位医疗(款)公务员医疗补助(项):支出决算数为12.01万元，比上年决算减少0.17万元，下降1.40%,主要原因是：本年在职人员调入调出，人员职级不同，缴费基数不同，导致公务员医疗补助较上年减少。</w:t>
      </w:r>
    </w:p>
    <w:p>
      <w:pPr>
        <w:spacing w:line="580" w:lineRule="exact"/>
        <w:ind w:firstLine="640"/>
        <w:jc w:val="both"/>
      </w:pPr>
      <w:r>
        <w:rPr>
          <w:rFonts w:ascii="仿宋_GB2312" w:hAnsi="仿宋_GB2312" w:eastAsia="仿宋_GB2312"/>
          <w:b w:val="0"/>
          <w:sz w:val="32"/>
        </w:rPr>
        <w:t>6.农林水支出(类)农业农村(款)行政运行(项):支出决算数为1,608.18万元，比上年决算增加156.88万元，增长10.81%,主要原因是：由于机构改革，2024年8月乡村振兴局合并至农业农村局，工资等人员经费增加，导致相关人员经费较上年有所增加。</w:t>
      </w:r>
    </w:p>
    <w:p>
      <w:pPr>
        <w:spacing w:line="580" w:lineRule="exact"/>
        <w:ind w:firstLine="640"/>
        <w:jc w:val="both"/>
      </w:pPr>
      <w:r>
        <w:rPr>
          <w:rFonts w:ascii="仿宋_GB2312" w:hAnsi="仿宋_GB2312" w:eastAsia="仿宋_GB2312"/>
          <w:b w:val="0"/>
          <w:sz w:val="32"/>
        </w:rPr>
        <w:t>7.农林水支出(类)农业农村(款)病虫害控制(项):支出决算数为250.78万元，比上年决算减少181.66万元，下降42.01%,主要原因是：本年度减少政府购买畜牧兽医社会化服务项目资金、无纸化防疫系统运行维护服务费等项目经费，导致决算数比上年度减少。</w:t>
      </w:r>
    </w:p>
    <w:p>
      <w:pPr>
        <w:spacing w:line="580" w:lineRule="exact"/>
        <w:ind w:firstLine="640"/>
        <w:jc w:val="both"/>
      </w:pPr>
      <w:r>
        <w:rPr>
          <w:rFonts w:ascii="仿宋_GB2312" w:hAnsi="仿宋_GB2312" w:eastAsia="仿宋_GB2312"/>
          <w:b w:val="0"/>
          <w:sz w:val="32"/>
        </w:rPr>
        <w:t>8.农林水支出(类)农业农村(款)农产品质量安全(项):支出决算数为0.00万元，比上年决算减少9.16万元，下降100.00%,主要原因是：本年度减少农产品质量安全检验检测经费，导致决算数比上年度减少。</w:t>
      </w:r>
    </w:p>
    <w:p>
      <w:pPr>
        <w:spacing w:line="580" w:lineRule="exact"/>
        <w:ind w:firstLine="640"/>
        <w:jc w:val="both"/>
      </w:pPr>
      <w:r>
        <w:rPr>
          <w:rFonts w:ascii="仿宋_GB2312" w:hAnsi="仿宋_GB2312" w:eastAsia="仿宋_GB2312"/>
          <w:b w:val="0"/>
          <w:sz w:val="32"/>
        </w:rPr>
        <w:t>9.农林水支出(类)农业农村(款)执法监管(项):支出决算数为0.00万元，比上年决算减少2.13万元，下降100.00%,主要原因是：本年度减少麦盖提县农业综合行政执法运行经费，导致决算数比上年度减少。</w:t>
      </w:r>
    </w:p>
    <w:p>
      <w:pPr>
        <w:spacing w:line="580" w:lineRule="exact"/>
        <w:ind w:firstLine="640"/>
        <w:jc w:val="both"/>
      </w:pPr>
      <w:r>
        <w:rPr>
          <w:rFonts w:ascii="仿宋_GB2312" w:hAnsi="仿宋_GB2312" w:eastAsia="仿宋_GB2312"/>
          <w:b w:val="0"/>
          <w:sz w:val="32"/>
        </w:rPr>
        <w:t>10.农林水支出(类)农业农村(款)统计监测与信息服务(项):支出决算数为0.00万元，比上年决算减少50.00万元，下降100.00%,主要原因是：本年度减少麦盖提县“畜牧云”监管服务平台建设项目，致决算数比上年度减少。</w:t>
      </w:r>
    </w:p>
    <w:p>
      <w:pPr>
        <w:spacing w:line="580" w:lineRule="exact"/>
        <w:ind w:firstLine="640"/>
        <w:jc w:val="both"/>
      </w:pPr>
      <w:r>
        <w:rPr>
          <w:rFonts w:ascii="仿宋_GB2312" w:hAnsi="仿宋_GB2312" w:eastAsia="仿宋_GB2312"/>
          <w:b w:val="0"/>
          <w:sz w:val="32"/>
        </w:rPr>
        <w:t>11.农林水支出(类)农业农村(款)防灾救灾(项):支出决算数为249.40万元，比上年决算增加225.40万元，增长939.17%,主要原因是：本年度增加农业防灾减灾和水利救灾资金（防灾减灾第十一批)项目资金，导致决算数比上年度增加。</w:t>
      </w:r>
    </w:p>
    <w:p>
      <w:pPr>
        <w:spacing w:line="580" w:lineRule="exact"/>
        <w:ind w:firstLine="640"/>
        <w:jc w:val="both"/>
      </w:pPr>
      <w:r>
        <w:rPr>
          <w:rFonts w:ascii="仿宋_GB2312" w:hAnsi="仿宋_GB2312" w:eastAsia="仿宋_GB2312"/>
          <w:b w:val="0"/>
          <w:sz w:val="32"/>
        </w:rPr>
        <w:t>12.农林水支出(类)农业农村(款)稳定农民收入补贴(项):支出决算数为5,341.23万元，比上年决算增加5,341.23万元，增长100.00%,主要原因是：</w:t>
      </w:r>
      <w:r>
        <w:rPr>
          <w:rFonts w:hint="eastAsia" w:ascii="仿宋_GB2312" w:hAnsi="仿宋_GB2312" w:eastAsia="仿宋_GB2312"/>
          <w:b w:val="0"/>
          <w:sz w:val="32"/>
          <w:lang w:val="en-US" w:eastAsia="zh-CN"/>
        </w:rPr>
        <w:t>本年功能科目调整，</w:t>
      </w:r>
      <w:r>
        <w:rPr>
          <w:rFonts w:ascii="仿宋_GB2312" w:hAnsi="仿宋_GB2312" w:eastAsia="仿宋_GB2312"/>
          <w:b w:val="0"/>
          <w:sz w:val="32"/>
        </w:rPr>
        <w:t>耕地地力保护补贴项目</w:t>
      </w:r>
      <w:r>
        <w:rPr>
          <w:rFonts w:hint="eastAsia" w:ascii="仿宋_GB2312" w:hAnsi="仿宋_GB2312" w:eastAsia="仿宋_GB2312"/>
          <w:b w:val="0"/>
          <w:sz w:val="32"/>
          <w:lang w:val="en-US" w:eastAsia="zh-CN"/>
        </w:rPr>
        <w:t>本年由</w:t>
      </w:r>
      <w:r>
        <w:rPr>
          <w:rFonts w:ascii="仿宋_GB2312" w:hAnsi="仿宋_GB2312" w:eastAsia="仿宋_GB2312"/>
          <w:b w:val="0"/>
          <w:sz w:val="32"/>
        </w:rPr>
        <w:t>农业生产发展</w:t>
      </w:r>
      <w:r>
        <w:rPr>
          <w:rFonts w:hint="eastAsia" w:ascii="仿宋_GB2312" w:hAnsi="仿宋_GB2312" w:eastAsia="仿宋_GB2312"/>
          <w:b w:val="0"/>
          <w:sz w:val="32"/>
          <w:lang w:val="en-US" w:eastAsia="zh-CN"/>
        </w:rPr>
        <w:t>科目调整至</w:t>
      </w:r>
      <w:r>
        <w:rPr>
          <w:rFonts w:ascii="仿宋_GB2312" w:hAnsi="仿宋_GB2312" w:eastAsia="仿宋_GB2312"/>
          <w:b w:val="0"/>
          <w:sz w:val="32"/>
        </w:rPr>
        <w:t>稳定农民收入补贴</w:t>
      </w:r>
      <w:r>
        <w:rPr>
          <w:rFonts w:hint="eastAsia" w:ascii="仿宋_GB2312" w:hAnsi="仿宋_GB2312" w:eastAsia="仿宋_GB2312"/>
          <w:b w:val="0"/>
          <w:sz w:val="32"/>
          <w:lang w:val="en-US" w:eastAsia="zh-CN"/>
        </w:rPr>
        <w:t>科目列支</w:t>
      </w:r>
      <w:r>
        <w:rPr>
          <w:rFonts w:ascii="仿宋_GB2312" w:hAnsi="仿宋_GB2312" w:eastAsia="仿宋_GB2312"/>
          <w:b w:val="0"/>
          <w:sz w:val="32"/>
        </w:rPr>
        <w:t>，导致决算数比上年度增加。</w:t>
      </w:r>
    </w:p>
    <w:p>
      <w:pPr>
        <w:spacing w:line="580" w:lineRule="exact"/>
        <w:ind w:firstLine="640"/>
        <w:jc w:val="both"/>
      </w:pPr>
      <w:r>
        <w:rPr>
          <w:rFonts w:ascii="仿宋_GB2312" w:hAnsi="仿宋_GB2312" w:eastAsia="仿宋_GB2312"/>
          <w:b w:val="0"/>
          <w:sz w:val="32"/>
        </w:rPr>
        <w:t>13.农林水支出(类)农业农村(款)农业生产发展(项):支出决算数为3,774.78万元，比上年决算减少3,698.33万元，下降49.49%,主要原因是：</w:t>
      </w:r>
      <w:r>
        <w:rPr>
          <w:rFonts w:hint="eastAsia" w:ascii="仿宋_GB2312" w:hAnsi="仿宋_GB2312" w:eastAsia="仿宋_GB2312"/>
          <w:b w:val="0"/>
          <w:sz w:val="32"/>
          <w:lang w:val="en-US" w:eastAsia="zh-CN"/>
        </w:rPr>
        <w:t>本年功能科目调整，</w:t>
      </w:r>
      <w:r>
        <w:rPr>
          <w:rFonts w:ascii="仿宋_GB2312" w:hAnsi="仿宋_GB2312" w:eastAsia="仿宋_GB2312"/>
          <w:b w:val="0"/>
          <w:sz w:val="32"/>
        </w:rPr>
        <w:t>耕地地力保护补贴项目</w:t>
      </w:r>
      <w:r>
        <w:rPr>
          <w:rFonts w:hint="eastAsia" w:ascii="仿宋_GB2312" w:hAnsi="仿宋_GB2312" w:eastAsia="仿宋_GB2312"/>
          <w:b w:val="0"/>
          <w:sz w:val="32"/>
          <w:lang w:val="en-US" w:eastAsia="zh-CN"/>
        </w:rPr>
        <w:t>本年由</w:t>
      </w:r>
      <w:r>
        <w:rPr>
          <w:rFonts w:ascii="仿宋_GB2312" w:hAnsi="仿宋_GB2312" w:eastAsia="仿宋_GB2312"/>
          <w:b w:val="0"/>
          <w:sz w:val="32"/>
        </w:rPr>
        <w:t>农业生产发展</w:t>
      </w:r>
      <w:r>
        <w:rPr>
          <w:rFonts w:hint="eastAsia" w:ascii="仿宋_GB2312" w:hAnsi="仿宋_GB2312" w:eastAsia="仿宋_GB2312"/>
          <w:b w:val="0"/>
          <w:sz w:val="32"/>
          <w:lang w:val="en-US" w:eastAsia="zh-CN"/>
        </w:rPr>
        <w:t>科目调整至</w:t>
      </w:r>
      <w:r>
        <w:rPr>
          <w:rFonts w:ascii="仿宋_GB2312" w:hAnsi="仿宋_GB2312" w:eastAsia="仿宋_GB2312"/>
          <w:b w:val="0"/>
          <w:sz w:val="32"/>
        </w:rPr>
        <w:t>稳定农民收入补贴</w:t>
      </w:r>
      <w:r>
        <w:rPr>
          <w:rFonts w:hint="eastAsia" w:ascii="仿宋_GB2312" w:hAnsi="仿宋_GB2312" w:eastAsia="仿宋_GB2312"/>
          <w:b w:val="0"/>
          <w:sz w:val="32"/>
          <w:lang w:val="en-US" w:eastAsia="zh-CN"/>
        </w:rPr>
        <w:t>科目列支</w:t>
      </w:r>
      <w:r>
        <w:rPr>
          <w:rFonts w:ascii="仿宋_GB2312" w:hAnsi="仿宋_GB2312" w:eastAsia="仿宋_GB2312"/>
          <w:b w:val="0"/>
          <w:sz w:val="32"/>
        </w:rPr>
        <w:t>，导致决算数比上年度</w:t>
      </w:r>
      <w:r>
        <w:rPr>
          <w:rFonts w:hint="eastAsia" w:ascii="仿宋_GB2312" w:hAnsi="仿宋_GB2312" w:eastAsia="仿宋_GB2312"/>
          <w:b w:val="0"/>
          <w:sz w:val="32"/>
          <w:lang w:val="en-US" w:eastAsia="zh-CN"/>
        </w:rPr>
        <w:t>减少</w:t>
      </w:r>
      <w:r>
        <w:rPr>
          <w:rFonts w:ascii="仿宋_GB2312" w:hAnsi="仿宋_GB2312" w:eastAsia="仿宋_GB2312"/>
          <w:b w:val="0"/>
          <w:sz w:val="32"/>
        </w:rPr>
        <w:t>。</w:t>
      </w:r>
    </w:p>
    <w:p>
      <w:pPr>
        <w:spacing w:line="580" w:lineRule="exact"/>
        <w:ind w:firstLine="640"/>
        <w:jc w:val="both"/>
      </w:pPr>
      <w:r>
        <w:rPr>
          <w:rFonts w:ascii="仿宋_GB2312" w:hAnsi="仿宋_GB2312" w:eastAsia="仿宋_GB2312"/>
          <w:b w:val="0"/>
          <w:sz w:val="32"/>
        </w:rPr>
        <w:t>14.农林水支出(类)农业农村(款)农村合作经济(项):支出决算数为601.00万元，比上年决算增加601.00万元，增长100.00%,主要原因是：本年度新增农业生产社会化服务项目、2024年粮油单产提升行动项目、粮油单产提升行动项目等，导致决算数比上年度增加。</w:t>
      </w:r>
    </w:p>
    <w:p>
      <w:pPr>
        <w:spacing w:line="580" w:lineRule="exact"/>
        <w:ind w:firstLine="640"/>
        <w:jc w:val="both"/>
      </w:pPr>
      <w:r>
        <w:rPr>
          <w:rFonts w:ascii="仿宋_GB2312" w:hAnsi="仿宋_GB2312" w:eastAsia="仿宋_GB2312"/>
          <w:b w:val="0"/>
          <w:sz w:val="32"/>
        </w:rPr>
        <w:t>15.农林水支出(类)农业农村(款)农业生态资源保护(项):支出决算数为2,178.62万元，比上年决算减少261.11万元，下降10.70%,主要原因是：本年度减少中央农业资源及生态保护补助等资金，导致决算数比上年度减少。</w:t>
      </w:r>
    </w:p>
    <w:p>
      <w:pPr>
        <w:spacing w:line="580" w:lineRule="exact"/>
        <w:ind w:firstLine="640"/>
        <w:jc w:val="both"/>
      </w:pPr>
      <w:r>
        <w:rPr>
          <w:rFonts w:ascii="仿宋_GB2312" w:hAnsi="仿宋_GB2312" w:eastAsia="仿宋_GB2312"/>
          <w:b w:val="0"/>
          <w:sz w:val="32"/>
        </w:rPr>
        <w:t>16.农林水支出(类)农业农村(款)耕地建设与利用(项):支出决算数为7,628.31万元，比上年决算减少3,240.95万元，下降29.82%,主要原因是：本年度减少高标准农田建设项目资金，导致决算数比上年度减少。</w:t>
      </w:r>
    </w:p>
    <w:p>
      <w:pPr>
        <w:spacing w:line="580" w:lineRule="exact"/>
        <w:ind w:firstLine="640"/>
        <w:jc w:val="both"/>
      </w:pPr>
      <w:r>
        <w:rPr>
          <w:rFonts w:ascii="仿宋_GB2312" w:hAnsi="仿宋_GB2312" w:eastAsia="仿宋_GB2312"/>
          <w:b w:val="0"/>
          <w:sz w:val="32"/>
        </w:rPr>
        <w:t>17.农林水支出(类)农业农村(款)其他农业农村支出(项):支出决算数为4,796.72万元，比上年决算增加3,793.55万元，增长378.16%,主要原因是：本年度新增麦盖提县优质棉基地建设项目、麦盖提县大豆生产基地建设项目、2024年期货助力乡村振兴暨“保险+期货”持续发展大会经费等项目，导致决算数比上年度增加。</w:t>
      </w:r>
    </w:p>
    <w:p>
      <w:pPr>
        <w:spacing w:line="580" w:lineRule="exact"/>
        <w:ind w:firstLine="640"/>
        <w:jc w:val="both"/>
      </w:pPr>
      <w:r>
        <w:rPr>
          <w:rFonts w:ascii="仿宋_GB2312" w:hAnsi="仿宋_GB2312" w:eastAsia="仿宋_GB2312"/>
          <w:b w:val="0"/>
          <w:sz w:val="32"/>
        </w:rPr>
        <w:t>18.农林水支出(类)林业和草原(款)动植物保护(项):支出决算数为0.00万元，比上年决算减少102.99万元，下降100.00%,主要原因是：本年减少喀什地区（麦盖提县）牲畜疫病防疫检测中心建设项目，导致决算数比上年度减少。</w:t>
      </w:r>
    </w:p>
    <w:p>
      <w:pPr>
        <w:spacing w:line="580" w:lineRule="exact"/>
        <w:ind w:firstLine="640"/>
        <w:jc w:val="both"/>
      </w:pPr>
      <w:r>
        <w:rPr>
          <w:rFonts w:ascii="仿宋_GB2312" w:hAnsi="仿宋_GB2312" w:eastAsia="仿宋_GB2312"/>
          <w:b w:val="0"/>
          <w:sz w:val="32"/>
        </w:rPr>
        <w:t>19.农林水支出(类)巩固脱贫攻坚成果衔接乡村振兴(款)农村基础设施建设(项):支出决算数为2,125.68万元，比上年决算增加2,125.68万元，增长100.00%,主要原因是：本年度新增农村厕所革命整村推进财政奖补项目，导致决算数比上年度增加。</w:t>
      </w:r>
    </w:p>
    <w:p>
      <w:pPr>
        <w:spacing w:line="580" w:lineRule="exact"/>
        <w:ind w:firstLine="640"/>
        <w:jc w:val="both"/>
      </w:pPr>
      <w:r>
        <w:rPr>
          <w:rFonts w:ascii="仿宋_GB2312" w:hAnsi="仿宋_GB2312" w:eastAsia="仿宋_GB2312"/>
          <w:b w:val="0"/>
          <w:sz w:val="32"/>
        </w:rPr>
        <w:t>20.农林水支出(类)巩固脱贫攻坚成果衔接乡村振兴(款)生产发展(项):支出决算数为16,357.37万元，比上年决算减少3,894.09万元，下降19.23%,主要原因是：本年度减少高标准农田等项目资金，导致决算数比上年度减少。</w:t>
      </w:r>
    </w:p>
    <w:p>
      <w:pPr>
        <w:spacing w:line="580" w:lineRule="exact"/>
        <w:ind w:firstLine="640"/>
        <w:jc w:val="both"/>
      </w:pPr>
      <w:r>
        <w:rPr>
          <w:rFonts w:ascii="仿宋_GB2312" w:hAnsi="仿宋_GB2312" w:eastAsia="仿宋_GB2312"/>
          <w:b w:val="0"/>
          <w:sz w:val="32"/>
        </w:rPr>
        <w:t>21.农林水支出(类)巩固脱贫攻坚成果衔接乡村振兴(款)其他巩固脱贫攻坚成果衔接乡村振兴支出(项):支出决算数为0.00万元，比上年决算减少1.05万元，下降100.00%,主要原因是：本年度减少2023年生猪调出大县奖励资金项目，导致决算数减少。</w:t>
      </w:r>
    </w:p>
    <w:p>
      <w:pPr>
        <w:spacing w:line="580" w:lineRule="exact"/>
        <w:ind w:firstLine="640"/>
        <w:jc w:val="both"/>
      </w:pPr>
      <w:r>
        <w:rPr>
          <w:rFonts w:ascii="仿宋_GB2312" w:hAnsi="仿宋_GB2312" w:eastAsia="仿宋_GB2312"/>
          <w:b w:val="0"/>
          <w:sz w:val="32"/>
        </w:rPr>
        <w:t>22.农林水支出(类)农村综合改革(款)其他农村综合改革支出(项):支出决算数为0.00万元，比上年决算减少124.40万元，下降100.00%,主要原因是：本年度减少设施农业产业园配套基础设施建设项目，导致决算数减少。</w:t>
      </w:r>
    </w:p>
    <w:p>
      <w:pPr>
        <w:spacing w:line="580" w:lineRule="exact"/>
        <w:ind w:firstLine="640"/>
        <w:jc w:val="both"/>
      </w:pPr>
      <w:r>
        <w:rPr>
          <w:rFonts w:ascii="仿宋_GB2312" w:hAnsi="仿宋_GB2312" w:eastAsia="仿宋_GB2312"/>
          <w:b w:val="0"/>
          <w:sz w:val="32"/>
        </w:rPr>
        <w:t>23.农林水支出(类)其他农林水支出(款)其他农林水支出(项):支出决算数为0.00万元，比上年决算减少1,127.32万元，下降100.00%,主要原因是：本年度减少麦盖提县拱棚建设项目、麦盖提县日光温室建设项目（一期），导致决算数减少。</w:t>
      </w:r>
    </w:p>
    <w:p>
      <w:pPr>
        <w:spacing w:line="580" w:lineRule="exact"/>
        <w:ind w:firstLine="640"/>
        <w:jc w:val="both"/>
      </w:pPr>
      <w:r>
        <w:rPr>
          <w:rFonts w:ascii="仿宋_GB2312" w:hAnsi="仿宋_GB2312" w:eastAsia="仿宋_GB2312"/>
          <w:b w:val="0"/>
          <w:sz w:val="32"/>
        </w:rPr>
        <w:t>24.商业服务业等支出(类)商业流通事务(款)其他商业流通事务支出(项):支出决算数为0.00万元，比上年决算减少2.94万元，下降100.00%,主要原因是：本年度减少2023年生猪调出大县奖励资金项目，导致决算数减少。</w:t>
      </w:r>
    </w:p>
    <w:p>
      <w:pPr>
        <w:spacing w:line="580" w:lineRule="exact"/>
        <w:ind w:firstLine="640"/>
        <w:jc w:val="both"/>
      </w:pPr>
      <w:r>
        <w:rPr>
          <w:rFonts w:ascii="仿宋_GB2312" w:hAnsi="仿宋_GB2312" w:eastAsia="仿宋_GB2312"/>
          <w:b w:val="0"/>
          <w:sz w:val="32"/>
        </w:rPr>
        <w:t>25.住房保障支出(类)住房改革支出(款)住房公积金(项):支出决算数为156.96万元，比上年决算增加29.30万元，增长22.95%,主要原因是：本年在职人员工资基数调增，公积金缴费基数上涨，相应支出增加。</w:t>
      </w:r>
    </w:p>
    <w:p>
      <w:pPr>
        <w:spacing w:line="580" w:lineRule="exact"/>
        <w:ind w:firstLine="640"/>
        <w:jc w:val="both"/>
      </w:pPr>
      <w:r>
        <w:rPr>
          <w:rFonts w:ascii="仿宋_GB2312" w:hAnsi="仿宋_GB2312" w:eastAsia="仿宋_GB2312"/>
          <w:b w:val="0"/>
          <w:sz w:val="32"/>
        </w:rPr>
        <w:t>26.其他支出(类)其他支出(款)其他支出(项):支出决算数为1.10万元，比上年决算增加1.10万元，增长100.00%,主要原因是：本年新增2024年度援疆干部南疆补贴项目，导致决算数增加。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2024年度一般公共预算财政拨款基本支出2,175.44万元，其中：</w:t>
      </w:r>
      <w:r>
        <w:rPr>
          <w:rFonts w:ascii="仿宋_GB2312" w:hAnsi="仿宋_GB2312" w:eastAsia="仿宋_GB2312"/>
          <w:b/>
          <w:sz w:val="32"/>
        </w:rPr>
        <w:t>人员经费2,073.65万元，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包括：基本工资、津贴补贴、奖金、绩效工资、机关事业单位基本养老保险缴费、职业年金缴费、职工基本医疗保险缴费、公务员医疗补助缴费、其他社会保障缴费、住房公积金、退休费、抚恤金、生活补助。</w:t>
      </w:r>
    </w:p>
    <w:p>
      <w:pPr>
        <w:spacing w:line="580" w:lineRule="exact"/>
        <w:ind w:firstLine="640"/>
        <w:jc w:val="both"/>
      </w:pPr>
      <w:r>
        <w:rPr>
          <w:rFonts w:ascii="仿宋_GB2312" w:hAnsi="仿宋_GB2312" w:eastAsia="仿宋_GB2312"/>
          <w:b/>
          <w:sz w:val="32"/>
        </w:rPr>
        <w:t>公用经费101.79万元，</w:t>
      </w:r>
      <w:r>
        <w:rPr>
          <w:rFonts w:ascii="仿宋_GB2312" w:hAnsi="仿宋_GB2312" w:eastAsia="仿宋_GB2312"/>
          <w:b w:val="0"/>
          <w:sz w:val="32"/>
        </w:rPr>
        <w:t>包括：办公费、水费、电费、邮电费、取暖费、差旅费、公务接待费、公务用车运行维护费、其他交通费用。</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sz w:val="32"/>
        </w:rPr>
        <w:t>2024年度政府性基金预算财政拨款收入总计8,000.00万元，</w:t>
      </w:r>
      <w:r>
        <w:rPr>
          <w:rFonts w:ascii="仿宋_GB2312" w:hAnsi="仿宋_GB2312" w:eastAsia="仿宋_GB2312"/>
          <w:b w:val="0"/>
          <w:sz w:val="32"/>
        </w:rPr>
        <w:t>其中：年初结转和结余0.00万元，本年收入8,000.00万元。</w:t>
      </w:r>
      <w:r>
        <w:rPr>
          <w:rFonts w:ascii="仿宋_GB2312" w:hAnsi="仿宋_GB2312" w:eastAsia="仿宋_GB2312"/>
          <w:b/>
          <w:sz w:val="32"/>
        </w:rPr>
        <w:t>政府性基金预算财政拨款支出总计8,000.00万元，</w:t>
      </w:r>
      <w:r>
        <w:rPr>
          <w:rFonts w:ascii="仿宋_GB2312" w:hAnsi="仿宋_GB2312" w:eastAsia="仿宋_GB2312"/>
          <w:b w:val="0"/>
          <w:sz w:val="32"/>
        </w:rPr>
        <w:t>其中：年末结转和结余0.00万元，本年支出8,000.00万元。</w:t>
      </w:r>
    </w:p>
    <w:p>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增加2,882.63万元，增长56.33%，主要原因是：本年度增加莎车现代农业（肉羊）产业园-麦盖提县场建设项目，导致决算数增加。</w:t>
      </w:r>
      <w:r>
        <w:rPr>
          <w:rFonts w:ascii="仿宋_GB2312" w:hAnsi="仿宋_GB2312" w:eastAsia="仿宋_GB2312"/>
          <w:b/>
          <w:sz w:val="32"/>
        </w:rPr>
        <w:t>与年初预算相比，</w:t>
      </w:r>
      <w:r>
        <w:rPr>
          <w:rFonts w:ascii="仿宋_GB2312" w:hAnsi="仿宋_GB2312" w:eastAsia="仿宋_GB2312"/>
          <w:b w:val="0"/>
          <w:sz w:val="32"/>
        </w:rPr>
        <w:t>年初预算数0.00万元，决算数8,000.00万元，预决算差异率100.00%，主要原因是：年中追加莎车现代农业（肉羊）产业园-麦盖提县场建设项目，导致预决算存在差异。</w:t>
      </w:r>
    </w:p>
    <w:p>
      <w:pPr>
        <w:spacing w:line="580" w:lineRule="exact"/>
        <w:ind w:firstLine="640"/>
        <w:jc w:val="both"/>
      </w:pPr>
      <w:r>
        <w:rPr>
          <w:rFonts w:ascii="仿宋_GB2312" w:hAnsi="仿宋_GB2312" w:eastAsia="仿宋_GB2312"/>
          <w:b w:val="0"/>
          <w:sz w:val="32"/>
        </w:rPr>
        <w:t>政府性基金预算财政拨款支出8,000.00万元。</w:t>
      </w:r>
    </w:p>
    <w:p>
      <w:pPr>
        <w:spacing w:line="580" w:lineRule="exact"/>
        <w:ind w:firstLine="640"/>
        <w:jc w:val="both"/>
      </w:pPr>
      <w:r>
        <w:rPr>
          <w:rFonts w:ascii="仿宋_GB2312" w:hAnsi="仿宋_GB2312" w:eastAsia="仿宋_GB2312"/>
          <w:b w:val="0"/>
          <w:sz w:val="32"/>
        </w:rPr>
        <w:t>1.城乡社区支出(类)国有土地使用权出让收入安排的支出(款)农业生产发展支出(项):支出决算数为0.00万元，比上年决算减少117.37万元，下降100.00%,主要原因是：本年度减少麦盖提县优质棉基地建设项目、高标准农田建设项目，导致相关经费减少。</w:t>
      </w:r>
    </w:p>
    <w:p>
      <w:pPr>
        <w:spacing w:line="580" w:lineRule="exact"/>
        <w:ind w:firstLine="640"/>
        <w:jc w:val="both"/>
      </w:pPr>
      <w:r>
        <w:rPr>
          <w:rFonts w:ascii="仿宋_GB2312" w:hAnsi="仿宋_GB2312" w:eastAsia="仿宋_GB2312"/>
          <w:b w:val="0"/>
          <w:sz w:val="32"/>
        </w:rPr>
        <w:t>2.其他支出(类)其他政府性基金及对应专项债务收入安排的支出(款)其他地方自行试点项目收益专项债券收入安排的支出(项):支出决算数为8,000.00万元，比上年决算增加3,000.00万元，增长60.00%,主要原因是：本年度增加莎车现代农业（肉羊）产业园-麦盖提县场建设项目，导致决算数增加。</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2024年度财政拨款“三公”经费支出38.06万元，</w:t>
      </w:r>
      <w:r>
        <w:rPr>
          <w:rFonts w:ascii="仿宋_GB2312" w:hAnsi="仿宋_GB2312" w:eastAsia="仿宋_GB2312"/>
          <w:b w:val="0"/>
          <w:sz w:val="32"/>
        </w:rPr>
        <w:t>比上年减少0.70万元，下降1.81%，主要原因是：严格落实中央八项规定精神，厉行节约，减少公务接待费。其中：因公出国（境）费支出0.00万元，占0.00%，比上年增加0.00万元，增长0.00%，主要原因是：2023年与2024年均未安排因公出国（境）费支出。公务用车购置及运行维护费支出34.58万元，占90.86%，比上年增加3.99万元，增长13.04%，主要原因是：本年下基层较多，燃油费增加，车辆老旧，维修费增加。公务接待费支出3.48万元，占9.14%，比上年减少4.69万元，下降57.41%，主要原因是：严格落实中央八项规定精神，厉行节约，减少公务接待费。</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34.58万元，其中：公务用车购置费0.00万元，公务用车运行维护费34.58万元。公务用车运行维护费开支内容包括车辆维修费、保险费、燃油费。公务用车购置数0辆，公务用车保有量10辆。国有资产占用情况中固定资产车辆10辆，与公务用车保有量差异原因是：本单位固定资产车辆与公务用车保有量一致无差异。</w:t>
      </w:r>
    </w:p>
    <w:p>
      <w:pPr>
        <w:spacing w:line="580" w:lineRule="exact"/>
        <w:ind w:firstLine="640"/>
        <w:jc w:val="both"/>
      </w:pPr>
      <w:r>
        <w:rPr>
          <w:rFonts w:ascii="仿宋_GB2312" w:hAnsi="仿宋_GB2312" w:eastAsia="仿宋_GB2312"/>
          <w:b w:val="0"/>
          <w:sz w:val="32"/>
        </w:rPr>
        <w:t>公务接待费3.48万元，开支内容包括因工作需要，接待上级领导检查、调研的</w:t>
      </w:r>
      <w:r>
        <w:rPr>
          <w:rFonts w:hint="eastAsia" w:ascii="仿宋_GB2312" w:hAnsi="仿宋_GB2312" w:eastAsia="仿宋_GB2312"/>
          <w:b w:val="0"/>
          <w:sz w:val="32"/>
          <w:lang w:val="en-US" w:eastAsia="zh-CN"/>
        </w:rPr>
        <w:t>就</w:t>
      </w:r>
      <w:r>
        <w:rPr>
          <w:rFonts w:ascii="仿宋_GB2312" w:hAnsi="仿宋_GB2312" w:eastAsia="仿宋_GB2312"/>
          <w:b w:val="0"/>
          <w:sz w:val="32"/>
        </w:rPr>
        <w:t>餐费。单位全年安排的国内公务接待13批次，466人次。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38.06万元，决算数38.06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34.58万元，决算数34.58万元，预决算差异率0.00%，主要原因是：严格按照预算执行，预决算无差异。公务接待费全年预算数3.48万元，决算数3.48万元，预决算差异率0.00%，主要原因是：严格按照预算执行，预决算无差异。</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2024年度麦盖提县农业农村局（行政单位和参照公务员法管理事业单位）机关运行经费支出101.79万元，比上年增加17.48万元，增长20.73%，主要原因是：本年业务量增加，</w:t>
      </w:r>
      <w:r>
        <w:rPr>
          <w:rFonts w:hint="eastAsia" w:ascii="仿宋_GB2312" w:hAnsi="仿宋_GB2312" w:eastAsia="仿宋_GB2312"/>
          <w:b w:val="0"/>
          <w:sz w:val="32"/>
          <w:lang w:val="en-US" w:eastAsia="zh-CN"/>
        </w:rPr>
        <w:t>办公费等经费增加，</w:t>
      </w:r>
      <w:r>
        <w:rPr>
          <w:rFonts w:ascii="仿宋_GB2312" w:hAnsi="仿宋_GB2312" w:eastAsia="仿宋_GB2312"/>
          <w:b w:val="0"/>
          <w:sz w:val="32"/>
        </w:rPr>
        <w:t>机关运行经费增加。</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2024年度政府采购支出总额2,068.15万元，其中：政府采购货物支出1,112.79万元、政府采购工程支出788.88万元、政府采购服务支出166.48万元。</w:t>
      </w:r>
    </w:p>
    <w:p>
      <w:pPr>
        <w:spacing w:line="580" w:lineRule="exact"/>
        <w:ind w:firstLine="640"/>
        <w:jc w:val="both"/>
      </w:pPr>
      <w:r>
        <w:rPr>
          <w:rFonts w:ascii="仿宋_GB2312" w:hAnsi="仿宋_GB2312" w:eastAsia="仿宋_GB2312"/>
          <w:b w:val="0"/>
          <w:sz w:val="32"/>
        </w:rPr>
        <w:t>授予中小企业合同金额1,857.67万元，占政府采购支出总额的89.82%，其中：授予小微企业合同金额1,206.07万元，占政府采购支出总额的58.32%。</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28,784.08平方米，价值4,292.96万元。车辆10辆，价值157.67万元，其中：副部（省）级及以上领导用车0辆、主要负责人用车0辆、机要通信用车0辆、应急保障用车0辆、执法执勤用车0辆、特种专业技术用车0辆、离退休干部服务用车0辆、其他用车10辆，其他用车主要是：一般公务用车。单价100万元（含）以上设备（不含车辆）2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67,865.51万元，实际执行总额59,318.05万元；预算绩效评价项目28个，全年预算数23,069.51万元，全年执行数23,053.58万元。预算绩效管理取得的成效：一是加强制度建设，打牢绩效管理工作基础。二是开展绩效评价，提高绩效工作管理水平。发现的问题及原因：一是缺乏相关绩效管理方面的专业知识。在绩效评价过程中，</w:t>
      </w:r>
      <w:r>
        <w:rPr>
          <w:rFonts w:hint="eastAsia" w:ascii="仿宋_GB2312" w:hAnsi="仿宋_GB2312" w:eastAsia="仿宋_GB2312"/>
          <w:b w:val="0"/>
          <w:sz w:val="32"/>
          <w:lang w:eastAsia="zh-CN"/>
        </w:rPr>
        <w:t>由于部</w:t>
      </w:r>
      <w:r>
        <w:rPr>
          <w:rFonts w:ascii="仿宋_GB2312" w:hAnsi="仿宋_GB2312" w:eastAsia="仿宋_GB2312"/>
          <w:b w:val="0"/>
          <w:sz w:val="32"/>
        </w:rPr>
        <w:t>分人员缺乏相关绩效管理专业知识，对绩效指标表述不清晰。二是缺少带着问题去评价的意识。下一步改进措施：一是积极参加绩效管理工作培训，进一步夯实业务基础，提高绩效人员工作水平。二是通过绩效管理，发现实施中存在漏洞，以后加强管理，及时掌握与之相关的各类信息，减少成本，使资金效益最大化。具体附整体支出绩效自评表，项目支出绩效自评表和评价报告。</w:t>
      </w:r>
    </w:p>
    <w:p>
      <w:r>
        <w:br w:type="page"/>
      </w:r>
    </w:p>
    <w:tbl>
      <w:tblPr>
        <w:tblStyle w:val="10"/>
        <w:tblW w:w="8951" w:type="dxa"/>
        <w:tblInd w:w="0" w:type="dxa"/>
        <w:shd w:val="clear" w:color="auto" w:fill="auto"/>
        <w:tblLayout w:type="fixed"/>
        <w:tblCellMar>
          <w:top w:w="0" w:type="dxa"/>
          <w:left w:w="0" w:type="dxa"/>
          <w:bottom w:w="0" w:type="dxa"/>
          <w:right w:w="0" w:type="dxa"/>
        </w:tblCellMar>
      </w:tblPr>
      <w:tblGrid>
        <w:gridCol w:w="713"/>
        <w:gridCol w:w="908"/>
        <w:gridCol w:w="1421"/>
        <w:gridCol w:w="888"/>
        <w:gridCol w:w="1001"/>
        <w:gridCol w:w="1001"/>
        <w:gridCol w:w="604"/>
        <w:gridCol w:w="962"/>
        <w:gridCol w:w="451"/>
        <w:gridCol w:w="503"/>
        <w:gridCol w:w="499"/>
      </w:tblGrid>
      <w:tr>
        <w:tblPrEx>
          <w:shd w:val="clear" w:color="auto" w:fill="auto"/>
          <w:tblLayout w:type="fixed"/>
          <w:tblCellMar>
            <w:top w:w="0" w:type="dxa"/>
            <w:left w:w="0" w:type="dxa"/>
            <w:bottom w:w="0" w:type="dxa"/>
            <w:right w:w="0" w:type="dxa"/>
          </w:tblCellMar>
        </w:tblPrEx>
        <w:trPr>
          <w:trHeight w:val="860" w:hRule="atLeast"/>
        </w:trPr>
        <w:tc>
          <w:tcPr>
            <w:tcW w:w="8452" w:type="dxa"/>
            <w:gridSpan w:val="10"/>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华文中宋" w:hAnsi="华文中宋" w:eastAsia="华文中宋" w:cs="华文中宋"/>
                <w:b/>
                <w:i w:val="0"/>
                <w:color w:val="000000"/>
                <w:sz w:val="40"/>
                <w:szCs w:val="40"/>
                <w:highlight w:val="yellow"/>
                <w:u w:val="none"/>
              </w:rPr>
            </w:pPr>
            <w:r>
              <w:rPr>
                <w:rFonts w:hint="eastAsia" w:ascii="华文中宋" w:hAnsi="华文中宋" w:eastAsia="华文中宋" w:cs="华文中宋"/>
                <w:b/>
                <w:i w:val="0"/>
                <w:color w:val="000000"/>
                <w:kern w:val="0"/>
                <w:sz w:val="40"/>
                <w:szCs w:val="40"/>
                <w:highlight w:val="yellow"/>
                <w:u w:val="none"/>
                <w:lang w:val="en-US" w:eastAsia="zh-CN" w:bidi="ar"/>
              </w:rPr>
              <w:t>部门（单位）整体支出绩效自评表</w:t>
            </w:r>
          </w:p>
        </w:tc>
        <w:tc>
          <w:tcPr>
            <w:tcW w:w="499" w:type="dxa"/>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华文中宋" w:hAnsi="华文中宋" w:eastAsia="华文中宋" w:cs="华文中宋"/>
                <w:b/>
                <w:i w:val="0"/>
                <w:color w:val="000000"/>
                <w:kern w:val="0"/>
                <w:sz w:val="40"/>
                <w:szCs w:val="40"/>
                <w:u w:val="none"/>
                <w:lang w:val="en-US" w:eastAsia="zh-CN" w:bidi="ar"/>
              </w:rPr>
            </w:pPr>
          </w:p>
        </w:tc>
      </w:tr>
      <w:tr>
        <w:tblPrEx>
          <w:tblLayout w:type="fixed"/>
          <w:tblCellMar>
            <w:top w:w="0" w:type="dxa"/>
            <w:left w:w="0" w:type="dxa"/>
            <w:bottom w:w="0" w:type="dxa"/>
            <w:right w:w="0" w:type="dxa"/>
          </w:tblCellMar>
        </w:tblPrEx>
        <w:trPr>
          <w:trHeight w:val="480" w:hRule="atLeast"/>
        </w:trPr>
        <w:tc>
          <w:tcPr>
            <w:tcW w:w="8452" w:type="dxa"/>
            <w:gridSpan w:val="10"/>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highlight w:val="yellow"/>
                <w:u w:val="none"/>
              </w:rPr>
            </w:pPr>
            <w:r>
              <w:rPr>
                <w:rFonts w:hint="eastAsia" w:ascii="宋体" w:hAnsi="宋体" w:eastAsia="宋体" w:cs="宋体"/>
                <w:b/>
                <w:i w:val="0"/>
                <w:color w:val="000000"/>
                <w:kern w:val="0"/>
                <w:sz w:val="24"/>
                <w:szCs w:val="24"/>
                <w:highlight w:val="yellow"/>
                <w:u w:val="none"/>
                <w:lang w:val="en-US" w:eastAsia="zh-CN" w:bidi="ar"/>
              </w:rPr>
              <w:t>(2024年度)</w:t>
            </w:r>
          </w:p>
        </w:tc>
        <w:tc>
          <w:tcPr>
            <w:tcW w:w="499" w:type="dxa"/>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kern w:val="0"/>
                <w:sz w:val="24"/>
                <w:szCs w:val="24"/>
                <w:u w:val="none"/>
                <w:lang w:val="en-US" w:eastAsia="zh-CN" w:bidi="ar"/>
              </w:rPr>
            </w:pPr>
          </w:p>
        </w:tc>
      </w:tr>
      <w:tr>
        <w:tblPrEx>
          <w:tblLayout w:type="fixed"/>
          <w:tblCellMar>
            <w:top w:w="0" w:type="dxa"/>
            <w:left w:w="0" w:type="dxa"/>
            <w:bottom w:w="0" w:type="dxa"/>
            <w:right w:w="0" w:type="dxa"/>
          </w:tblCellMar>
        </w:tblPrEx>
        <w:trPr>
          <w:trHeight w:val="640" w:hRule="atLeast"/>
        </w:trPr>
        <w:tc>
          <w:tcPr>
            <w:tcW w:w="162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yellow"/>
                <w:u w:val="none"/>
              </w:rPr>
            </w:pPr>
            <w:r>
              <w:rPr>
                <w:rFonts w:hint="eastAsia" w:ascii="宋体" w:hAnsi="宋体" w:eastAsia="宋体" w:cs="宋体"/>
                <w:i w:val="0"/>
                <w:color w:val="000000"/>
                <w:kern w:val="0"/>
                <w:sz w:val="20"/>
                <w:szCs w:val="20"/>
                <w:highlight w:val="yellow"/>
                <w:u w:val="none"/>
                <w:lang w:val="en-US" w:eastAsia="zh-CN" w:bidi="ar"/>
              </w:rPr>
              <w:t>部门（单位）名称（盖章）</w:t>
            </w:r>
          </w:p>
        </w:tc>
        <w:tc>
          <w:tcPr>
            <w:tcW w:w="6831"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yellow"/>
                <w:u w:val="none"/>
              </w:rPr>
            </w:pPr>
            <w:r>
              <w:rPr>
                <w:rFonts w:hint="eastAsia" w:ascii="宋体" w:hAnsi="宋体" w:eastAsia="宋体" w:cs="宋体"/>
                <w:i w:val="0"/>
                <w:color w:val="000000"/>
                <w:kern w:val="0"/>
                <w:sz w:val="20"/>
                <w:szCs w:val="20"/>
                <w:highlight w:val="yellow"/>
                <w:u w:val="none"/>
                <w:lang w:val="en-US" w:eastAsia="zh-CN" w:bidi="ar"/>
              </w:rPr>
              <w:t>麦盖提县农业农村局</w:t>
            </w:r>
          </w:p>
        </w:tc>
        <w:tc>
          <w:tcPr>
            <w:tcW w:w="4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Layout w:type="fixed"/>
          <w:tblCellMar>
            <w:top w:w="0" w:type="dxa"/>
            <w:left w:w="0" w:type="dxa"/>
            <w:bottom w:w="0" w:type="dxa"/>
            <w:right w:w="0" w:type="dxa"/>
          </w:tblCellMar>
        </w:tblPrEx>
        <w:trPr>
          <w:trHeight w:val="480" w:hRule="atLeast"/>
        </w:trPr>
        <w:tc>
          <w:tcPr>
            <w:tcW w:w="1621"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yellow"/>
                <w:u w:val="none"/>
              </w:rPr>
            </w:pPr>
            <w:r>
              <w:rPr>
                <w:rFonts w:hint="eastAsia" w:ascii="宋体" w:hAnsi="宋体" w:eastAsia="宋体" w:cs="宋体"/>
                <w:i w:val="0"/>
                <w:color w:val="000000"/>
                <w:kern w:val="0"/>
                <w:sz w:val="20"/>
                <w:szCs w:val="20"/>
                <w:highlight w:val="yellow"/>
                <w:u w:val="none"/>
                <w:lang w:val="en-US" w:eastAsia="zh-CN" w:bidi="ar"/>
              </w:rPr>
              <w:t>部门资金（万元）</w:t>
            </w:r>
          </w:p>
        </w:tc>
        <w:tc>
          <w:tcPr>
            <w:tcW w:w="1421"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yellow"/>
                <w:u w:val="none"/>
              </w:rPr>
            </w:pPr>
            <w:r>
              <w:rPr>
                <w:rFonts w:hint="eastAsia" w:ascii="宋体" w:hAnsi="宋体" w:eastAsia="宋体" w:cs="宋体"/>
                <w:i w:val="0"/>
                <w:color w:val="000000"/>
                <w:kern w:val="0"/>
                <w:sz w:val="20"/>
                <w:szCs w:val="20"/>
                <w:highlight w:val="yellow"/>
                <w:u w:val="none"/>
                <w:lang w:val="en-US" w:eastAsia="zh-CN" w:bidi="ar"/>
              </w:rPr>
              <w:t>资金来源</w:t>
            </w:r>
          </w:p>
        </w:tc>
        <w:tc>
          <w:tcPr>
            <w:tcW w:w="8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yellow"/>
                <w:u w:val="none"/>
              </w:rPr>
            </w:pPr>
            <w:r>
              <w:rPr>
                <w:rFonts w:hint="eastAsia" w:ascii="宋体" w:hAnsi="宋体" w:eastAsia="宋体" w:cs="宋体"/>
                <w:i w:val="0"/>
                <w:color w:val="000000"/>
                <w:kern w:val="0"/>
                <w:sz w:val="20"/>
                <w:szCs w:val="20"/>
                <w:highlight w:val="yellow"/>
                <w:u w:val="none"/>
                <w:lang w:val="en-US" w:eastAsia="zh-CN" w:bidi="ar"/>
              </w:rPr>
              <w:t>年初预算数</w:t>
            </w:r>
          </w:p>
        </w:tc>
        <w:tc>
          <w:tcPr>
            <w:tcW w:w="10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yellow"/>
                <w:u w:val="none"/>
              </w:rPr>
            </w:pPr>
            <w:r>
              <w:rPr>
                <w:rFonts w:hint="eastAsia" w:ascii="宋体" w:hAnsi="宋体" w:eastAsia="宋体" w:cs="宋体"/>
                <w:i w:val="0"/>
                <w:color w:val="000000"/>
                <w:kern w:val="0"/>
                <w:sz w:val="20"/>
                <w:szCs w:val="20"/>
                <w:highlight w:val="yellow"/>
                <w:u w:val="none"/>
                <w:lang w:val="en-US" w:eastAsia="zh-CN" w:bidi="ar"/>
              </w:rPr>
              <w:t>预算数（调整后）</w:t>
            </w:r>
          </w:p>
        </w:tc>
        <w:tc>
          <w:tcPr>
            <w:tcW w:w="10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yellow"/>
                <w:u w:val="none"/>
              </w:rPr>
            </w:pPr>
            <w:r>
              <w:rPr>
                <w:rFonts w:hint="eastAsia" w:ascii="宋体" w:hAnsi="宋体" w:eastAsia="宋体" w:cs="宋体"/>
                <w:i w:val="0"/>
                <w:color w:val="000000"/>
                <w:kern w:val="0"/>
                <w:sz w:val="20"/>
                <w:szCs w:val="20"/>
                <w:highlight w:val="yellow"/>
                <w:u w:val="none"/>
                <w:lang w:val="en-US" w:eastAsia="zh-CN" w:bidi="ar"/>
              </w:rPr>
              <w:t>执行数</w:t>
            </w:r>
          </w:p>
        </w:tc>
        <w:tc>
          <w:tcPr>
            <w:tcW w:w="6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yellow"/>
                <w:u w:val="none"/>
              </w:rPr>
            </w:pPr>
            <w:r>
              <w:rPr>
                <w:rFonts w:hint="eastAsia" w:ascii="宋体" w:hAnsi="宋体" w:eastAsia="宋体" w:cs="宋体"/>
                <w:i w:val="0"/>
                <w:color w:val="000000"/>
                <w:kern w:val="0"/>
                <w:sz w:val="20"/>
                <w:szCs w:val="20"/>
                <w:highlight w:val="yellow"/>
                <w:u w:val="none"/>
                <w:lang w:val="en-US" w:eastAsia="zh-CN" w:bidi="ar"/>
              </w:rPr>
              <w:t>分值权重</w:t>
            </w:r>
          </w:p>
        </w:tc>
        <w:tc>
          <w:tcPr>
            <w:tcW w:w="9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yellow"/>
                <w:u w:val="none"/>
              </w:rPr>
            </w:pPr>
            <w:r>
              <w:rPr>
                <w:rFonts w:hint="eastAsia" w:ascii="宋体" w:hAnsi="宋体" w:eastAsia="宋体" w:cs="宋体"/>
                <w:i w:val="0"/>
                <w:color w:val="000000"/>
                <w:kern w:val="0"/>
                <w:sz w:val="20"/>
                <w:szCs w:val="20"/>
                <w:highlight w:val="yellow"/>
                <w:u w:val="none"/>
                <w:lang w:val="en-US" w:eastAsia="zh-CN" w:bidi="ar"/>
              </w:rPr>
              <w:t>执行率</w:t>
            </w:r>
          </w:p>
        </w:tc>
        <w:tc>
          <w:tcPr>
            <w:tcW w:w="95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yellow"/>
                <w:u w:val="none"/>
              </w:rPr>
            </w:pPr>
            <w:r>
              <w:rPr>
                <w:rFonts w:hint="eastAsia" w:ascii="宋体" w:hAnsi="宋体" w:eastAsia="宋体" w:cs="宋体"/>
                <w:i w:val="0"/>
                <w:color w:val="000000"/>
                <w:kern w:val="0"/>
                <w:sz w:val="20"/>
                <w:szCs w:val="20"/>
                <w:highlight w:val="yellow"/>
                <w:u w:val="none"/>
                <w:lang w:val="en-US" w:eastAsia="zh-CN" w:bidi="ar"/>
              </w:rPr>
              <w:t>得分</w:t>
            </w:r>
          </w:p>
        </w:tc>
        <w:tc>
          <w:tcPr>
            <w:tcW w:w="4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Layout w:type="fixed"/>
          <w:tblCellMar>
            <w:top w:w="0" w:type="dxa"/>
            <w:left w:w="0" w:type="dxa"/>
            <w:bottom w:w="0" w:type="dxa"/>
            <w:right w:w="0" w:type="dxa"/>
          </w:tblCellMar>
        </w:tblPrEx>
        <w:trPr>
          <w:trHeight w:val="480" w:hRule="atLeast"/>
        </w:trPr>
        <w:tc>
          <w:tcPr>
            <w:tcW w:w="162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highlight w:val="yellow"/>
                <w:u w:val="none"/>
              </w:rPr>
            </w:pPr>
          </w:p>
        </w:tc>
        <w:tc>
          <w:tcPr>
            <w:tcW w:w="1421"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highlight w:val="yellow"/>
                <w:u w:val="none"/>
              </w:rPr>
            </w:pPr>
            <w:r>
              <w:rPr>
                <w:rFonts w:hint="eastAsia" w:ascii="宋体" w:hAnsi="宋体" w:eastAsia="宋体" w:cs="宋体"/>
                <w:i w:val="0"/>
                <w:color w:val="000000"/>
                <w:kern w:val="0"/>
                <w:sz w:val="20"/>
                <w:szCs w:val="20"/>
                <w:highlight w:val="yellow"/>
                <w:u w:val="none"/>
                <w:lang w:val="en-US" w:eastAsia="zh-CN" w:bidi="ar"/>
              </w:rPr>
              <w:t>年度总资金：</w:t>
            </w:r>
          </w:p>
        </w:tc>
        <w:tc>
          <w:tcPr>
            <w:tcW w:w="8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highlight w:val="yellow"/>
                <w:u w:val="none"/>
              </w:rPr>
            </w:pPr>
            <w:r>
              <w:rPr>
                <w:rFonts w:hint="eastAsia" w:ascii="宋体" w:hAnsi="宋体" w:eastAsia="宋体" w:cs="宋体"/>
                <w:b/>
                <w:i w:val="0"/>
                <w:color w:val="000000"/>
                <w:kern w:val="0"/>
                <w:sz w:val="20"/>
                <w:szCs w:val="20"/>
                <w:highlight w:val="yellow"/>
                <w:u w:val="none"/>
                <w:lang w:val="en-US" w:eastAsia="zh-CN" w:bidi="ar"/>
              </w:rPr>
              <w:t>27347.13</w:t>
            </w:r>
          </w:p>
        </w:tc>
        <w:tc>
          <w:tcPr>
            <w:tcW w:w="10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highlight w:val="yellow"/>
                <w:u w:val="none"/>
              </w:rPr>
            </w:pPr>
            <w:r>
              <w:rPr>
                <w:rFonts w:hint="eastAsia" w:ascii="宋体" w:hAnsi="宋体" w:eastAsia="宋体" w:cs="宋体"/>
                <w:b/>
                <w:i w:val="0"/>
                <w:color w:val="000000"/>
                <w:kern w:val="0"/>
                <w:sz w:val="20"/>
                <w:szCs w:val="20"/>
                <w:highlight w:val="yellow"/>
                <w:u w:val="none"/>
                <w:lang w:val="en-US" w:eastAsia="zh-CN" w:bidi="ar"/>
              </w:rPr>
              <w:t>67865.51</w:t>
            </w:r>
          </w:p>
        </w:tc>
        <w:tc>
          <w:tcPr>
            <w:tcW w:w="10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highlight w:val="yellow"/>
                <w:u w:val="none"/>
              </w:rPr>
            </w:pPr>
            <w:r>
              <w:rPr>
                <w:rFonts w:hint="eastAsia" w:ascii="宋体" w:hAnsi="宋体" w:eastAsia="宋体" w:cs="宋体"/>
                <w:b/>
                <w:i w:val="0"/>
                <w:color w:val="000000"/>
                <w:kern w:val="0"/>
                <w:sz w:val="20"/>
                <w:szCs w:val="20"/>
                <w:highlight w:val="yellow"/>
                <w:u w:val="none"/>
                <w:lang w:val="en-US" w:eastAsia="zh-CN" w:bidi="ar"/>
              </w:rPr>
              <w:t>59334.85</w:t>
            </w:r>
          </w:p>
        </w:tc>
        <w:tc>
          <w:tcPr>
            <w:tcW w:w="6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yellow"/>
                <w:u w:val="none"/>
              </w:rPr>
            </w:pPr>
            <w:r>
              <w:rPr>
                <w:rFonts w:hint="eastAsia" w:ascii="宋体" w:hAnsi="宋体" w:eastAsia="宋体" w:cs="宋体"/>
                <w:i w:val="0"/>
                <w:color w:val="000000"/>
                <w:kern w:val="0"/>
                <w:sz w:val="20"/>
                <w:szCs w:val="20"/>
                <w:highlight w:val="yellow"/>
                <w:u w:val="none"/>
                <w:lang w:val="en-US" w:eastAsia="zh-CN" w:bidi="ar"/>
              </w:rPr>
              <w:t>10</w:t>
            </w:r>
          </w:p>
        </w:tc>
        <w:tc>
          <w:tcPr>
            <w:tcW w:w="9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yellow"/>
                <w:u w:val="none"/>
              </w:rPr>
            </w:pPr>
            <w:r>
              <w:rPr>
                <w:rFonts w:hint="eastAsia" w:ascii="宋体" w:hAnsi="宋体" w:eastAsia="宋体" w:cs="宋体"/>
                <w:i w:val="0"/>
                <w:color w:val="000000"/>
                <w:kern w:val="0"/>
                <w:sz w:val="20"/>
                <w:szCs w:val="20"/>
                <w:highlight w:val="yellow"/>
                <w:u w:val="none"/>
                <w:lang w:val="en-US" w:eastAsia="zh-CN" w:bidi="ar"/>
              </w:rPr>
              <w:t>87.43%</w:t>
            </w:r>
          </w:p>
        </w:tc>
        <w:tc>
          <w:tcPr>
            <w:tcW w:w="95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yellow"/>
                <w:u w:val="none"/>
              </w:rPr>
            </w:pPr>
            <w:r>
              <w:rPr>
                <w:rFonts w:hint="eastAsia" w:ascii="宋体" w:hAnsi="宋体" w:eastAsia="宋体" w:cs="宋体"/>
                <w:i w:val="0"/>
                <w:color w:val="000000"/>
                <w:kern w:val="0"/>
                <w:sz w:val="20"/>
                <w:szCs w:val="20"/>
                <w:highlight w:val="yellow"/>
                <w:u w:val="none"/>
                <w:lang w:val="en-US" w:eastAsia="zh-CN" w:bidi="ar"/>
              </w:rPr>
              <w:t>8.7</w:t>
            </w:r>
          </w:p>
        </w:tc>
        <w:tc>
          <w:tcPr>
            <w:tcW w:w="4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Layout w:type="fixed"/>
          <w:tblCellMar>
            <w:top w:w="0" w:type="dxa"/>
            <w:left w:w="0" w:type="dxa"/>
            <w:bottom w:w="0" w:type="dxa"/>
            <w:right w:w="0" w:type="dxa"/>
          </w:tblCellMar>
        </w:tblPrEx>
        <w:trPr>
          <w:trHeight w:val="400" w:hRule="atLeast"/>
        </w:trPr>
        <w:tc>
          <w:tcPr>
            <w:tcW w:w="162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highlight w:val="yellow"/>
                <w:u w:val="none"/>
              </w:rPr>
            </w:pPr>
          </w:p>
        </w:tc>
        <w:tc>
          <w:tcPr>
            <w:tcW w:w="14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highlight w:val="yellow"/>
                <w:u w:val="none"/>
              </w:rPr>
            </w:pPr>
            <w:r>
              <w:rPr>
                <w:rFonts w:hint="eastAsia" w:ascii="宋体" w:hAnsi="宋体" w:eastAsia="宋体" w:cs="宋体"/>
                <w:i w:val="0"/>
                <w:color w:val="000000"/>
                <w:kern w:val="0"/>
                <w:sz w:val="20"/>
                <w:szCs w:val="20"/>
                <w:highlight w:val="yellow"/>
                <w:u w:val="none"/>
                <w:lang w:val="en-US" w:eastAsia="zh-CN" w:bidi="ar"/>
              </w:rPr>
              <w:t>上级资金：</w:t>
            </w:r>
          </w:p>
        </w:tc>
        <w:tc>
          <w:tcPr>
            <w:tcW w:w="8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yellow"/>
                <w:u w:val="none"/>
              </w:rPr>
            </w:pPr>
            <w:r>
              <w:rPr>
                <w:rFonts w:hint="eastAsia" w:ascii="宋体" w:hAnsi="宋体" w:eastAsia="宋体" w:cs="宋体"/>
                <w:i w:val="0"/>
                <w:color w:val="000000"/>
                <w:kern w:val="0"/>
                <w:sz w:val="20"/>
                <w:szCs w:val="20"/>
                <w:highlight w:val="yellow"/>
                <w:u w:val="none"/>
                <w:lang w:val="en-US" w:eastAsia="zh-CN" w:bidi="ar"/>
              </w:rPr>
              <w:t>25298.51</w:t>
            </w:r>
          </w:p>
        </w:tc>
        <w:tc>
          <w:tcPr>
            <w:tcW w:w="10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yellow"/>
                <w:u w:val="none"/>
              </w:rPr>
            </w:pPr>
            <w:r>
              <w:rPr>
                <w:rFonts w:hint="eastAsia" w:ascii="宋体" w:hAnsi="宋体" w:eastAsia="宋体" w:cs="宋体"/>
                <w:i w:val="0"/>
                <w:color w:val="000000"/>
                <w:kern w:val="0"/>
                <w:sz w:val="20"/>
                <w:szCs w:val="20"/>
                <w:highlight w:val="yellow"/>
                <w:u w:val="none"/>
                <w:lang w:val="en-US" w:eastAsia="zh-CN" w:bidi="ar"/>
              </w:rPr>
              <w:t>56039.18</w:t>
            </w:r>
          </w:p>
        </w:tc>
        <w:tc>
          <w:tcPr>
            <w:tcW w:w="10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yellow"/>
                <w:u w:val="none"/>
              </w:rPr>
            </w:pPr>
            <w:r>
              <w:rPr>
                <w:rFonts w:hint="eastAsia" w:ascii="宋体" w:hAnsi="宋体" w:eastAsia="宋体" w:cs="宋体"/>
                <w:i w:val="0"/>
                <w:color w:val="000000"/>
                <w:kern w:val="0"/>
                <w:sz w:val="20"/>
                <w:szCs w:val="20"/>
                <w:highlight w:val="yellow"/>
                <w:u w:val="none"/>
                <w:lang w:val="en-US" w:eastAsia="zh-CN" w:bidi="ar"/>
              </w:rPr>
              <w:t>48424.75</w:t>
            </w:r>
          </w:p>
        </w:tc>
        <w:tc>
          <w:tcPr>
            <w:tcW w:w="6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highlight w:val="yellow"/>
                <w:u w:val="none"/>
              </w:rPr>
            </w:pPr>
            <w:r>
              <w:rPr>
                <w:rFonts w:hint="eastAsia" w:ascii="宋体" w:hAnsi="宋体" w:eastAsia="宋体" w:cs="宋体"/>
                <w:i w:val="0"/>
                <w:color w:val="000000"/>
                <w:kern w:val="0"/>
                <w:sz w:val="24"/>
                <w:szCs w:val="24"/>
                <w:highlight w:val="yellow"/>
                <w:u w:val="none"/>
                <w:lang w:val="en-US" w:eastAsia="zh-CN" w:bidi="ar"/>
              </w:rPr>
              <w:t>—</w:t>
            </w:r>
          </w:p>
        </w:tc>
        <w:tc>
          <w:tcPr>
            <w:tcW w:w="9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highlight w:val="yellow"/>
                <w:u w:val="none"/>
              </w:rPr>
            </w:pPr>
            <w:r>
              <w:rPr>
                <w:rFonts w:hint="eastAsia" w:ascii="宋体" w:hAnsi="宋体" w:eastAsia="宋体" w:cs="宋体"/>
                <w:i w:val="0"/>
                <w:color w:val="000000"/>
                <w:kern w:val="0"/>
                <w:sz w:val="24"/>
                <w:szCs w:val="24"/>
                <w:highlight w:val="yellow"/>
                <w:u w:val="none"/>
                <w:lang w:val="en-US" w:eastAsia="zh-CN" w:bidi="ar"/>
              </w:rPr>
              <w:t>—</w:t>
            </w:r>
          </w:p>
        </w:tc>
        <w:tc>
          <w:tcPr>
            <w:tcW w:w="95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highlight w:val="yellow"/>
                <w:u w:val="none"/>
              </w:rPr>
            </w:pPr>
            <w:r>
              <w:rPr>
                <w:rFonts w:hint="eastAsia" w:ascii="宋体" w:hAnsi="宋体" w:eastAsia="宋体" w:cs="宋体"/>
                <w:i w:val="0"/>
                <w:color w:val="000000"/>
                <w:kern w:val="0"/>
                <w:sz w:val="24"/>
                <w:szCs w:val="24"/>
                <w:highlight w:val="yellow"/>
                <w:u w:val="none"/>
                <w:lang w:val="en-US" w:eastAsia="zh-CN" w:bidi="ar"/>
              </w:rPr>
              <w:t>—</w:t>
            </w:r>
          </w:p>
        </w:tc>
        <w:tc>
          <w:tcPr>
            <w:tcW w:w="4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
              </w:rPr>
            </w:pPr>
          </w:p>
        </w:tc>
      </w:tr>
      <w:tr>
        <w:tblPrEx>
          <w:tblLayout w:type="fixed"/>
          <w:tblCellMar>
            <w:top w:w="0" w:type="dxa"/>
            <w:left w:w="0" w:type="dxa"/>
            <w:bottom w:w="0" w:type="dxa"/>
            <w:right w:w="0" w:type="dxa"/>
          </w:tblCellMar>
        </w:tblPrEx>
        <w:trPr>
          <w:trHeight w:val="400" w:hRule="atLeast"/>
        </w:trPr>
        <w:tc>
          <w:tcPr>
            <w:tcW w:w="162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highlight w:val="yellow"/>
                <w:u w:val="none"/>
              </w:rPr>
            </w:pPr>
          </w:p>
        </w:tc>
        <w:tc>
          <w:tcPr>
            <w:tcW w:w="14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highlight w:val="yellow"/>
                <w:u w:val="none"/>
              </w:rPr>
            </w:pPr>
            <w:r>
              <w:rPr>
                <w:rFonts w:hint="eastAsia" w:ascii="宋体" w:hAnsi="宋体" w:eastAsia="宋体" w:cs="宋体"/>
                <w:i w:val="0"/>
                <w:color w:val="000000"/>
                <w:kern w:val="0"/>
                <w:sz w:val="20"/>
                <w:szCs w:val="20"/>
                <w:highlight w:val="yellow"/>
                <w:u w:val="none"/>
                <w:lang w:val="en-US" w:eastAsia="zh-CN" w:bidi="ar"/>
              </w:rPr>
              <w:t>本级资金：</w:t>
            </w:r>
          </w:p>
        </w:tc>
        <w:tc>
          <w:tcPr>
            <w:tcW w:w="8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yellow"/>
                <w:u w:val="none"/>
              </w:rPr>
            </w:pPr>
            <w:r>
              <w:rPr>
                <w:rFonts w:hint="eastAsia" w:ascii="宋体" w:hAnsi="宋体" w:eastAsia="宋体" w:cs="宋体"/>
                <w:i w:val="0"/>
                <w:color w:val="000000"/>
                <w:kern w:val="0"/>
                <w:sz w:val="20"/>
                <w:szCs w:val="20"/>
                <w:highlight w:val="yellow"/>
                <w:u w:val="none"/>
                <w:lang w:val="en-US" w:eastAsia="zh-CN" w:bidi="ar"/>
              </w:rPr>
              <w:t>2048.62</w:t>
            </w:r>
          </w:p>
        </w:tc>
        <w:tc>
          <w:tcPr>
            <w:tcW w:w="10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yellow"/>
                <w:u w:val="none"/>
              </w:rPr>
            </w:pPr>
            <w:r>
              <w:rPr>
                <w:rFonts w:hint="eastAsia" w:ascii="宋体" w:hAnsi="宋体" w:eastAsia="宋体" w:cs="宋体"/>
                <w:i w:val="0"/>
                <w:color w:val="000000"/>
                <w:kern w:val="0"/>
                <w:sz w:val="20"/>
                <w:szCs w:val="20"/>
                <w:highlight w:val="yellow"/>
                <w:u w:val="none"/>
                <w:lang w:val="en-US" w:eastAsia="zh-CN" w:bidi="ar"/>
              </w:rPr>
              <w:t>10310.53</w:t>
            </w:r>
          </w:p>
        </w:tc>
        <w:tc>
          <w:tcPr>
            <w:tcW w:w="10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yellow"/>
                <w:u w:val="none"/>
              </w:rPr>
            </w:pPr>
            <w:r>
              <w:rPr>
                <w:rFonts w:hint="eastAsia" w:ascii="宋体" w:hAnsi="宋体" w:eastAsia="宋体" w:cs="宋体"/>
                <w:i w:val="0"/>
                <w:color w:val="000000"/>
                <w:kern w:val="0"/>
                <w:sz w:val="20"/>
                <w:szCs w:val="20"/>
                <w:highlight w:val="yellow"/>
                <w:u w:val="none"/>
                <w:lang w:val="en-US" w:eastAsia="zh-CN" w:bidi="ar"/>
              </w:rPr>
              <w:t>10233.5</w:t>
            </w:r>
          </w:p>
        </w:tc>
        <w:tc>
          <w:tcPr>
            <w:tcW w:w="6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highlight w:val="yellow"/>
                <w:u w:val="none"/>
              </w:rPr>
            </w:pPr>
            <w:r>
              <w:rPr>
                <w:rFonts w:hint="eastAsia" w:ascii="宋体" w:hAnsi="宋体" w:eastAsia="宋体" w:cs="宋体"/>
                <w:i w:val="0"/>
                <w:color w:val="000000"/>
                <w:kern w:val="0"/>
                <w:sz w:val="24"/>
                <w:szCs w:val="24"/>
                <w:highlight w:val="yellow"/>
                <w:u w:val="none"/>
                <w:lang w:val="en-US" w:eastAsia="zh-CN" w:bidi="ar"/>
              </w:rPr>
              <w:t>—</w:t>
            </w:r>
          </w:p>
        </w:tc>
        <w:tc>
          <w:tcPr>
            <w:tcW w:w="9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highlight w:val="yellow"/>
                <w:u w:val="none"/>
              </w:rPr>
            </w:pPr>
            <w:r>
              <w:rPr>
                <w:rFonts w:hint="eastAsia" w:ascii="宋体" w:hAnsi="宋体" w:eastAsia="宋体" w:cs="宋体"/>
                <w:i w:val="0"/>
                <w:color w:val="000000"/>
                <w:kern w:val="0"/>
                <w:sz w:val="24"/>
                <w:szCs w:val="24"/>
                <w:highlight w:val="yellow"/>
                <w:u w:val="none"/>
                <w:lang w:val="en-US" w:eastAsia="zh-CN" w:bidi="ar"/>
              </w:rPr>
              <w:t>—</w:t>
            </w:r>
          </w:p>
        </w:tc>
        <w:tc>
          <w:tcPr>
            <w:tcW w:w="95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highlight w:val="yellow"/>
                <w:u w:val="none"/>
              </w:rPr>
            </w:pPr>
            <w:r>
              <w:rPr>
                <w:rFonts w:hint="eastAsia" w:ascii="宋体" w:hAnsi="宋体" w:eastAsia="宋体" w:cs="宋体"/>
                <w:i w:val="0"/>
                <w:color w:val="000000"/>
                <w:kern w:val="0"/>
                <w:sz w:val="24"/>
                <w:szCs w:val="24"/>
                <w:highlight w:val="yellow"/>
                <w:u w:val="none"/>
                <w:lang w:val="en-US" w:eastAsia="zh-CN" w:bidi="ar"/>
              </w:rPr>
              <w:t>—</w:t>
            </w:r>
          </w:p>
        </w:tc>
        <w:tc>
          <w:tcPr>
            <w:tcW w:w="4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
              </w:rPr>
            </w:pPr>
          </w:p>
        </w:tc>
      </w:tr>
      <w:tr>
        <w:tblPrEx>
          <w:tblLayout w:type="fixed"/>
          <w:tblCellMar>
            <w:top w:w="0" w:type="dxa"/>
            <w:left w:w="0" w:type="dxa"/>
            <w:bottom w:w="0" w:type="dxa"/>
            <w:right w:w="0" w:type="dxa"/>
          </w:tblCellMar>
        </w:tblPrEx>
        <w:trPr>
          <w:trHeight w:val="400" w:hRule="atLeast"/>
        </w:trPr>
        <w:tc>
          <w:tcPr>
            <w:tcW w:w="162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highlight w:val="yellow"/>
                <w:u w:val="none"/>
              </w:rPr>
            </w:pPr>
          </w:p>
        </w:tc>
        <w:tc>
          <w:tcPr>
            <w:tcW w:w="14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highlight w:val="yellow"/>
                <w:u w:val="none"/>
              </w:rPr>
            </w:pPr>
            <w:r>
              <w:rPr>
                <w:rFonts w:hint="eastAsia" w:ascii="宋体" w:hAnsi="宋体" w:eastAsia="宋体" w:cs="宋体"/>
                <w:i w:val="0"/>
                <w:color w:val="000000"/>
                <w:kern w:val="0"/>
                <w:sz w:val="20"/>
                <w:szCs w:val="20"/>
                <w:highlight w:val="yellow"/>
                <w:u w:val="none"/>
                <w:lang w:val="en-US" w:eastAsia="zh-CN" w:bidi="ar"/>
              </w:rPr>
              <w:t>其他资金：</w:t>
            </w:r>
          </w:p>
        </w:tc>
        <w:tc>
          <w:tcPr>
            <w:tcW w:w="8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yellow"/>
                <w:u w:val="none"/>
              </w:rPr>
            </w:pPr>
            <w:r>
              <w:rPr>
                <w:rFonts w:hint="eastAsia" w:ascii="宋体" w:hAnsi="宋体" w:eastAsia="宋体" w:cs="宋体"/>
                <w:i w:val="0"/>
                <w:color w:val="000000"/>
                <w:kern w:val="0"/>
                <w:sz w:val="20"/>
                <w:szCs w:val="20"/>
                <w:highlight w:val="yellow"/>
                <w:u w:val="none"/>
                <w:lang w:val="en-US" w:eastAsia="zh-CN" w:bidi="ar"/>
              </w:rPr>
              <w:t>0</w:t>
            </w:r>
          </w:p>
        </w:tc>
        <w:tc>
          <w:tcPr>
            <w:tcW w:w="10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yellow"/>
                <w:u w:val="none"/>
              </w:rPr>
            </w:pPr>
            <w:r>
              <w:rPr>
                <w:rFonts w:hint="eastAsia" w:ascii="宋体" w:hAnsi="宋体" w:eastAsia="宋体" w:cs="宋体"/>
                <w:i w:val="0"/>
                <w:color w:val="000000"/>
                <w:kern w:val="0"/>
                <w:sz w:val="20"/>
                <w:szCs w:val="20"/>
                <w:highlight w:val="yellow"/>
                <w:u w:val="none"/>
                <w:lang w:val="en-US" w:eastAsia="zh-CN" w:bidi="ar"/>
              </w:rPr>
              <w:t>1515.8</w:t>
            </w:r>
          </w:p>
        </w:tc>
        <w:tc>
          <w:tcPr>
            <w:tcW w:w="10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yellow"/>
                <w:u w:val="none"/>
              </w:rPr>
            </w:pPr>
            <w:r>
              <w:rPr>
                <w:rFonts w:hint="eastAsia" w:ascii="宋体" w:hAnsi="宋体" w:eastAsia="宋体" w:cs="宋体"/>
                <w:i w:val="0"/>
                <w:color w:val="000000"/>
                <w:kern w:val="0"/>
                <w:sz w:val="20"/>
                <w:szCs w:val="20"/>
                <w:highlight w:val="yellow"/>
                <w:u w:val="none"/>
                <w:lang w:val="en-US" w:eastAsia="zh-CN" w:bidi="ar"/>
              </w:rPr>
              <w:t>676.6</w:t>
            </w:r>
          </w:p>
        </w:tc>
        <w:tc>
          <w:tcPr>
            <w:tcW w:w="6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highlight w:val="yellow"/>
                <w:u w:val="none"/>
              </w:rPr>
            </w:pPr>
            <w:r>
              <w:rPr>
                <w:rFonts w:hint="eastAsia" w:ascii="宋体" w:hAnsi="宋体" w:eastAsia="宋体" w:cs="宋体"/>
                <w:i w:val="0"/>
                <w:color w:val="000000"/>
                <w:kern w:val="0"/>
                <w:sz w:val="24"/>
                <w:szCs w:val="24"/>
                <w:highlight w:val="yellow"/>
                <w:u w:val="none"/>
                <w:lang w:val="en-US" w:eastAsia="zh-CN" w:bidi="ar"/>
              </w:rPr>
              <w:t>—</w:t>
            </w:r>
          </w:p>
        </w:tc>
        <w:tc>
          <w:tcPr>
            <w:tcW w:w="9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highlight w:val="yellow"/>
                <w:u w:val="none"/>
              </w:rPr>
            </w:pPr>
            <w:r>
              <w:rPr>
                <w:rFonts w:hint="eastAsia" w:ascii="宋体" w:hAnsi="宋体" w:eastAsia="宋体" w:cs="宋体"/>
                <w:i w:val="0"/>
                <w:color w:val="000000"/>
                <w:kern w:val="0"/>
                <w:sz w:val="24"/>
                <w:szCs w:val="24"/>
                <w:highlight w:val="yellow"/>
                <w:u w:val="none"/>
                <w:lang w:val="en-US" w:eastAsia="zh-CN" w:bidi="ar"/>
              </w:rPr>
              <w:t>—</w:t>
            </w:r>
          </w:p>
        </w:tc>
        <w:tc>
          <w:tcPr>
            <w:tcW w:w="95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highlight w:val="yellow"/>
                <w:u w:val="none"/>
              </w:rPr>
            </w:pPr>
            <w:r>
              <w:rPr>
                <w:rFonts w:hint="eastAsia" w:ascii="宋体" w:hAnsi="宋体" w:eastAsia="宋体" w:cs="宋体"/>
                <w:i w:val="0"/>
                <w:color w:val="000000"/>
                <w:kern w:val="0"/>
                <w:sz w:val="24"/>
                <w:szCs w:val="24"/>
                <w:highlight w:val="yellow"/>
                <w:u w:val="none"/>
                <w:lang w:val="en-US" w:eastAsia="zh-CN" w:bidi="ar"/>
              </w:rPr>
              <w:t>—</w:t>
            </w:r>
          </w:p>
        </w:tc>
        <w:tc>
          <w:tcPr>
            <w:tcW w:w="4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
              </w:rPr>
            </w:pPr>
          </w:p>
        </w:tc>
      </w:tr>
      <w:tr>
        <w:tblPrEx>
          <w:tblLayout w:type="fixed"/>
          <w:tblCellMar>
            <w:top w:w="0" w:type="dxa"/>
            <w:left w:w="0" w:type="dxa"/>
            <w:bottom w:w="0" w:type="dxa"/>
            <w:right w:w="0" w:type="dxa"/>
          </w:tblCellMar>
        </w:tblPrEx>
        <w:trPr>
          <w:trHeight w:val="285" w:hRule="atLeast"/>
        </w:trPr>
        <w:tc>
          <w:tcPr>
            <w:tcW w:w="1621"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yellow"/>
                <w:u w:val="none"/>
              </w:rPr>
            </w:pPr>
            <w:r>
              <w:rPr>
                <w:rFonts w:hint="eastAsia" w:ascii="宋体" w:hAnsi="宋体" w:eastAsia="宋体" w:cs="宋体"/>
                <w:i w:val="0"/>
                <w:color w:val="000000"/>
                <w:kern w:val="0"/>
                <w:sz w:val="20"/>
                <w:szCs w:val="20"/>
                <w:highlight w:val="yellow"/>
                <w:u w:val="none"/>
                <w:lang w:val="en-US" w:eastAsia="zh-CN" w:bidi="ar"/>
              </w:rPr>
              <w:t>年度总目标</w:t>
            </w:r>
          </w:p>
        </w:tc>
        <w:tc>
          <w:tcPr>
            <w:tcW w:w="331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yellow"/>
                <w:u w:val="none"/>
              </w:rPr>
            </w:pPr>
            <w:r>
              <w:rPr>
                <w:rFonts w:hint="eastAsia" w:ascii="宋体" w:hAnsi="宋体" w:eastAsia="宋体" w:cs="宋体"/>
                <w:i w:val="0"/>
                <w:color w:val="000000"/>
                <w:kern w:val="0"/>
                <w:sz w:val="20"/>
                <w:szCs w:val="20"/>
                <w:highlight w:val="yellow"/>
                <w:u w:val="none"/>
                <w:lang w:val="en-US" w:eastAsia="zh-CN" w:bidi="ar"/>
              </w:rPr>
              <w:t>预期目标</w:t>
            </w:r>
          </w:p>
        </w:tc>
        <w:tc>
          <w:tcPr>
            <w:tcW w:w="3521"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yellow"/>
                <w:u w:val="none"/>
              </w:rPr>
            </w:pPr>
            <w:r>
              <w:rPr>
                <w:rFonts w:hint="eastAsia" w:ascii="宋体" w:hAnsi="宋体" w:eastAsia="宋体" w:cs="宋体"/>
                <w:i w:val="0"/>
                <w:color w:val="000000"/>
                <w:kern w:val="0"/>
                <w:sz w:val="20"/>
                <w:szCs w:val="20"/>
                <w:highlight w:val="yellow"/>
                <w:u w:val="none"/>
                <w:lang w:val="en-US" w:eastAsia="zh-CN" w:bidi="ar"/>
              </w:rPr>
              <w:t>实际完成情况</w:t>
            </w:r>
          </w:p>
        </w:tc>
        <w:tc>
          <w:tcPr>
            <w:tcW w:w="4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Layout w:type="fixed"/>
          <w:tblCellMar>
            <w:top w:w="0" w:type="dxa"/>
            <w:left w:w="0" w:type="dxa"/>
            <w:bottom w:w="0" w:type="dxa"/>
            <w:right w:w="0" w:type="dxa"/>
          </w:tblCellMar>
        </w:tblPrEx>
        <w:trPr>
          <w:trHeight w:val="5120" w:hRule="atLeast"/>
        </w:trPr>
        <w:tc>
          <w:tcPr>
            <w:tcW w:w="162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highlight w:val="yellow"/>
                <w:u w:val="none"/>
              </w:rPr>
            </w:pPr>
          </w:p>
        </w:tc>
        <w:tc>
          <w:tcPr>
            <w:tcW w:w="331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yellow"/>
                <w:u w:val="none"/>
              </w:rPr>
            </w:pPr>
            <w:r>
              <w:rPr>
                <w:rFonts w:hint="eastAsia" w:ascii="宋体" w:hAnsi="宋体" w:eastAsia="宋体" w:cs="宋体"/>
                <w:i w:val="0"/>
                <w:color w:val="000000"/>
                <w:kern w:val="0"/>
                <w:sz w:val="20"/>
                <w:szCs w:val="20"/>
                <w:highlight w:val="yellow"/>
                <w:u w:val="none"/>
                <w:lang w:val="en-US" w:eastAsia="zh-CN" w:bidi="ar"/>
              </w:rPr>
              <w:t>1.坚持以习近平新时代中国特色社会主义思想为指导，深入学习贯彻党的二十大精神，学习贯彻习近平总书记视察新疆重要讲话重要指示精神和关于“三农”工作的重要论述，按照自治区党委十届六次全会安排部署，完整准确贯彻新时代的治疆方略，牢牢扭住社会稳定和长治久安总目标，以农业</w:t>
            </w:r>
            <w:r>
              <w:rPr>
                <w:rFonts w:hint="eastAsia" w:ascii="宋体" w:hAnsi="宋体" w:cs="宋体"/>
                <w:i w:val="0"/>
                <w:color w:val="000000"/>
                <w:kern w:val="0"/>
                <w:sz w:val="20"/>
                <w:szCs w:val="20"/>
                <w:highlight w:val="yellow"/>
                <w:u w:val="none"/>
                <w:lang w:val="en-US" w:eastAsia="zh-CN" w:bidi="ar"/>
              </w:rPr>
              <w:t>提质增效</w:t>
            </w:r>
            <w:r>
              <w:rPr>
                <w:rFonts w:hint="eastAsia" w:ascii="宋体" w:hAnsi="宋体" w:eastAsia="宋体" w:cs="宋体"/>
                <w:i w:val="0"/>
                <w:color w:val="000000"/>
                <w:kern w:val="0"/>
                <w:sz w:val="20"/>
                <w:szCs w:val="20"/>
                <w:highlight w:val="yellow"/>
                <w:u w:val="none"/>
                <w:lang w:val="en-US" w:eastAsia="zh-CN" w:bidi="ar"/>
              </w:rPr>
              <w:t xml:space="preserve">、农民大幅增收为目标，紧盯“三农”重点领域和关键环节，做好“三农”工作，认真实施惠农项目，提高农民增收致富能力； </w:t>
            </w:r>
            <w:r>
              <w:rPr>
                <w:rFonts w:hint="eastAsia" w:ascii="宋体" w:hAnsi="宋体" w:eastAsia="宋体" w:cs="宋体"/>
                <w:i w:val="0"/>
                <w:color w:val="000000"/>
                <w:kern w:val="0"/>
                <w:sz w:val="20"/>
                <w:szCs w:val="20"/>
                <w:highlight w:val="yellow"/>
                <w:u w:val="none"/>
                <w:lang w:val="en-US" w:eastAsia="zh-CN" w:bidi="ar"/>
              </w:rPr>
              <w:br w:type="textWrapping"/>
            </w:r>
            <w:r>
              <w:rPr>
                <w:rFonts w:hint="eastAsia" w:ascii="宋体" w:hAnsi="宋体" w:eastAsia="宋体" w:cs="宋体"/>
                <w:i w:val="0"/>
                <w:color w:val="000000"/>
                <w:kern w:val="0"/>
                <w:sz w:val="20"/>
                <w:szCs w:val="20"/>
                <w:highlight w:val="yellow"/>
                <w:u w:val="none"/>
                <w:lang w:val="en-US" w:eastAsia="zh-CN" w:bidi="ar"/>
              </w:rPr>
              <w:t xml:space="preserve">2.实施动物疫情的监测，动物与动物产品检疫，兽医器械监管等行政执法工作； </w:t>
            </w:r>
            <w:r>
              <w:rPr>
                <w:rFonts w:hint="eastAsia" w:ascii="宋体" w:hAnsi="宋体" w:eastAsia="宋体" w:cs="宋体"/>
                <w:i w:val="0"/>
                <w:color w:val="000000"/>
                <w:kern w:val="0"/>
                <w:sz w:val="20"/>
                <w:szCs w:val="20"/>
                <w:highlight w:val="yellow"/>
                <w:u w:val="none"/>
                <w:lang w:val="en-US" w:eastAsia="zh-CN" w:bidi="ar"/>
              </w:rPr>
              <w:br w:type="textWrapping"/>
            </w:r>
            <w:r>
              <w:rPr>
                <w:rFonts w:hint="eastAsia" w:ascii="宋体" w:hAnsi="宋体" w:eastAsia="宋体" w:cs="宋体"/>
                <w:i w:val="0"/>
                <w:color w:val="000000"/>
                <w:kern w:val="0"/>
                <w:sz w:val="20"/>
                <w:szCs w:val="20"/>
                <w:highlight w:val="yellow"/>
                <w:u w:val="none"/>
                <w:lang w:val="en-US" w:eastAsia="zh-CN" w:bidi="ar"/>
              </w:rPr>
              <w:t xml:space="preserve">3.强化农业行政执法力度和农产品质量安全检验检测，有效地维护农民权益，确保农产品食用安全； </w:t>
            </w:r>
            <w:r>
              <w:rPr>
                <w:rFonts w:hint="eastAsia" w:ascii="宋体" w:hAnsi="宋体" w:eastAsia="宋体" w:cs="宋体"/>
                <w:i w:val="0"/>
                <w:color w:val="000000"/>
                <w:kern w:val="0"/>
                <w:sz w:val="20"/>
                <w:szCs w:val="20"/>
                <w:highlight w:val="yellow"/>
                <w:u w:val="none"/>
                <w:lang w:val="en-US" w:eastAsia="zh-CN" w:bidi="ar"/>
              </w:rPr>
              <w:br w:type="textWrapping"/>
            </w:r>
            <w:r>
              <w:rPr>
                <w:rFonts w:hint="eastAsia" w:ascii="宋体" w:hAnsi="宋体" w:eastAsia="宋体" w:cs="宋体"/>
                <w:i w:val="0"/>
                <w:color w:val="000000"/>
                <w:kern w:val="0"/>
                <w:sz w:val="20"/>
                <w:szCs w:val="20"/>
                <w:highlight w:val="yellow"/>
                <w:u w:val="none"/>
                <w:lang w:val="en-US" w:eastAsia="zh-CN" w:bidi="ar"/>
              </w:rPr>
              <w:t xml:space="preserve">4.建设高标准农田、推进高效节水建设，保障粮食综合生产能力； </w:t>
            </w:r>
            <w:r>
              <w:rPr>
                <w:rFonts w:hint="eastAsia" w:ascii="宋体" w:hAnsi="宋体" w:eastAsia="宋体" w:cs="宋体"/>
                <w:i w:val="0"/>
                <w:color w:val="000000"/>
                <w:kern w:val="0"/>
                <w:sz w:val="20"/>
                <w:szCs w:val="20"/>
                <w:highlight w:val="yellow"/>
                <w:u w:val="none"/>
                <w:lang w:val="en-US" w:eastAsia="zh-CN" w:bidi="ar"/>
              </w:rPr>
              <w:br w:type="textWrapping"/>
            </w:r>
            <w:r>
              <w:rPr>
                <w:rFonts w:hint="eastAsia" w:ascii="宋体" w:hAnsi="宋体" w:eastAsia="宋体" w:cs="宋体"/>
                <w:i w:val="0"/>
                <w:color w:val="000000"/>
                <w:kern w:val="0"/>
                <w:sz w:val="20"/>
                <w:szCs w:val="20"/>
                <w:highlight w:val="yellow"/>
                <w:u w:val="none"/>
                <w:lang w:val="en-US" w:eastAsia="zh-CN" w:bidi="ar"/>
              </w:rPr>
              <w:t xml:space="preserve">5.负责农机购置补贴、深松作业补贴发放并监督工作 </w:t>
            </w:r>
            <w:r>
              <w:rPr>
                <w:rFonts w:hint="eastAsia" w:ascii="宋体" w:hAnsi="宋体" w:eastAsia="宋体" w:cs="宋体"/>
                <w:i w:val="0"/>
                <w:color w:val="000000"/>
                <w:kern w:val="0"/>
                <w:sz w:val="20"/>
                <w:szCs w:val="20"/>
                <w:highlight w:val="yellow"/>
                <w:u w:val="none"/>
                <w:lang w:val="en-US" w:eastAsia="zh-CN" w:bidi="ar"/>
              </w:rPr>
              <w:br w:type="textWrapping"/>
            </w:r>
            <w:r>
              <w:rPr>
                <w:rFonts w:hint="eastAsia" w:ascii="宋体" w:hAnsi="宋体" w:eastAsia="宋体" w:cs="宋体"/>
                <w:i w:val="0"/>
                <w:color w:val="000000"/>
                <w:kern w:val="0"/>
                <w:sz w:val="20"/>
                <w:szCs w:val="20"/>
                <w:highlight w:val="yellow"/>
                <w:u w:val="none"/>
                <w:lang w:val="en-US" w:eastAsia="zh-CN" w:bidi="ar"/>
              </w:rPr>
              <w:t xml:space="preserve">6.完成全县农业技术指导和农业技术咨询工作，推广种植业，促进农业发展，种植业技术试验示范、种植业推广体系管理、种植业培训、种植业技术服务等工作； </w:t>
            </w:r>
            <w:r>
              <w:rPr>
                <w:rFonts w:hint="eastAsia" w:ascii="宋体" w:hAnsi="宋体" w:eastAsia="宋体" w:cs="宋体"/>
                <w:i w:val="0"/>
                <w:color w:val="000000"/>
                <w:kern w:val="0"/>
                <w:sz w:val="20"/>
                <w:szCs w:val="20"/>
                <w:highlight w:val="yellow"/>
                <w:u w:val="none"/>
                <w:lang w:val="en-US" w:eastAsia="zh-CN" w:bidi="ar"/>
              </w:rPr>
              <w:br w:type="textWrapping"/>
            </w:r>
            <w:r>
              <w:rPr>
                <w:rFonts w:hint="eastAsia" w:ascii="宋体" w:hAnsi="宋体" w:eastAsia="宋体" w:cs="宋体"/>
                <w:i w:val="0"/>
                <w:color w:val="000000"/>
                <w:kern w:val="0"/>
                <w:sz w:val="20"/>
                <w:szCs w:val="20"/>
                <w:highlight w:val="yellow"/>
                <w:u w:val="none"/>
                <w:lang w:val="en-US" w:eastAsia="zh-CN" w:bidi="ar"/>
              </w:rPr>
              <w:t>7.完成县委交办的其他任务。</w:t>
            </w:r>
          </w:p>
        </w:tc>
        <w:tc>
          <w:tcPr>
            <w:tcW w:w="3521"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yellow"/>
                <w:u w:val="none"/>
              </w:rPr>
            </w:pPr>
            <w:r>
              <w:rPr>
                <w:rFonts w:hint="eastAsia" w:ascii="宋体" w:hAnsi="宋体" w:eastAsia="宋体" w:cs="宋体"/>
                <w:i w:val="0"/>
                <w:color w:val="000000"/>
                <w:kern w:val="0"/>
                <w:sz w:val="20"/>
                <w:szCs w:val="20"/>
                <w:highlight w:val="yellow"/>
                <w:u w:val="none"/>
                <w:lang w:val="en-US" w:eastAsia="zh-CN" w:bidi="ar"/>
              </w:rPr>
              <w:t>2024年度部门整体支出绩效自评综合得分98.7分，评价结果为“优”。今年，我单位严格遵循地委、行署以及自治区在财政资金管理、政策执行和工作任务落实等方面的要求，全面强化预算管理与成本控制，优化资源配置，高效推进各项工作任务。从整体支出绩效来看，成效显著，达成了年初设定的预期目标。</w:t>
            </w:r>
            <w:r>
              <w:rPr>
                <w:rFonts w:hint="eastAsia" w:ascii="宋体" w:hAnsi="宋体" w:eastAsia="宋体" w:cs="宋体"/>
                <w:i w:val="0"/>
                <w:color w:val="000000"/>
                <w:kern w:val="0"/>
                <w:sz w:val="20"/>
                <w:szCs w:val="20"/>
                <w:highlight w:val="yellow"/>
                <w:u w:val="none"/>
                <w:lang w:val="en-US" w:eastAsia="zh-CN" w:bidi="ar"/>
              </w:rPr>
              <w:br w:type="textWrapping"/>
            </w:r>
            <w:r>
              <w:rPr>
                <w:rFonts w:hint="eastAsia" w:ascii="宋体" w:hAnsi="宋体" w:eastAsia="宋体" w:cs="宋体"/>
                <w:i w:val="0"/>
                <w:color w:val="000000"/>
                <w:kern w:val="0"/>
                <w:sz w:val="20"/>
                <w:szCs w:val="20"/>
                <w:highlight w:val="yellow"/>
                <w:u w:val="none"/>
                <w:lang w:val="en-US" w:eastAsia="zh-CN" w:bidi="ar"/>
              </w:rPr>
              <w:t>在预算执行上，严格把控支出进度与方向，确保每一笔资金都精准投入到关键业务领域，有力保障了日常工作的顺利开展与重点项目的稳步推进。粮棉实现稳产丰收方面：普及良田良种良机良法，推进“百千万”创建，种植粮食56.6万亩，总产29.74万吨。冬小麦单产达到432.04公斤/亩、总产10.56万吨。正播玉米单产达到585.07公斤、复播玉米单产达到588.65公斤，总产18.21万吨；畜牧业持续健康发展方面：推广肉牛“放母收犊”1789只，庭院家禽养殖38.8万只，发放奖补资金2024.143万元，带动千家万户发展养殖。目前，全县牲畜存栏达到45.03万头只，其中肉牛存栏7.57万头、肉羊存栏36.2万只、生猪存栏0.95万头、其他畜存栏0.31万头。</w:t>
            </w:r>
            <w:r>
              <w:rPr>
                <w:rFonts w:hint="eastAsia" w:ascii="宋体" w:hAnsi="宋体" w:eastAsia="宋体" w:cs="宋体"/>
                <w:i w:val="0"/>
                <w:color w:val="000000"/>
                <w:kern w:val="0"/>
                <w:sz w:val="20"/>
                <w:szCs w:val="20"/>
                <w:highlight w:val="yellow"/>
                <w:u w:val="none"/>
                <w:lang w:val="en-US" w:eastAsia="zh-CN" w:bidi="ar"/>
              </w:rPr>
              <w:br w:type="textWrapping"/>
            </w:r>
            <w:r>
              <w:rPr>
                <w:rFonts w:hint="eastAsia" w:ascii="宋体" w:hAnsi="宋体" w:eastAsia="宋体" w:cs="宋体"/>
                <w:i w:val="0"/>
                <w:color w:val="000000"/>
                <w:kern w:val="0"/>
                <w:sz w:val="20"/>
                <w:szCs w:val="20"/>
                <w:highlight w:val="yellow"/>
                <w:u w:val="none"/>
                <w:lang w:val="en-US" w:eastAsia="zh-CN" w:bidi="ar"/>
              </w:rPr>
              <w:t>综合评估，我单位在本年度部门整体支出绩效表现优秀，各项工作有序推进，资金使用效益显著，为地区发展和政策落实提供了有力支持 。2024年共完成新建及提升改造高标准农田面积3.25万亩，新增种植玉米面积21万亩，机采棉面积占比达到率达到80%，动物疫病检测率和优化种植面积率达到100%。</w:t>
            </w:r>
          </w:p>
        </w:tc>
        <w:tc>
          <w:tcPr>
            <w:tcW w:w="4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p>
        </w:tc>
      </w:tr>
      <w:tr>
        <w:tblPrEx>
          <w:tblLayout w:type="fixed"/>
          <w:tblCellMar>
            <w:top w:w="0" w:type="dxa"/>
            <w:left w:w="0" w:type="dxa"/>
            <w:bottom w:w="0" w:type="dxa"/>
            <w:right w:w="0" w:type="dxa"/>
          </w:tblCellMar>
        </w:tblPrEx>
        <w:trPr>
          <w:trHeight w:val="540" w:hRule="atLeast"/>
        </w:trPr>
        <w:tc>
          <w:tcPr>
            <w:tcW w:w="7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yellow"/>
                <w:u w:val="none"/>
              </w:rPr>
            </w:pPr>
            <w:r>
              <w:rPr>
                <w:rFonts w:hint="eastAsia" w:ascii="宋体" w:hAnsi="宋体" w:eastAsia="宋体" w:cs="宋体"/>
                <w:i w:val="0"/>
                <w:color w:val="000000"/>
                <w:kern w:val="0"/>
                <w:sz w:val="20"/>
                <w:szCs w:val="20"/>
                <w:highlight w:val="yellow"/>
                <w:u w:val="none"/>
                <w:lang w:val="en-US" w:eastAsia="zh-CN" w:bidi="ar"/>
              </w:rPr>
              <w:t>一级指标</w:t>
            </w:r>
          </w:p>
        </w:tc>
        <w:tc>
          <w:tcPr>
            <w:tcW w:w="9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yellow"/>
                <w:u w:val="none"/>
              </w:rPr>
            </w:pPr>
            <w:r>
              <w:rPr>
                <w:rFonts w:hint="eastAsia" w:ascii="宋体" w:hAnsi="宋体" w:eastAsia="宋体" w:cs="宋体"/>
                <w:i w:val="0"/>
                <w:color w:val="000000"/>
                <w:kern w:val="0"/>
                <w:sz w:val="20"/>
                <w:szCs w:val="20"/>
                <w:highlight w:val="yellow"/>
                <w:u w:val="none"/>
                <w:lang w:val="en-US" w:eastAsia="zh-CN" w:bidi="ar"/>
              </w:rPr>
              <w:t>二级指标</w:t>
            </w:r>
          </w:p>
        </w:tc>
        <w:tc>
          <w:tcPr>
            <w:tcW w:w="2309" w:type="dxa"/>
            <w:gridSpan w:val="2"/>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yellow"/>
                <w:u w:val="none"/>
              </w:rPr>
            </w:pPr>
            <w:r>
              <w:rPr>
                <w:rFonts w:hint="eastAsia" w:ascii="宋体" w:hAnsi="宋体" w:eastAsia="宋体" w:cs="宋体"/>
                <w:i w:val="0"/>
                <w:color w:val="000000"/>
                <w:kern w:val="0"/>
                <w:sz w:val="20"/>
                <w:szCs w:val="20"/>
                <w:highlight w:val="yellow"/>
                <w:u w:val="none"/>
                <w:lang w:val="en-US" w:eastAsia="zh-CN" w:bidi="ar"/>
              </w:rPr>
              <w:t>三级指标</w:t>
            </w:r>
          </w:p>
        </w:tc>
        <w:tc>
          <w:tcPr>
            <w:tcW w:w="1001"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yellow"/>
                <w:u w:val="none"/>
              </w:rPr>
            </w:pPr>
            <w:r>
              <w:rPr>
                <w:rFonts w:hint="eastAsia" w:ascii="宋体" w:hAnsi="宋体" w:eastAsia="宋体" w:cs="宋体"/>
                <w:i w:val="0"/>
                <w:color w:val="000000"/>
                <w:kern w:val="0"/>
                <w:sz w:val="20"/>
                <w:szCs w:val="20"/>
                <w:highlight w:val="yellow"/>
                <w:u w:val="none"/>
                <w:lang w:val="en-US" w:eastAsia="zh-CN" w:bidi="ar"/>
              </w:rPr>
              <w:t>指标值</w:t>
            </w:r>
          </w:p>
        </w:tc>
        <w:tc>
          <w:tcPr>
            <w:tcW w:w="1001"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yellow"/>
                <w:u w:val="none"/>
              </w:rPr>
            </w:pPr>
            <w:r>
              <w:rPr>
                <w:rFonts w:hint="eastAsia" w:ascii="宋体" w:hAnsi="宋体" w:eastAsia="宋体" w:cs="宋体"/>
                <w:i w:val="0"/>
                <w:color w:val="000000"/>
                <w:kern w:val="0"/>
                <w:sz w:val="20"/>
                <w:szCs w:val="20"/>
                <w:highlight w:val="yellow"/>
                <w:u w:val="none"/>
                <w:lang w:val="en-US" w:eastAsia="zh-CN" w:bidi="ar"/>
              </w:rPr>
              <w:t>指标设定依据</w:t>
            </w:r>
          </w:p>
        </w:tc>
        <w:tc>
          <w:tcPr>
            <w:tcW w:w="60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yellow"/>
                <w:u w:val="none"/>
              </w:rPr>
            </w:pPr>
            <w:r>
              <w:rPr>
                <w:rFonts w:hint="eastAsia" w:ascii="宋体" w:hAnsi="宋体" w:eastAsia="宋体" w:cs="宋体"/>
                <w:i w:val="0"/>
                <w:color w:val="000000"/>
                <w:kern w:val="0"/>
                <w:sz w:val="20"/>
                <w:szCs w:val="20"/>
                <w:highlight w:val="yellow"/>
                <w:u w:val="none"/>
                <w:lang w:val="en-US" w:eastAsia="zh-CN" w:bidi="ar"/>
              </w:rPr>
              <w:t>分值权重</w:t>
            </w:r>
          </w:p>
        </w:tc>
        <w:tc>
          <w:tcPr>
            <w:tcW w:w="96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yellow"/>
                <w:u w:val="none"/>
              </w:rPr>
            </w:pPr>
            <w:r>
              <w:rPr>
                <w:rFonts w:hint="eastAsia" w:ascii="宋体" w:hAnsi="宋体" w:eastAsia="宋体" w:cs="宋体"/>
                <w:i w:val="0"/>
                <w:color w:val="000000"/>
                <w:kern w:val="0"/>
                <w:sz w:val="20"/>
                <w:szCs w:val="20"/>
                <w:highlight w:val="yellow"/>
                <w:u w:val="none"/>
                <w:lang w:val="en-US" w:eastAsia="zh-CN" w:bidi="ar"/>
              </w:rPr>
              <w:t>实际完成值</w:t>
            </w:r>
          </w:p>
        </w:tc>
        <w:tc>
          <w:tcPr>
            <w:tcW w:w="451"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yellow"/>
                <w:u w:val="none"/>
              </w:rPr>
            </w:pPr>
            <w:r>
              <w:rPr>
                <w:rFonts w:hint="eastAsia" w:ascii="宋体" w:hAnsi="宋体" w:eastAsia="宋体" w:cs="宋体"/>
                <w:i w:val="0"/>
                <w:color w:val="000000"/>
                <w:kern w:val="0"/>
                <w:sz w:val="20"/>
                <w:szCs w:val="20"/>
                <w:highlight w:val="yellow"/>
                <w:u w:val="none"/>
                <w:lang w:val="en-US" w:eastAsia="zh-CN" w:bidi="ar"/>
              </w:rPr>
              <w:t>完成率</w:t>
            </w:r>
          </w:p>
        </w:tc>
        <w:tc>
          <w:tcPr>
            <w:tcW w:w="50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yellow"/>
                <w:u w:val="none"/>
              </w:rPr>
            </w:pPr>
            <w:r>
              <w:rPr>
                <w:rFonts w:hint="eastAsia" w:ascii="宋体" w:hAnsi="宋体" w:eastAsia="宋体" w:cs="宋体"/>
                <w:i w:val="0"/>
                <w:color w:val="000000"/>
                <w:kern w:val="0"/>
                <w:sz w:val="20"/>
                <w:szCs w:val="20"/>
                <w:highlight w:val="yellow"/>
                <w:u w:val="none"/>
                <w:lang w:val="en-US" w:eastAsia="zh-CN" w:bidi="ar"/>
              </w:rPr>
              <w:t>得分</w:t>
            </w:r>
          </w:p>
        </w:tc>
        <w:tc>
          <w:tcPr>
            <w:tcW w:w="499"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Layout w:type="fixed"/>
          <w:tblCellMar>
            <w:top w:w="0" w:type="dxa"/>
            <w:left w:w="0" w:type="dxa"/>
            <w:bottom w:w="0" w:type="dxa"/>
            <w:right w:w="0" w:type="dxa"/>
          </w:tblCellMar>
        </w:tblPrEx>
        <w:trPr>
          <w:trHeight w:val="480" w:hRule="atLeast"/>
        </w:trPr>
        <w:tc>
          <w:tcPr>
            <w:tcW w:w="7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yellow"/>
                <w:u w:val="none"/>
              </w:rPr>
            </w:pPr>
            <w:r>
              <w:rPr>
                <w:rFonts w:hint="eastAsia" w:ascii="宋体" w:hAnsi="宋体" w:eastAsia="宋体" w:cs="宋体"/>
                <w:i w:val="0"/>
                <w:color w:val="000000"/>
                <w:kern w:val="0"/>
                <w:sz w:val="20"/>
                <w:szCs w:val="20"/>
                <w:highlight w:val="yellow"/>
                <w:u w:val="none"/>
                <w:lang w:val="en-US" w:eastAsia="zh-CN" w:bidi="ar"/>
              </w:rPr>
              <w:t>运行成本</w:t>
            </w:r>
          </w:p>
        </w:tc>
        <w:tc>
          <w:tcPr>
            <w:tcW w:w="9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0"/>
                <w:szCs w:val="20"/>
                <w:highlight w:val="yellow"/>
                <w:u w:val="none"/>
              </w:rPr>
            </w:pPr>
          </w:p>
        </w:tc>
        <w:tc>
          <w:tcPr>
            <w:tcW w:w="230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0"/>
                <w:szCs w:val="20"/>
                <w:highlight w:val="yellow"/>
                <w:u w:val="none"/>
              </w:rPr>
            </w:pPr>
          </w:p>
        </w:tc>
        <w:tc>
          <w:tcPr>
            <w:tcW w:w="10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0"/>
                <w:szCs w:val="20"/>
                <w:highlight w:val="yellow"/>
                <w:u w:val="none"/>
              </w:rPr>
            </w:pPr>
          </w:p>
        </w:tc>
        <w:tc>
          <w:tcPr>
            <w:tcW w:w="10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highlight w:val="yellow"/>
                <w:u w:val="none"/>
              </w:rPr>
            </w:pPr>
          </w:p>
        </w:tc>
        <w:tc>
          <w:tcPr>
            <w:tcW w:w="6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highlight w:val="yellow"/>
                <w:u w:val="none"/>
              </w:rPr>
            </w:pPr>
          </w:p>
        </w:tc>
        <w:tc>
          <w:tcPr>
            <w:tcW w:w="9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0"/>
                <w:szCs w:val="20"/>
                <w:highlight w:val="yellow"/>
                <w:u w:val="none"/>
              </w:rPr>
            </w:pPr>
          </w:p>
        </w:tc>
        <w:tc>
          <w:tcPr>
            <w:tcW w:w="4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highlight w:val="yellow"/>
                <w:u w:val="none"/>
              </w:rPr>
            </w:pPr>
          </w:p>
        </w:tc>
        <w:tc>
          <w:tcPr>
            <w:tcW w:w="5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highlight w:val="yellow"/>
                <w:u w:val="none"/>
              </w:rPr>
            </w:pPr>
          </w:p>
        </w:tc>
        <w:tc>
          <w:tcPr>
            <w:tcW w:w="4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480" w:hRule="atLeast"/>
        </w:trPr>
        <w:tc>
          <w:tcPr>
            <w:tcW w:w="7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yellow"/>
                <w:u w:val="none"/>
              </w:rPr>
            </w:pPr>
            <w:r>
              <w:rPr>
                <w:rFonts w:hint="eastAsia" w:ascii="宋体" w:hAnsi="宋体" w:eastAsia="宋体" w:cs="宋体"/>
                <w:i w:val="0"/>
                <w:color w:val="000000"/>
                <w:kern w:val="0"/>
                <w:sz w:val="20"/>
                <w:szCs w:val="20"/>
                <w:highlight w:val="yellow"/>
                <w:u w:val="none"/>
                <w:lang w:val="en-US" w:eastAsia="zh-CN" w:bidi="ar"/>
              </w:rPr>
              <w:t>管理效率</w:t>
            </w:r>
          </w:p>
        </w:tc>
        <w:tc>
          <w:tcPr>
            <w:tcW w:w="9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0"/>
                <w:szCs w:val="20"/>
                <w:highlight w:val="yellow"/>
                <w:u w:val="none"/>
              </w:rPr>
            </w:pPr>
          </w:p>
        </w:tc>
        <w:tc>
          <w:tcPr>
            <w:tcW w:w="230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0"/>
                <w:szCs w:val="20"/>
                <w:highlight w:val="yellow"/>
                <w:u w:val="none"/>
              </w:rPr>
            </w:pPr>
          </w:p>
        </w:tc>
        <w:tc>
          <w:tcPr>
            <w:tcW w:w="10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0"/>
                <w:szCs w:val="20"/>
                <w:highlight w:val="yellow"/>
                <w:u w:val="none"/>
              </w:rPr>
            </w:pPr>
          </w:p>
        </w:tc>
        <w:tc>
          <w:tcPr>
            <w:tcW w:w="10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highlight w:val="yellow"/>
                <w:u w:val="none"/>
              </w:rPr>
            </w:pPr>
          </w:p>
        </w:tc>
        <w:tc>
          <w:tcPr>
            <w:tcW w:w="6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highlight w:val="yellow"/>
                <w:u w:val="none"/>
              </w:rPr>
            </w:pPr>
          </w:p>
        </w:tc>
        <w:tc>
          <w:tcPr>
            <w:tcW w:w="9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0"/>
                <w:szCs w:val="20"/>
                <w:highlight w:val="yellow"/>
                <w:u w:val="none"/>
              </w:rPr>
            </w:pPr>
          </w:p>
        </w:tc>
        <w:tc>
          <w:tcPr>
            <w:tcW w:w="4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highlight w:val="yellow"/>
                <w:u w:val="none"/>
              </w:rPr>
            </w:pPr>
          </w:p>
        </w:tc>
        <w:tc>
          <w:tcPr>
            <w:tcW w:w="5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highlight w:val="yellow"/>
                <w:u w:val="none"/>
              </w:rPr>
            </w:pPr>
          </w:p>
        </w:tc>
        <w:tc>
          <w:tcPr>
            <w:tcW w:w="4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480" w:hRule="atLeast"/>
        </w:trPr>
        <w:tc>
          <w:tcPr>
            <w:tcW w:w="71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yellow"/>
                <w:u w:val="none"/>
              </w:rPr>
            </w:pPr>
            <w:r>
              <w:rPr>
                <w:rFonts w:hint="eastAsia" w:ascii="宋体" w:hAnsi="宋体" w:eastAsia="宋体" w:cs="宋体"/>
                <w:i w:val="0"/>
                <w:color w:val="000000"/>
                <w:kern w:val="0"/>
                <w:sz w:val="20"/>
                <w:szCs w:val="20"/>
                <w:highlight w:val="yellow"/>
                <w:u w:val="none"/>
                <w:lang w:val="en-US" w:eastAsia="zh-CN" w:bidi="ar"/>
              </w:rPr>
              <w:t>履职效能</w:t>
            </w:r>
          </w:p>
        </w:tc>
        <w:tc>
          <w:tcPr>
            <w:tcW w:w="908"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yellow"/>
                <w:u w:val="none"/>
              </w:rPr>
            </w:pPr>
            <w:r>
              <w:rPr>
                <w:rFonts w:hint="eastAsia" w:ascii="宋体" w:hAnsi="宋体" w:eastAsia="宋体" w:cs="宋体"/>
                <w:i w:val="0"/>
                <w:color w:val="000000"/>
                <w:kern w:val="0"/>
                <w:sz w:val="20"/>
                <w:szCs w:val="20"/>
                <w:highlight w:val="yellow"/>
                <w:u w:val="none"/>
                <w:lang w:val="en-US" w:eastAsia="zh-CN" w:bidi="ar"/>
              </w:rPr>
              <w:t>数量指标</w:t>
            </w:r>
          </w:p>
        </w:tc>
        <w:tc>
          <w:tcPr>
            <w:tcW w:w="230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yellow"/>
                <w:u w:val="none"/>
              </w:rPr>
            </w:pPr>
            <w:r>
              <w:rPr>
                <w:rFonts w:hint="eastAsia" w:ascii="宋体" w:hAnsi="宋体" w:eastAsia="宋体" w:cs="宋体"/>
                <w:i w:val="0"/>
                <w:color w:val="000000"/>
                <w:kern w:val="0"/>
                <w:sz w:val="20"/>
                <w:szCs w:val="20"/>
                <w:highlight w:val="yellow"/>
                <w:u w:val="none"/>
                <w:lang w:val="en-US" w:eastAsia="zh-CN" w:bidi="ar"/>
              </w:rPr>
              <w:t>新建及提升改造高标准农田面积</w:t>
            </w:r>
          </w:p>
        </w:tc>
        <w:tc>
          <w:tcPr>
            <w:tcW w:w="10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yellow"/>
                <w:u w:val="none"/>
              </w:rPr>
            </w:pPr>
            <w:r>
              <w:rPr>
                <w:rFonts w:hint="eastAsia" w:ascii="宋体" w:hAnsi="宋体" w:eastAsia="宋体" w:cs="宋体"/>
                <w:i w:val="0"/>
                <w:color w:val="000000"/>
                <w:kern w:val="0"/>
                <w:sz w:val="20"/>
                <w:szCs w:val="20"/>
                <w:highlight w:val="yellow"/>
                <w:u w:val="none"/>
                <w:lang w:val="en-US" w:eastAsia="zh-CN" w:bidi="ar"/>
              </w:rPr>
              <w:t>&gt;=3.25万亩</w:t>
            </w:r>
          </w:p>
        </w:tc>
        <w:tc>
          <w:tcPr>
            <w:tcW w:w="10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yellow"/>
                <w:u w:val="none"/>
              </w:rPr>
            </w:pPr>
            <w:r>
              <w:rPr>
                <w:rFonts w:hint="eastAsia" w:ascii="宋体" w:hAnsi="宋体" w:eastAsia="宋体" w:cs="宋体"/>
                <w:i w:val="0"/>
                <w:color w:val="000000"/>
                <w:kern w:val="0"/>
                <w:sz w:val="20"/>
                <w:szCs w:val="20"/>
                <w:highlight w:val="yellow"/>
                <w:u w:val="none"/>
                <w:lang w:val="en-US" w:eastAsia="zh-CN" w:bidi="ar"/>
              </w:rPr>
              <w:t>重点工作计划</w:t>
            </w:r>
          </w:p>
        </w:tc>
        <w:tc>
          <w:tcPr>
            <w:tcW w:w="6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yellow"/>
                <w:u w:val="none"/>
              </w:rPr>
            </w:pPr>
            <w:r>
              <w:rPr>
                <w:rFonts w:hint="eastAsia" w:ascii="宋体" w:hAnsi="宋体" w:eastAsia="宋体" w:cs="宋体"/>
                <w:i w:val="0"/>
                <w:color w:val="000000"/>
                <w:kern w:val="0"/>
                <w:sz w:val="20"/>
                <w:szCs w:val="20"/>
                <w:highlight w:val="yellow"/>
                <w:u w:val="none"/>
                <w:lang w:val="en-US" w:eastAsia="zh-CN" w:bidi="ar"/>
              </w:rPr>
              <w:t>18</w:t>
            </w:r>
          </w:p>
        </w:tc>
        <w:tc>
          <w:tcPr>
            <w:tcW w:w="9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yellow"/>
                <w:u w:val="none"/>
              </w:rPr>
            </w:pPr>
            <w:r>
              <w:rPr>
                <w:rFonts w:hint="eastAsia" w:ascii="宋体" w:hAnsi="宋体" w:eastAsia="宋体" w:cs="宋体"/>
                <w:i w:val="0"/>
                <w:color w:val="000000"/>
                <w:kern w:val="0"/>
                <w:sz w:val="20"/>
                <w:szCs w:val="20"/>
                <w:highlight w:val="yellow"/>
                <w:u w:val="none"/>
                <w:lang w:val="en-US" w:eastAsia="zh-CN" w:bidi="ar"/>
              </w:rPr>
              <w:t>3.25万亩</w:t>
            </w:r>
          </w:p>
        </w:tc>
        <w:tc>
          <w:tcPr>
            <w:tcW w:w="4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yellow"/>
                <w:u w:val="none"/>
              </w:rPr>
            </w:pPr>
            <w:r>
              <w:rPr>
                <w:rFonts w:hint="eastAsia" w:ascii="宋体" w:hAnsi="宋体" w:eastAsia="宋体" w:cs="宋体"/>
                <w:i w:val="0"/>
                <w:color w:val="000000"/>
                <w:kern w:val="0"/>
                <w:sz w:val="20"/>
                <w:szCs w:val="20"/>
                <w:highlight w:val="yellow"/>
                <w:u w:val="none"/>
                <w:lang w:val="en-US" w:eastAsia="zh-CN" w:bidi="ar"/>
              </w:rPr>
              <w:t>100</w:t>
            </w:r>
          </w:p>
        </w:tc>
        <w:tc>
          <w:tcPr>
            <w:tcW w:w="5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yellow"/>
                <w:u w:val="none"/>
              </w:rPr>
            </w:pPr>
            <w:r>
              <w:rPr>
                <w:rFonts w:hint="eastAsia" w:ascii="宋体" w:hAnsi="宋体" w:eastAsia="宋体" w:cs="宋体"/>
                <w:i w:val="0"/>
                <w:color w:val="000000"/>
                <w:kern w:val="0"/>
                <w:sz w:val="20"/>
                <w:szCs w:val="20"/>
                <w:highlight w:val="yellow"/>
                <w:u w:val="none"/>
                <w:lang w:val="en-US" w:eastAsia="zh-CN" w:bidi="ar"/>
              </w:rPr>
              <w:t>18</w:t>
            </w:r>
          </w:p>
        </w:tc>
        <w:tc>
          <w:tcPr>
            <w:tcW w:w="4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Layout w:type="fixed"/>
          <w:tblCellMar>
            <w:top w:w="0" w:type="dxa"/>
            <w:left w:w="0" w:type="dxa"/>
            <w:bottom w:w="0" w:type="dxa"/>
            <w:right w:w="0" w:type="dxa"/>
          </w:tblCellMar>
        </w:tblPrEx>
        <w:trPr>
          <w:trHeight w:val="480" w:hRule="atLeast"/>
        </w:trPr>
        <w:tc>
          <w:tcPr>
            <w:tcW w:w="71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highlight w:val="yellow"/>
                <w:u w:val="none"/>
              </w:rPr>
            </w:pPr>
          </w:p>
        </w:tc>
        <w:tc>
          <w:tcPr>
            <w:tcW w:w="90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0"/>
                <w:szCs w:val="20"/>
                <w:highlight w:val="yellow"/>
                <w:u w:val="none"/>
              </w:rPr>
            </w:pPr>
          </w:p>
        </w:tc>
        <w:tc>
          <w:tcPr>
            <w:tcW w:w="230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yellow"/>
                <w:u w:val="none"/>
              </w:rPr>
            </w:pPr>
            <w:r>
              <w:rPr>
                <w:rFonts w:hint="eastAsia" w:ascii="宋体" w:hAnsi="宋体" w:eastAsia="宋体" w:cs="宋体"/>
                <w:i w:val="0"/>
                <w:color w:val="000000"/>
                <w:kern w:val="0"/>
                <w:sz w:val="20"/>
                <w:szCs w:val="20"/>
                <w:highlight w:val="yellow"/>
                <w:u w:val="none"/>
                <w:lang w:val="en-US" w:eastAsia="zh-CN" w:bidi="ar"/>
              </w:rPr>
              <w:t>新增种植玉米面积</w:t>
            </w:r>
          </w:p>
        </w:tc>
        <w:tc>
          <w:tcPr>
            <w:tcW w:w="10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yellow"/>
                <w:u w:val="none"/>
              </w:rPr>
            </w:pPr>
            <w:r>
              <w:rPr>
                <w:rFonts w:hint="eastAsia" w:ascii="宋体" w:hAnsi="宋体" w:eastAsia="宋体" w:cs="宋体"/>
                <w:i w:val="0"/>
                <w:color w:val="000000"/>
                <w:kern w:val="0"/>
                <w:sz w:val="20"/>
                <w:szCs w:val="20"/>
                <w:highlight w:val="yellow"/>
                <w:u w:val="none"/>
                <w:lang w:val="en-US" w:eastAsia="zh-CN" w:bidi="ar"/>
              </w:rPr>
              <w:t>&gt;=21万亩</w:t>
            </w:r>
          </w:p>
        </w:tc>
        <w:tc>
          <w:tcPr>
            <w:tcW w:w="10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yellow"/>
                <w:u w:val="none"/>
              </w:rPr>
            </w:pPr>
            <w:r>
              <w:rPr>
                <w:rFonts w:hint="eastAsia" w:ascii="宋体" w:hAnsi="宋体" w:eastAsia="宋体" w:cs="宋体"/>
                <w:i w:val="0"/>
                <w:color w:val="000000"/>
                <w:kern w:val="0"/>
                <w:sz w:val="20"/>
                <w:szCs w:val="20"/>
                <w:highlight w:val="yellow"/>
                <w:u w:val="none"/>
                <w:lang w:val="en-US" w:eastAsia="zh-CN" w:bidi="ar"/>
              </w:rPr>
              <w:t>重点工作计划</w:t>
            </w:r>
          </w:p>
        </w:tc>
        <w:tc>
          <w:tcPr>
            <w:tcW w:w="6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yellow"/>
                <w:u w:val="none"/>
              </w:rPr>
            </w:pPr>
            <w:r>
              <w:rPr>
                <w:rFonts w:hint="eastAsia" w:ascii="宋体" w:hAnsi="宋体" w:eastAsia="宋体" w:cs="宋体"/>
                <w:i w:val="0"/>
                <w:color w:val="000000"/>
                <w:kern w:val="0"/>
                <w:sz w:val="20"/>
                <w:szCs w:val="20"/>
                <w:highlight w:val="yellow"/>
                <w:u w:val="none"/>
                <w:lang w:val="en-US" w:eastAsia="zh-CN" w:bidi="ar"/>
              </w:rPr>
              <w:t>18</w:t>
            </w:r>
          </w:p>
        </w:tc>
        <w:tc>
          <w:tcPr>
            <w:tcW w:w="9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yellow"/>
                <w:u w:val="none"/>
              </w:rPr>
            </w:pPr>
            <w:r>
              <w:rPr>
                <w:rFonts w:hint="eastAsia" w:ascii="宋体" w:hAnsi="宋体" w:eastAsia="宋体" w:cs="宋体"/>
                <w:i w:val="0"/>
                <w:color w:val="000000"/>
                <w:kern w:val="0"/>
                <w:sz w:val="20"/>
                <w:szCs w:val="20"/>
                <w:highlight w:val="yellow"/>
                <w:u w:val="none"/>
                <w:lang w:val="en-US" w:eastAsia="zh-CN" w:bidi="ar"/>
              </w:rPr>
              <w:t>21万亩</w:t>
            </w:r>
          </w:p>
        </w:tc>
        <w:tc>
          <w:tcPr>
            <w:tcW w:w="4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yellow"/>
                <w:u w:val="none"/>
              </w:rPr>
            </w:pPr>
            <w:r>
              <w:rPr>
                <w:rFonts w:hint="eastAsia" w:ascii="宋体" w:hAnsi="宋体" w:eastAsia="宋体" w:cs="宋体"/>
                <w:i w:val="0"/>
                <w:color w:val="000000"/>
                <w:kern w:val="0"/>
                <w:sz w:val="20"/>
                <w:szCs w:val="20"/>
                <w:highlight w:val="yellow"/>
                <w:u w:val="none"/>
                <w:lang w:val="en-US" w:eastAsia="zh-CN" w:bidi="ar"/>
              </w:rPr>
              <w:t>100</w:t>
            </w:r>
          </w:p>
        </w:tc>
        <w:tc>
          <w:tcPr>
            <w:tcW w:w="5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yellow"/>
                <w:u w:val="none"/>
              </w:rPr>
            </w:pPr>
            <w:r>
              <w:rPr>
                <w:rFonts w:hint="eastAsia" w:ascii="宋体" w:hAnsi="宋体" w:eastAsia="宋体" w:cs="宋体"/>
                <w:i w:val="0"/>
                <w:color w:val="000000"/>
                <w:kern w:val="0"/>
                <w:sz w:val="20"/>
                <w:szCs w:val="20"/>
                <w:highlight w:val="yellow"/>
                <w:u w:val="none"/>
                <w:lang w:val="en-US" w:eastAsia="zh-CN" w:bidi="ar"/>
              </w:rPr>
              <w:t>18</w:t>
            </w:r>
          </w:p>
        </w:tc>
        <w:tc>
          <w:tcPr>
            <w:tcW w:w="4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Layout w:type="fixed"/>
          <w:tblCellMar>
            <w:top w:w="0" w:type="dxa"/>
            <w:left w:w="0" w:type="dxa"/>
            <w:bottom w:w="0" w:type="dxa"/>
            <w:right w:w="0" w:type="dxa"/>
          </w:tblCellMar>
        </w:tblPrEx>
        <w:trPr>
          <w:trHeight w:val="480" w:hRule="atLeast"/>
        </w:trPr>
        <w:tc>
          <w:tcPr>
            <w:tcW w:w="71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highlight w:val="yellow"/>
                <w:u w:val="none"/>
              </w:rPr>
            </w:pPr>
          </w:p>
        </w:tc>
        <w:tc>
          <w:tcPr>
            <w:tcW w:w="908"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yellow"/>
                <w:u w:val="none"/>
              </w:rPr>
            </w:pPr>
            <w:r>
              <w:rPr>
                <w:rFonts w:hint="eastAsia" w:ascii="宋体" w:hAnsi="宋体" w:eastAsia="宋体" w:cs="宋体"/>
                <w:i w:val="0"/>
                <w:color w:val="000000"/>
                <w:kern w:val="0"/>
                <w:sz w:val="20"/>
                <w:szCs w:val="20"/>
                <w:highlight w:val="yellow"/>
                <w:u w:val="none"/>
                <w:lang w:val="en-US" w:eastAsia="zh-CN" w:bidi="ar"/>
              </w:rPr>
              <w:t>质量指标</w:t>
            </w:r>
          </w:p>
        </w:tc>
        <w:tc>
          <w:tcPr>
            <w:tcW w:w="230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yellow"/>
                <w:u w:val="none"/>
              </w:rPr>
            </w:pPr>
            <w:r>
              <w:rPr>
                <w:rFonts w:hint="eastAsia" w:ascii="宋体" w:hAnsi="宋体" w:eastAsia="宋体" w:cs="宋体"/>
                <w:i w:val="0"/>
                <w:color w:val="000000"/>
                <w:kern w:val="0"/>
                <w:sz w:val="20"/>
                <w:szCs w:val="20"/>
                <w:highlight w:val="yellow"/>
                <w:u w:val="none"/>
                <w:lang w:val="en-US" w:eastAsia="zh-CN" w:bidi="ar"/>
              </w:rPr>
              <w:t>机采棉面积占比达到率</w:t>
            </w:r>
          </w:p>
        </w:tc>
        <w:tc>
          <w:tcPr>
            <w:tcW w:w="10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yellow"/>
                <w:u w:val="none"/>
              </w:rPr>
            </w:pPr>
            <w:r>
              <w:rPr>
                <w:rFonts w:hint="eastAsia" w:ascii="宋体" w:hAnsi="宋体" w:eastAsia="宋体" w:cs="宋体"/>
                <w:i w:val="0"/>
                <w:color w:val="000000"/>
                <w:kern w:val="0"/>
                <w:sz w:val="20"/>
                <w:szCs w:val="20"/>
                <w:highlight w:val="yellow"/>
                <w:u w:val="none"/>
                <w:lang w:val="en-US" w:eastAsia="zh-CN" w:bidi="ar"/>
              </w:rPr>
              <w:t>&gt;=80%</w:t>
            </w:r>
          </w:p>
        </w:tc>
        <w:tc>
          <w:tcPr>
            <w:tcW w:w="10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yellow"/>
                <w:u w:val="none"/>
              </w:rPr>
            </w:pPr>
            <w:r>
              <w:rPr>
                <w:rFonts w:hint="eastAsia" w:ascii="宋体" w:hAnsi="宋体" w:eastAsia="宋体" w:cs="宋体"/>
                <w:i w:val="0"/>
                <w:color w:val="000000"/>
                <w:kern w:val="0"/>
                <w:sz w:val="20"/>
                <w:szCs w:val="20"/>
                <w:highlight w:val="yellow"/>
                <w:u w:val="none"/>
                <w:lang w:val="en-US" w:eastAsia="zh-CN" w:bidi="ar"/>
              </w:rPr>
              <w:t>重点工作计划</w:t>
            </w:r>
          </w:p>
        </w:tc>
        <w:tc>
          <w:tcPr>
            <w:tcW w:w="6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yellow"/>
                <w:u w:val="none"/>
              </w:rPr>
            </w:pPr>
            <w:r>
              <w:rPr>
                <w:rFonts w:hint="eastAsia" w:ascii="宋体" w:hAnsi="宋体" w:eastAsia="宋体" w:cs="宋体"/>
                <w:i w:val="0"/>
                <w:color w:val="000000"/>
                <w:kern w:val="0"/>
                <w:sz w:val="20"/>
                <w:szCs w:val="20"/>
                <w:highlight w:val="yellow"/>
                <w:u w:val="none"/>
                <w:lang w:val="en-US" w:eastAsia="zh-CN" w:bidi="ar"/>
              </w:rPr>
              <w:t>18</w:t>
            </w:r>
          </w:p>
        </w:tc>
        <w:tc>
          <w:tcPr>
            <w:tcW w:w="9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yellow"/>
                <w:u w:val="none"/>
              </w:rPr>
            </w:pPr>
            <w:r>
              <w:rPr>
                <w:rFonts w:hint="eastAsia" w:ascii="宋体" w:hAnsi="宋体" w:eastAsia="宋体" w:cs="宋体"/>
                <w:i w:val="0"/>
                <w:color w:val="000000"/>
                <w:kern w:val="0"/>
                <w:sz w:val="20"/>
                <w:szCs w:val="20"/>
                <w:highlight w:val="yellow"/>
                <w:u w:val="none"/>
                <w:lang w:val="en-US" w:eastAsia="zh-CN" w:bidi="ar"/>
              </w:rPr>
              <w:t>80%</w:t>
            </w:r>
          </w:p>
        </w:tc>
        <w:tc>
          <w:tcPr>
            <w:tcW w:w="4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yellow"/>
                <w:u w:val="none"/>
              </w:rPr>
            </w:pPr>
            <w:r>
              <w:rPr>
                <w:rFonts w:hint="eastAsia" w:ascii="宋体" w:hAnsi="宋体" w:eastAsia="宋体" w:cs="宋体"/>
                <w:i w:val="0"/>
                <w:color w:val="000000"/>
                <w:kern w:val="0"/>
                <w:sz w:val="20"/>
                <w:szCs w:val="20"/>
                <w:highlight w:val="yellow"/>
                <w:u w:val="none"/>
                <w:lang w:val="en-US" w:eastAsia="zh-CN" w:bidi="ar"/>
              </w:rPr>
              <w:t>100</w:t>
            </w:r>
          </w:p>
        </w:tc>
        <w:tc>
          <w:tcPr>
            <w:tcW w:w="5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yellow"/>
                <w:u w:val="none"/>
              </w:rPr>
            </w:pPr>
            <w:r>
              <w:rPr>
                <w:rFonts w:hint="eastAsia" w:ascii="宋体" w:hAnsi="宋体" w:eastAsia="宋体" w:cs="宋体"/>
                <w:i w:val="0"/>
                <w:color w:val="000000"/>
                <w:kern w:val="0"/>
                <w:sz w:val="20"/>
                <w:szCs w:val="20"/>
                <w:highlight w:val="yellow"/>
                <w:u w:val="none"/>
                <w:lang w:val="en-US" w:eastAsia="zh-CN" w:bidi="ar"/>
              </w:rPr>
              <w:t>18</w:t>
            </w:r>
          </w:p>
        </w:tc>
        <w:tc>
          <w:tcPr>
            <w:tcW w:w="4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Layout w:type="fixed"/>
          <w:tblCellMar>
            <w:top w:w="0" w:type="dxa"/>
            <w:left w:w="0" w:type="dxa"/>
            <w:bottom w:w="0" w:type="dxa"/>
            <w:right w:w="0" w:type="dxa"/>
          </w:tblCellMar>
        </w:tblPrEx>
        <w:trPr>
          <w:trHeight w:val="480" w:hRule="atLeast"/>
        </w:trPr>
        <w:tc>
          <w:tcPr>
            <w:tcW w:w="71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highlight w:val="yellow"/>
                <w:u w:val="none"/>
              </w:rPr>
            </w:pPr>
          </w:p>
        </w:tc>
        <w:tc>
          <w:tcPr>
            <w:tcW w:w="90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0"/>
                <w:szCs w:val="20"/>
                <w:highlight w:val="yellow"/>
                <w:u w:val="none"/>
              </w:rPr>
            </w:pPr>
          </w:p>
        </w:tc>
        <w:tc>
          <w:tcPr>
            <w:tcW w:w="230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yellow"/>
                <w:u w:val="none"/>
              </w:rPr>
            </w:pPr>
            <w:r>
              <w:rPr>
                <w:rFonts w:hint="eastAsia" w:ascii="宋体" w:hAnsi="宋体" w:eastAsia="宋体" w:cs="宋体"/>
                <w:i w:val="0"/>
                <w:color w:val="000000"/>
                <w:kern w:val="0"/>
                <w:sz w:val="20"/>
                <w:szCs w:val="20"/>
                <w:highlight w:val="yellow"/>
                <w:u w:val="none"/>
                <w:lang w:val="en-US" w:eastAsia="zh-CN" w:bidi="ar"/>
              </w:rPr>
              <w:t>动物疫病检测率</w:t>
            </w:r>
          </w:p>
        </w:tc>
        <w:tc>
          <w:tcPr>
            <w:tcW w:w="10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yellow"/>
                <w:u w:val="none"/>
              </w:rPr>
            </w:pPr>
            <w:r>
              <w:rPr>
                <w:rFonts w:hint="eastAsia" w:ascii="宋体" w:hAnsi="宋体" w:eastAsia="宋体" w:cs="宋体"/>
                <w:i w:val="0"/>
                <w:color w:val="000000"/>
                <w:kern w:val="0"/>
                <w:sz w:val="20"/>
                <w:szCs w:val="20"/>
                <w:highlight w:val="yellow"/>
                <w:u w:val="none"/>
                <w:lang w:val="en-US" w:eastAsia="zh-CN" w:bidi="ar"/>
              </w:rPr>
              <w:t>=100%</w:t>
            </w:r>
          </w:p>
        </w:tc>
        <w:tc>
          <w:tcPr>
            <w:tcW w:w="10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yellow"/>
                <w:u w:val="none"/>
              </w:rPr>
            </w:pPr>
            <w:r>
              <w:rPr>
                <w:rFonts w:hint="eastAsia" w:ascii="宋体" w:hAnsi="宋体" w:eastAsia="宋体" w:cs="宋体"/>
                <w:i w:val="0"/>
                <w:color w:val="000000"/>
                <w:kern w:val="0"/>
                <w:sz w:val="20"/>
                <w:szCs w:val="20"/>
                <w:highlight w:val="yellow"/>
                <w:u w:val="none"/>
                <w:lang w:val="en-US" w:eastAsia="zh-CN" w:bidi="ar"/>
              </w:rPr>
              <w:t>重点工作计划</w:t>
            </w:r>
          </w:p>
        </w:tc>
        <w:tc>
          <w:tcPr>
            <w:tcW w:w="6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yellow"/>
                <w:u w:val="none"/>
              </w:rPr>
            </w:pPr>
            <w:r>
              <w:rPr>
                <w:rFonts w:hint="eastAsia" w:ascii="宋体" w:hAnsi="宋体" w:eastAsia="宋体" w:cs="宋体"/>
                <w:i w:val="0"/>
                <w:color w:val="000000"/>
                <w:kern w:val="0"/>
                <w:sz w:val="20"/>
                <w:szCs w:val="20"/>
                <w:highlight w:val="yellow"/>
                <w:u w:val="none"/>
                <w:lang w:val="en-US" w:eastAsia="zh-CN" w:bidi="ar"/>
              </w:rPr>
              <w:t>18</w:t>
            </w:r>
          </w:p>
        </w:tc>
        <w:tc>
          <w:tcPr>
            <w:tcW w:w="9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yellow"/>
                <w:u w:val="none"/>
              </w:rPr>
            </w:pPr>
            <w:r>
              <w:rPr>
                <w:rFonts w:hint="eastAsia" w:ascii="宋体" w:hAnsi="宋体" w:eastAsia="宋体" w:cs="宋体"/>
                <w:i w:val="0"/>
                <w:color w:val="000000"/>
                <w:kern w:val="0"/>
                <w:sz w:val="20"/>
                <w:szCs w:val="20"/>
                <w:highlight w:val="yellow"/>
                <w:u w:val="none"/>
                <w:lang w:val="en-US" w:eastAsia="zh-CN" w:bidi="ar"/>
              </w:rPr>
              <w:t>100%</w:t>
            </w:r>
          </w:p>
        </w:tc>
        <w:tc>
          <w:tcPr>
            <w:tcW w:w="4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yellow"/>
                <w:u w:val="none"/>
              </w:rPr>
            </w:pPr>
            <w:r>
              <w:rPr>
                <w:rFonts w:hint="eastAsia" w:ascii="宋体" w:hAnsi="宋体" w:eastAsia="宋体" w:cs="宋体"/>
                <w:i w:val="0"/>
                <w:color w:val="000000"/>
                <w:kern w:val="0"/>
                <w:sz w:val="20"/>
                <w:szCs w:val="20"/>
                <w:highlight w:val="yellow"/>
                <w:u w:val="none"/>
                <w:lang w:val="en-US" w:eastAsia="zh-CN" w:bidi="ar"/>
              </w:rPr>
              <w:t>100</w:t>
            </w:r>
          </w:p>
        </w:tc>
        <w:tc>
          <w:tcPr>
            <w:tcW w:w="5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yellow"/>
                <w:u w:val="none"/>
              </w:rPr>
            </w:pPr>
            <w:r>
              <w:rPr>
                <w:rFonts w:hint="eastAsia" w:ascii="宋体" w:hAnsi="宋体" w:eastAsia="宋体" w:cs="宋体"/>
                <w:i w:val="0"/>
                <w:color w:val="000000"/>
                <w:kern w:val="0"/>
                <w:sz w:val="20"/>
                <w:szCs w:val="20"/>
                <w:highlight w:val="yellow"/>
                <w:u w:val="none"/>
                <w:lang w:val="en-US" w:eastAsia="zh-CN" w:bidi="ar"/>
              </w:rPr>
              <w:t>18</w:t>
            </w:r>
          </w:p>
        </w:tc>
        <w:tc>
          <w:tcPr>
            <w:tcW w:w="4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Layout w:type="fixed"/>
          <w:tblCellMar>
            <w:top w:w="0" w:type="dxa"/>
            <w:left w:w="0" w:type="dxa"/>
            <w:bottom w:w="0" w:type="dxa"/>
            <w:right w:w="0" w:type="dxa"/>
          </w:tblCellMar>
        </w:tblPrEx>
        <w:trPr>
          <w:trHeight w:val="480" w:hRule="atLeast"/>
        </w:trPr>
        <w:tc>
          <w:tcPr>
            <w:tcW w:w="71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highlight w:val="yellow"/>
                <w:u w:val="none"/>
              </w:rPr>
            </w:pPr>
          </w:p>
        </w:tc>
        <w:tc>
          <w:tcPr>
            <w:tcW w:w="90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0"/>
                <w:szCs w:val="20"/>
                <w:highlight w:val="yellow"/>
                <w:u w:val="none"/>
              </w:rPr>
            </w:pPr>
          </w:p>
        </w:tc>
        <w:tc>
          <w:tcPr>
            <w:tcW w:w="230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yellow"/>
                <w:u w:val="none"/>
              </w:rPr>
            </w:pPr>
            <w:r>
              <w:rPr>
                <w:rFonts w:hint="eastAsia" w:ascii="宋体" w:hAnsi="宋体" w:eastAsia="宋体" w:cs="宋体"/>
                <w:i w:val="0"/>
                <w:color w:val="000000"/>
                <w:kern w:val="0"/>
                <w:sz w:val="20"/>
                <w:szCs w:val="20"/>
                <w:highlight w:val="yellow"/>
                <w:u w:val="none"/>
                <w:lang w:val="en-US" w:eastAsia="zh-CN" w:bidi="ar"/>
              </w:rPr>
              <w:t>优化种植面积率</w:t>
            </w:r>
          </w:p>
        </w:tc>
        <w:tc>
          <w:tcPr>
            <w:tcW w:w="10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yellow"/>
                <w:u w:val="none"/>
              </w:rPr>
            </w:pPr>
            <w:r>
              <w:rPr>
                <w:rFonts w:hint="eastAsia" w:ascii="宋体" w:hAnsi="宋体" w:eastAsia="宋体" w:cs="宋体"/>
                <w:i w:val="0"/>
                <w:color w:val="000000"/>
                <w:kern w:val="0"/>
                <w:sz w:val="20"/>
                <w:szCs w:val="20"/>
                <w:highlight w:val="yellow"/>
                <w:u w:val="none"/>
                <w:lang w:val="en-US" w:eastAsia="zh-CN" w:bidi="ar"/>
              </w:rPr>
              <w:t>=100%</w:t>
            </w:r>
          </w:p>
        </w:tc>
        <w:tc>
          <w:tcPr>
            <w:tcW w:w="10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yellow"/>
                <w:u w:val="none"/>
              </w:rPr>
            </w:pPr>
            <w:r>
              <w:rPr>
                <w:rFonts w:hint="eastAsia" w:ascii="宋体" w:hAnsi="宋体" w:eastAsia="宋体" w:cs="宋体"/>
                <w:i w:val="0"/>
                <w:color w:val="000000"/>
                <w:kern w:val="0"/>
                <w:sz w:val="20"/>
                <w:szCs w:val="20"/>
                <w:highlight w:val="yellow"/>
                <w:u w:val="none"/>
                <w:lang w:val="en-US" w:eastAsia="zh-CN" w:bidi="ar"/>
              </w:rPr>
              <w:t>重点工作计划</w:t>
            </w:r>
          </w:p>
        </w:tc>
        <w:tc>
          <w:tcPr>
            <w:tcW w:w="6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yellow"/>
                <w:u w:val="none"/>
              </w:rPr>
            </w:pPr>
            <w:r>
              <w:rPr>
                <w:rFonts w:hint="eastAsia" w:ascii="宋体" w:hAnsi="宋体" w:eastAsia="宋体" w:cs="宋体"/>
                <w:i w:val="0"/>
                <w:color w:val="000000"/>
                <w:kern w:val="0"/>
                <w:sz w:val="20"/>
                <w:szCs w:val="20"/>
                <w:highlight w:val="yellow"/>
                <w:u w:val="none"/>
                <w:lang w:val="en-US" w:eastAsia="zh-CN" w:bidi="ar"/>
              </w:rPr>
              <w:t>18</w:t>
            </w:r>
          </w:p>
        </w:tc>
        <w:tc>
          <w:tcPr>
            <w:tcW w:w="9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yellow"/>
                <w:u w:val="none"/>
              </w:rPr>
            </w:pPr>
            <w:r>
              <w:rPr>
                <w:rFonts w:hint="eastAsia" w:ascii="宋体" w:hAnsi="宋体" w:eastAsia="宋体" w:cs="宋体"/>
                <w:i w:val="0"/>
                <w:color w:val="000000"/>
                <w:kern w:val="0"/>
                <w:sz w:val="20"/>
                <w:szCs w:val="20"/>
                <w:highlight w:val="yellow"/>
                <w:u w:val="none"/>
                <w:lang w:val="en-US" w:eastAsia="zh-CN" w:bidi="ar"/>
              </w:rPr>
              <w:t>100%</w:t>
            </w:r>
          </w:p>
        </w:tc>
        <w:tc>
          <w:tcPr>
            <w:tcW w:w="4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yellow"/>
                <w:u w:val="none"/>
              </w:rPr>
            </w:pPr>
            <w:r>
              <w:rPr>
                <w:rFonts w:hint="eastAsia" w:ascii="宋体" w:hAnsi="宋体" w:eastAsia="宋体" w:cs="宋体"/>
                <w:i w:val="0"/>
                <w:color w:val="000000"/>
                <w:kern w:val="0"/>
                <w:sz w:val="20"/>
                <w:szCs w:val="20"/>
                <w:highlight w:val="yellow"/>
                <w:u w:val="none"/>
                <w:lang w:val="en-US" w:eastAsia="zh-CN" w:bidi="ar"/>
              </w:rPr>
              <w:t>100</w:t>
            </w:r>
          </w:p>
        </w:tc>
        <w:tc>
          <w:tcPr>
            <w:tcW w:w="5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yellow"/>
                <w:u w:val="none"/>
              </w:rPr>
            </w:pPr>
            <w:r>
              <w:rPr>
                <w:rFonts w:hint="eastAsia" w:ascii="宋体" w:hAnsi="宋体" w:eastAsia="宋体" w:cs="宋体"/>
                <w:i w:val="0"/>
                <w:color w:val="000000"/>
                <w:kern w:val="0"/>
                <w:sz w:val="20"/>
                <w:szCs w:val="20"/>
                <w:highlight w:val="yellow"/>
                <w:u w:val="none"/>
                <w:lang w:val="en-US" w:eastAsia="zh-CN" w:bidi="ar"/>
              </w:rPr>
              <w:t>18</w:t>
            </w:r>
          </w:p>
        </w:tc>
        <w:tc>
          <w:tcPr>
            <w:tcW w:w="4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bl>
    <w:p>
      <w:r>
        <w:br w:type="page"/>
      </w:r>
    </w:p>
    <w:tbl>
      <w:tblPr>
        <w:tblStyle w:val="10"/>
        <w:tblW w:w="9060" w:type="dxa"/>
        <w:tblInd w:w="0" w:type="dxa"/>
        <w:tblLayout w:type="fixed"/>
        <w:tblCellMar>
          <w:top w:w="0" w:type="dxa"/>
          <w:left w:w="108" w:type="dxa"/>
          <w:bottom w:w="0" w:type="dxa"/>
          <w:right w:w="108" w:type="dxa"/>
        </w:tblCellMar>
      </w:tblPr>
      <w:tblGrid>
        <w:gridCol w:w="625"/>
        <w:gridCol w:w="617"/>
        <w:gridCol w:w="617"/>
        <w:gridCol w:w="617"/>
        <w:gridCol w:w="856"/>
        <w:gridCol w:w="617"/>
        <w:gridCol w:w="617"/>
        <w:gridCol w:w="617"/>
        <w:gridCol w:w="617"/>
        <w:gridCol w:w="622"/>
        <w:gridCol w:w="776"/>
        <w:gridCol w:w="631"/>
        <w:gridCol w:w="600"/>
        <w:gridCol w:w="631"/>
      </w:tblGrid>
      <w:tr>
        <w:tblPrEx>
          <w:tblLayout w:type="fixed"/>
          <w:tblCellMar>
            <w:top w:w="0" w:type="dxa"/>
            <w:left w:w="108" w:type="dxa"/>
            <w:bottom w:w="0" w:type="dxa"/>
            <w:right w:w="108" w:type="dxa"/>
          </w:tblCellMar>
        </w:tblPrEx>
        <w:tc>
          <w:tcPr>
            <w:tcW w:w="9060"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9060"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435"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2023年秸秆综合利用补贴项目</w:t>
            </w:r>
          </w:p>
        </w:tc>
      </w:tr>
      <w:tr>
        <w:tblPrEx>
          <w:tblLayout w:type="fixed"/>
          <w:tblCellMar>
            <w:top w:w="0" w:type="dxa"/>
            <w:left w:w="108" w:type="dxa"/>
            <w:bottom w:w="0" w:type="dxa"/>
            <w:right w:w="108" w:type="dxa"/>
          </w:tblCellMar>
        </w:tblPrEx>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55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麦盖提县农业农村局</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2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麦盖提县农业农村局</w:t>
            </w:r>
          </w:p>
        </w:tc>
      </w:tr>
      <w:tr>
        <w:tblPrEx>
          <w:tblLayout w:type="fixed"/>
          <w:tblCellMar>
            <w:top w:w="0" w:type="dxa"/>
            <w:left w:w="108" w:type="dxa"/>
            <w:bottom w:w="0" w:type="dxa"/>
            <w:right w:w="108" w:type="dxa"/>
          </w:tblCellMar>
        </w:tblPrEx>
        <w:tc>
          <w:tcPr>
            <w:tcW w:w="62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3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47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3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3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39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3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3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47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246.50</w:t>
            </w:r>
          </w:p>
        </w:tc>
        <w:tc>
          <w:tcPr>
            <w:tcW w:w="123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246.50</w:t>
            </w:r>
          </w:p>
        </w:tc>
        <w:tc>
          <w:tcPr>
            <w:tcW w:w="123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246.50</w:t>
            </w:r>
          </w:p>
        </w:tc>
        <w:tc>
          <w:tcPr>
            <w:tcW w:w="139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3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Layout w:type="fixed"/>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3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47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3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3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39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3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3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47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246.50</w:t>
            </w:r>
          </w:p>
        </w:tc>
        <w:tc>
          <w:tcPr>
            <w:tcW w:w="123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246.50</w:t>
            </w:r>
          </w:p>
        </w:tc>
        <w:tc>
          <w:tcPr>
            <w:tcW w:w="123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246.50</w:t>
            </w:r>
          </w:p>
        </w:tc>
        <w:tc>
          <w:tcPr>
            <w:tcW w:w="139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3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2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55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877"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55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资金246.5万元，通过实施秸秆综合利用重点县项目，力争全县秸秆综合利用率达到95%，全面推进秸秆饲料化利用，推广秸秆还田，建立秸秆综合利用长效机制，全县秸秆综合利用得到进一步加强，农村生态环境和人居环境得到有效改善，提高农村生活质量，促进社会主义新农村建设。</w:t>
            </w:r>
          </w:p>
        </w:tc>
        <w:tc>
          <w:tcPr>
            <w:tcW w:w="3877"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截止绩效自评日，已完成实施内容：用10.5万亩棉花</w:t>
            </w:r>
            <w:r>
              <w:rPr>
                <w:rFonts w:hint="eastAsia" w:ascii="宋体" w:hAnsi="宋体"/>
                <w:sz w:val="16"/>
                <w:lang w:eastAsia="zh-CN"/>
              </w:rPr>
              <w:t>棉秆还田</w:t>
            </w:r>
            <w:r>
              <w:rPr>
                <w:rFonts w:ascii="宋体" w:hAnsi="宋体" w:eastAsia="宋体"/>
                <w:sz w:val="16"/>
              </w:rPr>
              <w:t>—残膜回收作业补贴（20元/亩），根据谁先收补给谁的原则，回收残膜后</w:t>
            </w:r>
            <w:r>
              <w:rPr>
                <w:rFonts w:hint="eastAsia" w:ascii="宋体" w:hAnsi="宋体"/>
                <w:sz w:val="16"/>
                <w:lang w:eastAsia="zh-CN"/>
              </w:rPr>
              <w:t>棉秆还田</w:t>
            </w:r>
            <w:r>
              <w:rPr>
                <w:rFonts w:ascii="宋体" w:hAnsi="宋体" w:eastAsia="宋体"/>
                <w:sz w:val="16"/>
              </w:rPr>
              <w:t>，充分利用现有的残膜回收站，以及残膜回收合作社机械，从秸秆还田至残膜回收全程服务，委托昆仑金福农业农民专业合作社、麦盖提县丰盛农业专业合作社等具有有效开展“秸秆</w:t>
            </w:r>
            <w:r>
              <w:rPr>
                <w:rFonts w:hint="eastAsia" w:ascii="宋体" w:hAnsi="宋体"/>
                <w:sz w:val="16"/>
                <w:lang w:eastAsia="zh-CN"/>
              </w:rPr>
              <w:t>粉碎</w:t>
            </w:r>
            <w:r>
              <w:rPr>
                <w:rFonts w:ascii="宋体" w:hAnsi="宋体" w:eastAsia="宋体"/>
                <w:sz w:val="16"/>
              </w:rPr>
              <w:t>还田——残膜回收”能力的合作社开展此项工作。经回收地所有人、村委会、乡镇确认回收面积，农业农村局核实无误后，按20元/亩给予合作社补助。</w:t>
            </w:r>
          </w:p>
        </w:tc>
      </w:tr>
      <w:tr>
        <w:tblPrEx>
          <w:tblLayout w:type="fixed"/>
          <w:tblCellMar>
            <w:top w:w="0" w:type="dxa"/>
            <w:left w:w="108" w:type="dxa"/>
            <w:bottom w:w="0" w:type="dxa"/>
            <w:right w:w="108" w:type="dxa"/>
          </w:tblCellMar>
        </w:tblPrEx>
        <w:tc>
          <w:tcPr>
            <w:tcW w:w="625" w:type="dxa"/>
            <w:tcBorders>
              <w:top w:val="single" w:color="auto" w:sz="10" w:space="0"/>
              <w:left w:val="single" w:color="auto" w:sz="10" w:space="0"/>
              <w:bottom w:val="single" w:color="auto" w:sz="10" w:space="0"/>
              <w:right w:val="single" w:color="auto" w:sz="10" w:space="0"/>
              <w:insideV w:val="single" w:sz="10" w:space="0"/>
            </w:tcBorders>
          </w:tcP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3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2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1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补贴合作社个数</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&gt;=2个</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=2个</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3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补贴发放合规率</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3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补贴发放及时率</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3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=2024年8月</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2024年8月25日</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3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1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麦盖提县天福农产品农民专业合作社补贴金额数</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&lt;=25.33万元</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=25.33万元</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3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麦盖提县昆仑金福农业农民专业合作社补贴金额数</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&lt;=184.67万元</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=184.67万元</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3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麦盖提县鑫瑞农业农机农民专业合作社补贴金额数</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&lt;=20万元</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=20万元</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3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新疆臻冠达农业科技有限公司</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&lt;=15万元</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=15万元</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3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麦盖提腾旭商贸有限公司</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&lt;=1.50万元</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=1.5万元</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3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1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提高农户粮食作物种植积极性</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3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促进我县粮食安全</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有效促进</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有效促进</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3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农户满意度</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3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455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32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r>
    </w:tbl>
    <w:p>
      <w:r>
        <w:br w:type="page"/>
      </w:r>
    </w:p>
    <w:tbl>
      <w:tblPr>
        <w:tblStyle w:val="10"/>
        <w:tblW w:w="9060" w:type="dxa"/>
        <w:tblInd w:w="0" w:type="dxa"/>
        <w:tblLayout w:type="fixed"/>
        <w:tblCellMar>
          <w:top w:w="0" w:type="dxa"/>
          <w:left w:w="108" w:type="dxa"/>
          <w:bottom w:w="0" w:type="dxa"/>
          <w:right w:w="108" w:type="dxa"/>
        </w:tblCellMar>
      </w:tblPr>
      <w:tblGrid>
        <w:gridCol w:w="625"/>
        <w:gridCol w:w="615"/>
        <w:gridCol w:w="615"/>
        <w:gridCol w:w="615"/>
        <w:gridCol w:w="856"/>
        <w:gridCol w:w="615"/>
        <w:gridCol w:w="631"/>
        <w:gridCol w:w="619"/>
        <w:gridCol w:w="617"/>
        <w:gridCol w:w="620"/>
        <w:gridCol w:w="776"/>
        <w:gridCol w:w="630"/>
        <w:gridCol w:w="595"/>
        <w:gridCol w:w="631"/>
      </w:tblGrid>
      <w:tr>
        <w:tblPrEx>
          <w:tblLayout w:type="fixed"/>
          <w:tblCellMar>
            <w:top w:w="0" w:type="dxa"/>
            <w:left w:w="108" w:type="dxa"/>
            <w:bottom w:w="0" w:type="dxa"/>
            <w:right w:w="108" w:type="dxa"/>
          </w:tblCellMar>
        </w:tblPrEx>
        <w:tc>
          <w:tcPr>
            <w:tcW w:w="9060"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9060"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435"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2023年高标准农田建设项目</w:t>
            </w:r>
          </w:p>
        </w:tc>
      </w:tr>
      <w:tr>
        <w:tblPrEx>
          <w:tblLayout w:type="fixed"/>
          <w:tblCellMar>
            <w:top w:w="0" w:type="dxa"/>
            <w:left w:w="108" w:type="dxa"/>
            <w:bottom w:w="0" w:type="dxa"/>
            <w:right w:w="108" w:type="dxa"/>
          </w:tblCellMar>
        </w:tblPrEx>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566"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麦盖提县农业农村局</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252"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麦盖提县农业农村局</w:t>
            </w:r>
          </w:p>
        </w:tc>
      </w:tr>
      <w:tr>
        <w:tblPrEx>
          <w:tblLayout w:type="fixed"/>
          <w:tblCellMar>
            <w:top w:w="0" w:type="dxa"/>
            <w:left w:w="108" w:type="dxa"/>
            <w:bottom w:w="0" w:type="dxa"/>
            <w:right w:w="108" w:type="dxa"/>
          </w:tblCellMar>
        </w:tblPrEx>
        <w:tc>
          <w:tcPr>
            <w:tcW w:w="62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3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47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3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39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2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3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47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2,028.94</w:t>
            </w:r>
          </w:p>
        </w:tc>
        <w:tc>
          <w:tcPr>
            <w:tcW w:w="12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2,028.94</w:t>
            </w:r>
          </w:p>
        </w:tc>
        <w:tc>
          <w:tcPr>
            <w:tcW w:w="123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2,028.94</w:t>
            </w:r>
          </w:p>
        </w:tc>
        <w:tc>
          <w:tcPr>
            <w:tcW w:w="139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2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Layout w:type="fixed"/>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3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47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2,028.94</w:t>
            </w:r>
          </w:p>
        </w:tc>
        <w:tc>
          <w:tcPr>
            <w:tcW w:w="12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2,028.94</w:t>
            </w:r>
          </w:p>
        </w:tc>
        <w:tc>
          <w:tcPr>
            <w:tcW w:w="123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2,028.94</w:t>
            </w:r>
          </w:p>
        </w:tc>
        <w:tc>
          <w:tcPr>
            <w:tcW w:w="139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2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3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47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3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39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2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2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566"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869"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566"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总投资为2028.94万元，主要用于对5个乡实施高标准农田建设，建设面积为7.4万亩。项目的实施将有效减轻土壤盐碱化危害，切实解决我县人水、人地矛盾突出的问题，破解土地碎片化、经营分散、农民组织化程度低、种植结构不统一、效益不明显等关键问题，有效提高农业综合生产能力。</w:t>
            </w:r>
          </w:p>
        </w:tc>
        <w:tc>
          <w:tcPr>
            <w:tcW w:w="3869"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截至</w:t>
            </w:r>
            <w:r>
              <w:rPr>
                <w:rFonts w:ascii="宋体" w:hAnsi="宋体" w:eastAsia="宋体"/>
                <w:sz w:val="16"/>
              </w:rPr>
              <w:t>自评日，本项目已支出金额为2028.94万元，现阶段工程已完成希依提墩乡、吐曼塔勒乡、尕孜库勒乡、库木库萨尔乡、库尔玛乡等5个乡、镇实施高标准农田建设7.4万亩。项目的实施有效减轻了土壤盐碱化危害，有效提高了农业综合生产能力。</w:t>
            </w:r>
          </w:p>
        </w:tc>
      </w:tr>
      <w:tr>
        <w:tblPrEx>
          <w:tblLayout w:type="fixed"/>
          <w:tblCellMar>
            <w:top w:w="0" w:type="dxa"/>
            <w:left w:w="108" w:type="dxa"/>
            <w:bottom w:w="0" w:type="dxa"/>
            <w:right w:w="108" w:type="dxa"/>
          </w:tblCellMar>
        </w:tblPrEx>
        <w:tc>
          <w:tcPr>
            <w:tcW w:w="625" w:type="dxa"/>
            <w:tcBorders>
              <w:top w:val="single" w:color="auto" w:sz="10" w:space="0"/>
              <w:left w:val="single" w:color="auto" w:sz="10" w:space="0"/>
              <w:bottom w:val="single" w:color="auto" w:sz="10" w:space="0"/>
              <w:right w:val="single" w:color="auto" w:sz="10" w:space="0"/>
              <w:insideV w:val="single" w:sz="10" w:space="0"/>
            </w:tcBorders>
          </w:tcP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1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2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2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1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1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高标准农田建设涉及乡镇数量</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&gt;=5个</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1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=5个</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2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高标准农田建设面积</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&gt;=7.40万亩</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10.67万亩</w:t>
            </w:r>
          </w:p>
        </w:tc>
        <w:tc>
          <w:tcPr>
            <w:tcW w:w="61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=7.4万亩</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2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项目验收合格率</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1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2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=2024年10月</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2023年12月</w:t>
            </w:r>
          </w:p>
        </w:tc>
        <w:tc>
          <w:tcPr>
            <w:tcW w:w="61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=2024年10月18日</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2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高标准农田建设平均成本</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&lt;=274.18元/亩</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1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=274.18元/亩</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2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提高农业综合生产能力</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1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2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受益农民满意度</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1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2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4566"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3252"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r>
    </w:tbl>
    <w:p>
      <w:r>
        <w:br w:type="page"/>
      </w:r>
    </w:p>
    <w:tbl>
      <w:tblPr>
        <w:tblStyle w:val="10"/>
        <w:tblW w:w="9056" w:type="dxa"/>
        <w:tblInd w:w="0" w:type="dxa"/>
        <w:tblLayout w:type="fixed"/>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tblPrEx>
          <w:tblLayout w:type="fixed"/>
          <w:tblCellMar>
            <w:top w:w="0" w:type="dxa"/>
            <w:left w:w="108" w:type="dxa"/>
            <w:bottom w:w="0" w:type="dxa"/>
            <w:right w:w="108" w:type="dxa"/>
          </w:tblCellMar>
        </w:tblPrEx>
        <w:tc>
          <w:tcPr>
            <w:tcW w:w="9056"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9056"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424"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2023年高素质农民培训项目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麦盖提县农业农村局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22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麦盖提县农业农村局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62.40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62.40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62.40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62.40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62.40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62.40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该项目预算金额为62.4万元。主要内容</w:t>
            </w:r>
            <w:r>
              <w:rPr>
                <w:rFonts w:hint="eastAsia" w:ascii="宋体" w:hAnsi="宋体"/>
                <w:sz w:val="16"/>
                <w:lang w:eastAsia="zh-CN"/>
              </w:rPr>
              <w:t>为</w:t>
            </w:r>
            <w:r>
              <w:rPr>
                <w:rFonts w:ascii="宋体" w:hAnsi="宋体" w:eastAsia="宋体"/>
                <w:sz w:val="16"/>
              </w:rPr>
              <w:t>支付23年高素质农民培养所使用的耗材费以及培训费，通过该项目的实施，着力推动高质量发展，锚定加快建设农业强区对强化乡村人才支撑的要求，坚持需求导向、产业主线、分层实施、全程培育，坚持生产技术技能、产业发展能力、农民素质素养协同提升，为全面推进乡村振兴、加快建设农业强区提供坚实人才保障。</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截至</w:t>
            </w:r>
            <w:r>
              <w:rPr>
                <w:rFonts w:ascii="宋体" w:hAnsi="宋体" w:eastAsia="宋体"/>
                <w:sz w:val="16"/>
              </w:rPr>
              <w:t>绩效评价日，本项目实际支出62.4万元，项目的实施有效提高农民棉花采收水平，有效增加产业附加值，进一步夯实基层农技推广人才基础，为提升区域种植生产水平、现代农业技术更新和农村经济发展注入新动能。</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培训涉及乡镇数量</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培训补助发放合规率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补助发放及时率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=2024年8月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2024年5月23日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专项培训耗材费用</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&lt;=7.74万元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=7.74万元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专项培训费用</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&lt;=54.66万元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=54.66万元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全面提高农民棉花采收水平</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增加产业附加值</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有效增加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有效增加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农民满意度</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322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r>
    </w:tbl>
    <w:p>
      <w:r>
        <w:br w:type="page"/>
      </w:r>
    </w:p>
    <w:tbl>
      <w:tblPr>
        <w:tblStyle w:val="10"/>
        <w:tblW w:w="8912" w:type="dxa"/>
        <w:tblInd w:w="0" w:type="dxa"/>
        <w:tblLayout w:type="fixed"/>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80"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2023年麦盖提县农业防灾减灾和水利救灾资金（防灾救灾第十一批）</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麦盖提县农业农村局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麦盖提县农业农村局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249.40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249.40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249.40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249.40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249.40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249.40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本项目计划总投资为249.4万元，主要用于从2023年10月-2024年3月底期间从喀什地区以外的区域调运饲草料予以补助，计划补助1.55875万吨，涉及9家养殖企业。项目的实施减少灾害损失，确保全年畜牧业生产稳定。</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截至</w:t>
            </w:r>
            <w:r>
              <w:rPr>
                <w:rFonts w:ascii="宋体" w:hAnsi="宋体" w:eastAsia="宋体"/>
                <w:sz w:val="16"/>
              </w:rPr>
              <w:t>自评日，本项目已支出金额为249.4万元，已补助9家养殖企业合计1.55875万吨从2023年10月-2024年3月底期间从喀什地区以外的区域调运饲草料。项目的实施减少了灾害损失，确保了全年畜牧业生产稳定。</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补助调运饲草料数量</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&gt;=1.56万吨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0.15万吨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=1.56万吨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涉及养殖企业数量</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补助资金使用合规率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补助资金支付及时率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项目结束时间</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=2024年5月31日前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2023年5月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=2024年3月25日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调运饲草料补助标准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=160元/吨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160元/吨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=160元/吨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确保全年畜牧业生产稳定</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确保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确保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确保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r>
    </w:tbl>
    <w:p>
      <w:r>
        <w:br w:type="page"/>
      </w:r>
    </w:p>
    <w:tbl>
      <w:tblPr>
        <w:tblStyle w:val="10"/>
        <w:tblW w:w="9056" w:type="dxa"/>
        <w:tblInd w:w="0" w:type="dxa"/>
        <w:tblLayout w:type="fixed"/>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776"/>
        <w:gridCol w:w="632"/>
        <w:gridCol w:w="632"/>
        <w:gridCol w:w="632"/>
      </w:tblGrid>
      <w:tr>
        <w:tblPrEx>
          <w:tblLayout w:type="fixed"/>
          <w:tblCellMar>
            <w:top w:w="0" w:type="dxa"/>
            <w:left w:w="108" w:type="dxa"/>
            <w:bottom w:w="0" w:type="dxa"/>
            <w:right w:w="108" w:type="dxa"/>
          </w:tblCellMar>
        </w:tblPrEx>
        <w:tc>
          <w:tcPr>
            <w:tcW w:w="9056"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9056"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424"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2024年农村厕所革命整村推进财政奖补（农村粪污一体化处理）试点示范项目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麦盖提县农业农村局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30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麦盖提县农业农村局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2,125.68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2,125.68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2,125.68</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2,125.68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2,125.68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2,125.68</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93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该项目预算金额为2546万元，用于建设麦盖提县4个村的农村厕所革命整村推进项目，完成试点示范村农村厕所革命整村推进年度工作计划，持续系统解决农村厕所问题，推动建立长效管护机制。</w:t>
            </w:r>
          </w:p>
        </w:tc>
        <w:tc>
          <w:tcPr>
            <w:tcW w:w="393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截至自评节点，本项目已实际执行2,125.68万元，已完成部分4个村的农村厕所革命整村推进项目，完成试点示范村农村厕所革命整村推进年度工作计划，持续系统解决农村厕所问题，推动建立长效管护机制。</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2024年计划完成农村厕所革命整村推进的行政村数</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项目收益户数</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&gt;=1046户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=1046户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改造完成的厕所设施合格率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=2025年4月30日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巴扎结米镇贝勒克其（7）村农村厕所革命整村推进项目成本</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&lt;=700万元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=586.2万元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巴扎结米镇尤汗巴什墩（8）村2024年农村厕所革命整村推进项目成本</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&lt;=566万元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=472.3万元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希依提墩乡琼库尔买里（4）村2024年农村厕所革命整村推进项目成本</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&lt;=640万元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=528.66万元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央塔克乡央塔克（3）村2024年农村厕所革命整村</w:t>
            </w:r>
            <w:r>
              <w:rPr>
                <w:rFonts w:hint="eastAsia" w:ascii="宋体" w:hAnsi="宋体"/>
                <w:sz w:val="16"/>
                <w:lang w:eastAsia="zh-CN"/>
              </w:rPr>
              <w:t>推进</w:t>
            </w:r>
            <w:r>
              <w:rPr>
                <w:rFonts w:ascii="宋体" w:hAnsi="宋体" w:eastAsia="宋体"/>
                <w:sz w:val="16"/>
              </w:rPr>
              <w:t>项目成本</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&lt;=640万元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=538.53万元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当年完成厕所革命整村推进的行政村的卫生普及率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厕所粪污无害化处理率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项目区农民满意度</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330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r>
    </w:tbl>
    <w:p>
      <w:r>
        <w:br w:type="page"/>
      </w:r>
    </w:p>
    <w:tbl>
      <w:tblPr>
        <w:tblStyle w:val="10"/>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2024年秸秆综合利用重点县建设项目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麦盖提县农业农村局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麦盖提县农业农村局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总金额830万元，计划2024年支出30万元。2024年该项目主要工作内容为对9个乡镇开展前期调研，动员摸底，落实展示项目实施方案，技术路线，做好宣传25年开展秸秆粉碎还田肥料化，饲料化利用模式，建立秸秆利用资源台账和宣传，对于符合要求的农户及企业发放补助。该项目的实施有助于带动饲料加工业，增加就业岗位，促进当地经济发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截止绩效自评日，已完成实施内容：用10.5万亩棉花</w:t>
            </w:r>
            <w:r>
              <w:rPr>
                <w:rFonts w:hint="eastAsia" w:ascii="宋体" w:hAnsi="宋体"/>
                <w:sz w:val="16"/>
                <w:lang w:eastAsia="zh-CN"/>
              </w:rPr>
              <w:t>棉秆还田</w:t>
            </w:r>
            <w:r>
              <w:rPr>
                <w:rFonts w:ascii="宋体" w:hAnsi="宋体" w:eastAsia="宋体"/>
                <w:sz w:val="16"/>
              </w:rPr>
              <w:t>—残膜回收作业补贴（20元/亩），根据谁先收补给谁的原则，回收残膜后</w:t>
            </w:r>
            <w:r>
              <w:rPr>
                <w:rFonts w:hint="eastAsia" w:ascii="宋体" w:hAnsi="宋体"/>
                <w:sz w:val="16"/>
                <w:lang w:eastAsia="zh-CN"/>
              </w:rPr>
              <w:t>棉秆还田</w:t>
            </w:r>
            <w:r>
              <w:rPr>
                <w:rFonts w:ascii="宋体" w:hAnsi="宋体" w:eastAsia="宋体"/>
                <w:sz w:val="16"/>
              </w:rPr>
              <w:t>，充分利用现有的残膜回收站，以及残膜回收合作社机械，从秸秆还田至残膜回收全程服务，委托昆仑金福农业农民专业合作社、麦盖提县丰盛农业专业合作社等具有有效开展“秸秆</w:t>
            </w:r>
            <w:r>
              <w:rPr>
                <w:rFonts w:hint="eastAsia" w:ascii="宋体" w:hAnsi="宋体"/>
                <w:sz w:val="16"/>
                <w:lang w:eastAsia="zh-CN"/>
              </w:rPr>
              <w:t>粉碎</w:t>
            </w:r>
            <w:r>
              <w:rPr>
                <w:rFonts w:ascii="宋体" w:hAnsi="宋体" w:eastAsia="宋体"/>
                <w:sz w:val="16"/>
              </w:rPr>
              <w:t>还田——残膜回收”能力的合作社开展此项工作。经回收地所有人、村委会、乡镇确认回收面积，农业农村局核实无误后，按20元/亩给予合作社补助。</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涉及乡镇数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一卡通人员信息录入准确率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补贴发放及时率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=2025年7月30日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2024年10月22日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棉花秸秆利用补贴金额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偏差原因：由于本项目为跨年项目，未全部完成，资金未支出；改进措施：加快项目进度，支付资金。</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小麦秸秆利用补贴金额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&lt;=240万元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偏差原因：由于本项目为跨年项目，未全部完成，资金未支出；改进措施：加快项目进度，支付资金。</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打造秸秆综合利用样板补贴金额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&lt;=380万元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偏差原因：由于本项目为跨年项目，未全部完成，资金未支出；改进措施：加快项目进度，支付资金。</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秸秆使用效率研究补贴金额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促进当地经济发展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农户满意度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85分</w:t>
            </w:r>
          </w:p>
        </w:tc>
      </w:tr>
    </w:tbl>
    <w:p>
      <w:r>
        <w:br w:type="page"/>
      </w:r>
    </w:p>
    <w:tbl>
      <w:tblPr>
        <w:tblStyle w:val="10"/>
        <w:tblW w:w="8912" w:type="dxa"/>
        <w:tblInd w:w="0" w:type="dxa"/>
        <w:tblLayout w:type="fixed"/>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80"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2024年粮油单产提升行动项目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麦盖提县农业农村局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麦盖提县农业农村局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本项目计划总投资为167万元，主要用于对符合条件的大规模种植主体进行补助，奖补补贴标准为50元/亩，涉及面积为3.34万亩。项目的实</w:t>
            </w:r>
            <w:r>
              <w:rPr>
                <w:rFonts w:hint="eastAsia" w:ascii="宋体" w:hAnsi="宋体"/>
                <w:sz w:val="16"/>
                <w:lang w:eastAsia="zh-CN"/>
              </w:rPr>
              <w:t>施是</w:t>
            </w:r>
            <w:r>
              <w:rPr>
                <w:rFonts w:ascii="宋体" w:hAnsi="宋体" w:eastAsia="宋体"/>
                <w:sz w:val="16"/>
              </w:rPr>
              <w:t>提高粮油综合生产能力的重要支撑,依托家庭农场技术、新模式,打造发展一批规模化高产示范主体,推动粮</w:t>
            </w:r>
            <w:r>
              <w:rPr>
                <w:rFonts w:hint="eastAsia" w:ascii="宋体" w:hAnsi="宋体"/>
                <w:sz w:val="16"/>
                <w:lang w:eastAsia="zh-CN"/>
              </w:rPr>
              <w:t>农</w:t>
            </w:r>
            <w:r>
              <w:rPr>
                <w:rFonts w:ascii="宋体" w:hAnsi="宋体" w:eastAsia="宋体"/>
                <w:sz w:val="16"/>
              </w:rPr>
              <w:t>合作社等新型农业经营主体,集成推广应用新品种,新油作物增产挖潜,不断提升粮油作物综合生产能力。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截至</w:t>
            </w:r>
            <w:r>
              <w:rPr>
                <w:rFonts w:ascii="宋体" w:hAnsi="宋体" w:eastAsia="宋体"/>
                <w:sz w:val="16"/>
              </w:rPr>
              <w:t>监控节点，项目已支出167万元，已完成冬小麦：通过个人申报、乡级复核、农业农村局测产核实，达到全县种植冬小麦面积达100亩以上、单产水平较全县平均水平高10%以上补助条件的有71人，23721.16亩，按50元/亩标准，发放奖补资金1186058元。正播籽粒玉米：通过个人申报、乡级复核、农业农村局测产核实，达到全县2024年正播籽粒玉米面积达100亩以上、单产水平较全县平均水平高10%以上补助条件</w:t>
            </w:r>
            <w:r>
              <w:rPr>
                <w:rFonts w:hint="eastAsia" w:ascii="宋体" w:hAnsi="宋体"/>
                <w:sz w:val="16"/>
                <w:lang w:eastAsia="zh-CN"/>
              </w:rPr>
              <w:t>的有</w:t>
            </w:r>
            <w:r>
              <w:rPr>
                <w:rFonts w:ascii="宋体" w:hAnsi="宋体" w:eastAsia="宋体"/>
                <w:sz w:val="16"/>
              </w:rPr>
              <w:t>25人，9678.84亩，按50元/亩标准，发放奖补资金483942元。</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涉及补贴种植面积</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&gt;=3.34万亩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=3.34万亩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奖补资金使用合规率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补贴发放覆盖率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奖补资金支付及时率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项目结束时间</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=2024年9月30日前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2024年10月12日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奖补补贴标准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提升粮油作物综合生产能力</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受益种植主体满意度</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r>
    </w:tbl>
    <w:p>
      <w:r>
        <w:br w:type="page"/>
      </w:r>
    </w:p>
    <w:tbl>
      <w:tblPr>
        <w:tblStyle w:val="10"/>
        <w:tblW w:w="9060" w:type="dxa"/>
        <w:tblInd w:w="0" w:type="dxa"/>
        <w:tblLayout w:type="fixed"/>
        <w:tblCellMar>
          <w:top w:w="0" w:type="dxa"/>
          <w:left w:w="108" w:type="dxa"/>
          <w:bottom w:w="0" w:type="dxa"/>
          <w:right w:w="108" w:type="dxa"/>
        </w:tblCellMar>
      </w:tblPr>
      <w:tblGrid>
        <w:gridCol w:w="625"/>
        <w:gridCol w:w="615"/>
        <w:gridCol w:w="616"/>
        <w:gridCol w:w="616"/>
        <w:gridCol w:w="856"/>
        <w:gridCol w:w="620"/>
        <w:gridCol w:w="618"/>
        <w:gridCol w:w="620"/>
        <w:gridCol w:w="618"/>
        <w:gridCol w:w="621"/>
        <w:gridCol w:w="776"/>
        <w:gridCol w:w="631"/>
        <w:gridCol w:w="597"/>
        <w:gridCol w:w="631"/>
      </w:tblGrid>
      <w:tr>
        <w:tblPrEx>
          <w:tblLayout w:type="fixed"/>
          <w:tblCellMar>
            <w:top w:w="0" w:type="dxa"/>
            <w:left w:w="108" w:type="dxa"/>
            <w:bottom w:w="0" w:type="dxa"/>
            <w:right w:w="108" w:type="dxa"/>
          </w:tblCellMar>
        </w:tblPrEx>
        <w:tc>
          <w:tcPr>
            <w:tcW w:w="9060"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9060"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435"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2024年耕地休耕项目</w:t>
            </w:r>
          </w:p>
        </w:tc>
      </w:tr>
      <w:tr>
        <w:tblPrEx>
          <w:tblLayout w:type="fixed"/>
          <w:tblCellMar>
            <w:top w:w="0" w:type="dxa"/>
            <w:left w:w="108" w:type="dxa"/>
            <w:bottom w:w="0" w:type="dxa"/>
            <w:right w:w="108" w:type="dxa"/>
          </w:tblCellMar>
        </w:tblPrEx>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561"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麦盖提县农业农村局</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256"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麦盖提县农业农村局</w:t>
            </w:r>
          </w:p>
        </w:tc>
      </w:tr>
      <w:tr>
        <w:tblPrEx>
          <w:tblLayout w:type="fixed"/>
          <w:tblCellMar>
            <w:top w:w="0" w:type="dxa"/>
            <w:left w:w="108" w:type="dxa"/>
            <w:bottom w:w="0" w:type="dxa"/>
            <w:right w:w="108" w:type="dxa"/>
          </w:tblCellMar>
        </w:tblPrEx>
        <w:tc>
          <w:tcPr>
            <w:tcW w:w="62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3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4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3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3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39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3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4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1,000.00</w:t>
            </w:r>
          </w:p>
        </w:tc>
        <w:tc>
          <w:tcPr>
            <w:tcW w:w="123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1,000.00</w:t>
            </w:r>
          </w:p>
        </w:tc>
        <w:tc>
          <w:tcPr>
            <w:tcW w:w="123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1,000.00</w:t>
            </w:r>
          </w:p>
        </w:tc>
        <w:tc>
          <w:tcPr>
            <w:tcW w:w="139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Layout w:type="fixed"/>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3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4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1,000.00</w:t>
            </w:r>
          </w:p>
        </w:tc>
        <w:tc>
          <w:tcPr>
            <w:tcW w:w="123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1,000.00</w:t>
            </w:r>
          </w:p>
        </w:tc>
        <w:tc>
          <w:tcPr>
            <w:tcW w:w="123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1,000.00</w:t>
            </w:r>
          </w:p>
        </w:tc>
        <w:tc>
          <w:tcPr>
            <w:tcW w:w="139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3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4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3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3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39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2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561"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874"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561"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2024年该项目预算资金为1000万元，主要实施目标是9个乡镇的地块确定，制定实施方案，签订轮作休耕协议，核实休耕地块，按照各乡镇上报的休耕面积，休耕地块再次核实，符合休耕相关政策的地块汇总，进行发放补贴。通过该项目的实施，有效减少地下水的抽取。</w:t>
            </w:r>
          </w:p>
        </w:tc>
        <w:tc>
          <w:tcPr>
            <w:tcW w:w="3874"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截至</w:t>
            </w:r>
            <w:r>
              <w:rPr>
                <w:rFonts w:ascii="宋体" w:hAnsi="宋体" w:eastAsia="宋体"/>
                <w:sz w:val="16"/>
              </w:rPr>
              <w:t>绩效自评日，2024年耕地休耕任务2万亩，已支付项目资金1000万元。其中1万亩属于2022年开始实施未到三年期的续建任务。具体分配方案如下：巴扎结米镇900亩、希依提墩乡1100亩、央塔克乡1500亩、吐曼塔勒乡1100亩、尕孜库勒乡1200亩、克孜勒阿瓦提乡1500亩、库木库萨尔乡900亩、昂格特勒克乡600亩、库尔玛乡1200亩。2024年新增1万亩具体分配如下： 巴扎结米镇4445.28亩、希依提墩乡 938.7亩、央塔克乡171.02亩、吐曼塔勒乡2201亩、克孜勒阿瓦提乡115亩、库木库萨尔乡1029亩、昂格特勒克乡1100亩。</w:t>
            </w:r>
          </w:p>
        </w:tc>
      </w:tr>
      <w:tr>
        <w:tblPrEx>
          <w:tblLayout w:type="fixed"/>
          <w:tblCellMar>
            <w:top w:w="0" w:type="dxa"/>
            <w:left w:w="108" w:type="dxa"/>
            <w:bottom w:w="0" w:type="dxa"/>
            <w:right w:w="108" w:type="dxa"/>
          </w:tblCellMar>
        </w:tblPrEx>
        <w:tc>
          <w:tcPr>
            <w:tcW w:w="625" w:type="dxa"/>
            <w:tcBorders>
              <w:top w:val="single" w:color="auto" w:sz="10" w:space="0"/>
              <w:left w:val="single" w:color="auto" w:sz="10" w:space="0"/>
              <w:bottom w:val="single" w:color="auto" w:sz="10" w:space="0"/>
              <w:right w:val="single" w:color="auto" w:sz="10" w:space="0"/>
              <w:insideV w:val="single" w:sz="10" w:space="0"/>
            </w:tcBorders>
          </w:tcP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2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1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耕地休耕地块确定涉及乡镇个数</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=9个</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=9个</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资金支付合规率</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地块验收合格率</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=2025年7月底</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2024年9月20日</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各乡镇地块确定等前期费用</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&lt;=111.11万元/个</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=111.11万元/个</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减少地下水抽取</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有效减少</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ab/>
            </w:r>
            <w:r>
              <w:rPr>
                <w:rFonts w:ascii="宋体" w:hAnsi="宋体" w:eastAsia="宋体"/>
                <w:sz w:val="16"/>
              </w:rPr>
              <w:t>有效减少</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农户满意度</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4561"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3256"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r>
    </w:tbl>
    <w:p>
      <w:r>
        <w:br w:type="page"/>
      </w:r>
    </w:p>
    <w:tbl>
      <w:tblPr>
        <w:tblStyle w:val="10"/>
        <w:tblW w:w="9056" w:type="dxa"/>
        <w:tblInd w:w="0" w:type="dxa"/>
        <w:tblLayout w:type="fixed"/>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tblPrEx>
          <w:tblLayout w:type="fixed"/>
          <w:tblCellMar>
            <w:top w:w="0" w:type="dxa"/>
            <w:left w:w="108" w:type="dxa"/>
            <w:bottom w:w="0" w:type="dxa"/>
            <w:right w:w="108" w:type="dxa"/>
          </w:tblCellMar>
        </w:tblPrEx>
        <w:tc>
          <w:tcPr>
            <w:tcW w:w="9056"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9056"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424"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2024年耕地轮作项目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麦盖提县农业农村局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22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麦盖提县农业农村局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214.00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214.00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214.00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214.00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214.00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214.00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2024年该项目预算金额为214万元，主要目标是对9个乡镇的地块确定，制定实施方案，签订轮作农作协议，核实轮作地块，按照各乡镇上报的轮作面积，轮作地块再次核实，符合轮作相关政策的地块汇总，进行发放补贴。通过该项目的实施，提高了耕地利用率，提高耕地地力效率。</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截至</w:t>
            </w:r>
            <w:r>
              <w:rPr>
                <w:rFonts w:ascii="宋体" w:hAnsi="宋体" w:eastAsia="宋体"/>
                <w:sz w:val="16"/>
              </w:rPr>
              <w:t>绩效自评日，已完成2024年耕地轮作任务1.4272万亩，支付耕地轮作试点项目资金214万元。其中4272亩自2022年实施，一定三年，仍按照原定方案执行，其中：巴扎结米镇305.915亩、希依提墩乡284.8亩、央塔克乡651.9亩、吐曼塔勒乡442.82亩、尕孜库勒乡436.15亩、克孜勒阿瓦提乡477亩、库木库萨尔乡720.445亩、昂格特勒克乡48.47亩、库尔玛乡904.5亩。2024年新增轮作面积1万亩，具体任务分配如下：希依提墩乡2013亩、吐曼塔勒乡3596.66亩、克孜勒阿瓦提乡2701亩、库木库萨尔乡1684亩。耕地轮作休耕实施后，将农户从繁重的 体力劳动中解放出来，通过本地就业或从事服务业，促进了一二 三产融合发展，农民群众参与耕地轮作、耕地休耕的积极性明显 增强。</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耕地轮作地块确定涉及乡镇个数</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资金支付合规率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项目验收合格率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=2025年7月底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2024年9月23日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各乡镇地块确定等前期费用成本</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&lt;=23.78万元/个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=23.78万元/个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提高耕地地力效率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农户满意度</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322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r>
    </w:tbl>
    <w:p>
      <w:r>
        <w:br w:type="page"/>
      </w:r>
    </w:p>
    <w:tbl>
      <w:tblPr>
        <w:tblStyle w:val="10"/>
        <w:tblW w:w="8912" w:type="dxa"/>
        <w:tblInd w:w="0" w:type="dxa"/>
        <w:tblLayout w:type="fixed"/>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80"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2024年高素质农民培训项目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麦盖提县农业农村局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麦盖提县农业农村局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2024年度计划投资为83万元，主要用于开展农民教育培训，2024年麦盖提县计划完成高素质农民培训250人，其中：新型农业经营主体和社会化服务组织带头人100人，专业生产型50人，技能服务型50人，高素质女农民50人，该项目的实施可充分利用新技术新模式，推动农民教育培训实现线上线下融合，不断提升农民教育培训能力和质量效果，推动农民教育培训工作高质量发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截至</w:t>
            </w:r>
            <w:r>
              <w:rPr>
                <w:rFonts w:ascii="宋体" w:hAnsi="宋体" w:eastAsia="宋体"/>
                <w:sz w:val="16"/>
              </w:rPr>
              <w:t>绩效评价日，本项目实际支出83万元，已开展农民教育培训，2024年麦盖提县计划完成高素质农民培训250人，其中：新型农业经营主体和社会化服务组织带头人100人，专业生产型50人，技能服务型50人，高素质女农民50人，项目的实施让更多高素质农民掌握科学种植管理的方法，拓宽眼界，将所学知识充分运用到实际生产中去，为农业农村产业高质量发展注入新的活力，让农民群众在乡村振兴的道路上行得更稳、走得更远。</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组织带头人数</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专业生产型人数</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技能服务型人数</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高素质女农民人数</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培训出勤率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培训按期完成率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项目结束时间</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=2024年10月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2024年10月9日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组织带头人员培训费用标准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&lt;=3800元/人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=3800元/人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专业生产型人员培训费用标准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&lt;=3000元/人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技能服务型人员培训费用标准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&lt;=3000元/人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高素质女农民培训费用标准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&lt;=3000元/人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提升农民教育培训能力和质量效果</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参加培训农民满意度</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r>
    </w:tbl>
    <w:p>
      <w:r>
        <w:br w:type="page"/>
      </w:r>
    </w:p>
    <w:tbl>
      <w:tblPr>
        <w:tblStyle w:val="10"/>
        <w:tblW w:w="9056" w:type="dxa"/>
        <w:tblInd w:w="0" w:type="dxa"/>
        <w:tblLayout w:type="fixed"/>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tblPrEx>
          <w:tblLayout w:type="fixed"/>
          <w:tblCellMar>
            <w:top w:w="0" w:type="dxa"/>
            <w:left w:w="108" w:type="dxa"/>
            <w:bottom w:w="0" w:type="dxa"/>
            <w:right w:w="108" w:type="dxa"/>
          </w:tblCellMar>
        </w:tblPrEx>
        <w:tc>
          <w:tcPr>
            <w:tcW w:w="9056"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9056"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424"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2024年麦盖提县农业生产发展“粮改饲”项目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麦盖提县农业农村局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22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麦盖提县农业农村局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620.00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620.00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计划投资为620万元，主要用于全株青贮玉米等优质牧草种植面积4.22万亩，收储及加工青贮玉米等优质青贮饲料12.65万吨，每吨补助49元，涉及养殖企业（合作社）31家。项目的实施持续推进我县农业结构调整，推进我县畜牧业供给侧结构性改革，促进种植业结构调整和畜牧业节本提质增效。</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截至</w:t>
            </w:r>
            <w:r>
              <w:rPr>
                <w:rFonts w:ascii="宋体" w:hAnsi="宋体" w:eastAsia="宋体"/>
                <w:sz w:val="16"/>
              </w:rPr>
              <w:t>自评日，本项目全年实际完成支出为620万元，完成了全株青贮玉米等优质牧草种植面积4.22万亩，收储及加工青贮玉米等优质青贮饲料12.65万吨，每吨补助49元，涉及养殖企业（合作社）31家。项目的实施持续推进了我县农业结构调整，推进了我县畜牧业供给侧结构性改革，促进了种植业结构调整和畜牧业节本提质增效。</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全株青贮玉米等优质牧草种植面积</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&gt;=4.22万亩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6.01万亩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=4.22万亩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收储及加工青贮玉米等优质青贮饲料数量</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&gt;=12.65万吨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18.04万吨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=12.65万吨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涉及养殖企业（合作社）数量</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&gt;=31家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=31家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项目验收合格率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2023年10月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=2024年11月28日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每吨补助成本</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=49元/吨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49元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=49元/吨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促进种植业结构调整和畜牧业节本提质增效</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受益养殖企业（合作社）满意度</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322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r>
    </w:tbl>
    <w:p>
      <w:r>
        <w:br w:type="page"/>
      </w:r>
    </w:p>
    <w:tbl>
      <w:tblPr>
        <w:tblStyle w:val="10"/>
        <w:tblW w:w="9060" w:type="dxa"/>
        <w:tblInd w:w="0" w:type="dxa"/>
        <w:tblLayout w:type="fixed"/>
        <w:tblCellMar>
          <w:top w:w="0" w:type="dxa"/>
          <w:left w:w="108" w:type="dxa"/>
          <w:bottom w:w="0" w:type="dxa"/>
          <w:right w:w="108" w:type="dxa"/>
        </w:tblCellMar>
      </w:tblPr>
      <w:tblGrid>
        <w:gridCol w:w="612"/>
        <w:gridCol w:w="580"/>
        <w:gridCol w:w="581"/>
        <w:gridCol w:w="581"/>
        <w:gridCol w:w="936"/>
        <w:gridCol w:w="581"/>
        <w:gridCol w:w="776"/>
        <w:gridCol w:w="594"/>
        <w:gridCol w:w="588"/>
        <w:gridCol w:w="597"/>
        <w:gridCol w:w="856"/>
        <w:gridCol w:w="627"/>
        <w:gridCol w:w="522"/>
        <w:gridCol w:w="629"/>
      </w:tblGrid>
      <w:tr>
        <w:tblPrEx>
          <w:tblLayout w:type="fixed"/>
          <w:tblCellMar>
            <w:top w:w="0" w:type="dxa"/>
            <w:left w:w="108" w:type="dxa"/>
            <w:bottom w:w="0" w:type="dxa"/>
            <w:right w:w="108" w:type="dxa"/>
          </w:tblCellMar>
        </w:tblPrEx>
        <w:tc>
          <w:tcPr>
            <w:tcW w:w="9060"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9060"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448"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2024年麦盖提县农机购置补贴项目</w:t>
            </w:r>
          </w:p>
        </w:tc>
      </w:tr>
      <w:tr>
        <w:tblPrEx>
          <w:tblLayout w:type="fixed"/>
          <w:tblCellMar>
            <w:top w:w="0" w:type="dxa"/>
            <w:left w:w="108" w:type="dxa"/>
            <w:bottom w:w="0" w:type="dxa"/>
            <w:right w:w="108" w:type="dxa"/>
          </w:tblCellMar>
        </w:tblPrEx>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629"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麦盖提县农业农村局</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231"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麦盖提县农业农村局</w:t>
            </w:r>
          </w:p>
        </w:tc>
      </w:tr>
      <w:tr>
        <w:tblPrEx>
          <w:tblLayout w:type="fixed"/>
          <w:tblCellMar>
            <w:top w:w="0" w:type="dxa"/>
            <w:left w:w="108" w:type="dxa"/>
            <w:bottom w:w="0" w:type="dxa"/>
            <w:right w:w="108" w:type="dxa"/>
          </w:tblCellMar>
        </w:tblPrEx>
        <w:tc>
          <w:tcPr>
            <w:tcW w:w="61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1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51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35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18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45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14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1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51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1,093.00</w:t>
            </w:r>
          </w:p>
        </w:tc>
        <w:tc>
          <w:tcPr>
            <w:tcW w:w="135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1,469.00</w:t>
            </w:r>
          </w:p>
        </w:tc>
        <w:tc>
          <w:tcPr>
            <w:tcW w:w="118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1,469.00</w:t>
            </w:r>
          </w:p>
        </w:tc>
        <w:tc>
          <w:tcPr>
            <w:tcW w:w="145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4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Layout w:type="fixed"/>
          <w:tblCellMar>
            <w:top w:w="0" w:type="dxa"/>
            <w:left w:w="108" w:type="dxa"/>
            <w:bottom w:w="0" w:type="dxa"/>
            <w:right w:w="108" w:type="dxa"/>
          </w:tblCellMar>
        </w:tblPrEx>
        <w:tc>
          <w:tcPr>
            <w:tcW w:w="61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51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1,093.00</w:t>
            </w:r>
          </w:p>
        </w:tc>
        <w:tc>
          <w:tcPr>
            <w:tcW w:w="135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1,469.00</w:t>
            </w:r>
          </w:p>
        </w:tc>
        <w:tc>
          <w:tcPr>
            <w:tcW w:w="118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1,469.00</w:t>
            </w:r>
          </w:p>
        </w:tc>
        <w:tc>
          <w:tcPr>
            <w:tcW w:w="145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4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1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51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35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8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45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4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1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629"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819"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1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629"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2024年计划总投资为1469万元，主要用于一是通过购买农机设备的方式进行购置补贴，购置补贴农机609台，涉及补助农户427户；二是农业机械报废更新补贴机械54台，涉及补助农户30户，项目的实施提高农业综合生产能力，农机购置补贴政策促进农业机械在农业生产中的广泛应用，提高土地和劳动生产率，实现农业的节本增效。拉动农村需求，促进农机工业的发展。</w:t>
            </w:r>
          </w:p>
        </w:tc>
        <w:tc>
          <w:tcPr>
            <w:tcW w:w="3819"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截至2024年12月31日，实际支付1469万元，支付农机购置补贴1448.03万元（609台），报废补贴20.97万元（54台），项目的实施减轻农户经济负担，为农户进行农业生产提供了便利条件，提高农业生产能力和土地利用率，促进农业生产发展。</w:t>
            </w:r>
          </w:p>
        </w:tc>
      </w:tr>
      <w:tr>
        <w:tblPrEx>
          <w:tblLayout w:type="fixed"/>
          <w:tblCellMar>
            <w:top w:w="0" w:type="dxa"/>
            <w:left w:w="108" w:type="dxa"/>
            <w:bottom w:w="0" w:type="dxa"/>
            <w:right w:w="108" w:type="dxa"/>
          </w:tblCellMar>
        </w:tblPrEx>
        <w:tc>
          <w:tcPr>
            <w:tcW w:w="612" w:type="dxa"/>
            <w:tcBorders>
              <w:top w:val="single" w:color="auto" w:sz="10" w:space="0"/>
              <w:left w:val="single" w:color="auto" w:sz="10" w:space="0"/>
              <w:bottom w:val="single" w:color="auto" w:sz="10" w:space="0"/>
              <w:right w:val="single" w:color="auto" w:sz="10" w:space="0"/>
              <w:insideV w:val="single" w:sz="10" w:space="0"/>
            </w:tcBorders>
          </w:tcPr>
          <w:p/>
        </w:tc>
        <w:tc>
          <w:tcPr>
            <w:tcW w:w="58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59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15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1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58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58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农机购置补贴机具数量</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&gt;=609台</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1477台</w:t>
            </w:r>
          </w:p>
        </w:tc>
        <w:tc>
          <w:tcPr>
            <w:tcW w:w="59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=609台</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15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1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8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8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报废更新补贴机械数量</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&gt;=54台</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w:t>
            </w:r>
          </w:p>
        </w:tc>
        <w:tc>
          <w:tcPr>
            <w:tcW w:w="59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=54台</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15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1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8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机具验收合格率</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59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5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1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8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8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农机购置补贴资金兑付及时率</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59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5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1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8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8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项目结束时间</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=2024年12月20日前</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59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2024年10月23日</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5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1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8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58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兑付农机购置补贴成本</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&lt;=1448.03万元</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2723.67万元</w:t>
            </w:r>
          </w:p>
        </w:tc>
        <w:tc>
          <w:tcPr>
            <w:tcW w:w="59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=1448.03万元</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5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1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8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8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农业机械报废更新补贴成本</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&lt;=20.97万元</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6.33</w:t>
            </w:r>
          </w:p>
        </w:tc>
        <w:tc>
          <w:tcPr>
            <w:tcW w:w="59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=20.97万元</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5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1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8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58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提高农业综合生产能力</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w:t>
            </w:r>
          </w:p>
        </w:tc>
        <w:tc>
          <w:tcPr>
            <w:tcW w:w="59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5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1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8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8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受益户数</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&gt;=457户</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59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=457户</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5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1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8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补贴农户满意度</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59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5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4629"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3231"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r>
    </w:tbl>
    <w:p>
      <w:r>
        <w:br w:type="page"/>
      </w:r>
    </w:p>
    <w:tbl>
      <w:tblPr>
        <w:tblStyle w:val="10"/>
        <w:tblW w:w="9060" w:type="dxa"/>
        <w:tblInd w:w="0" w:type="dxa"/>
        <w:tblLayout w:type="fixed"/>
        <w:tblCellMar>
          <w:top w:w="0" w:type="dxa"/>
          <w:left w:w="108" w:type="dxa"/>
          <w:bottom w:w="0" w:type="dxa"/>
          <w:right w:w="108" w:type="dxa"/>
        </w:tblCellMar>
      </w:tblPr>
      <w:tblGrid>
        <w:gridCol w:w="622"/>
        <w:gridCol w:w="606"/>
        <w:gridCol w:w="607"/>
        <w:gridCol w:w="623"/>
        <w:gridCol w:w="856"/>
        <w:gridCol w:w="607"/>
        <w:gridCol w:w="696"/>
        <w:gridCol w:w="607"/>
        <w:gridCol w:w="607"/>
        <w:gridCol w:w="615"/>
        <w:gridCol w:w="776"/>
        <w:gridCol w:w="630"/>
        <w:gridCol w:w="578"/>
        <w:gridCol w:w="630"/>
      </w:tblGrid>
      <w:tr>
        <w:tblPrEx>
          <w:tblLayout w:type="fixed"/>
          <w:tblCellMar>
            <w:top w:w="0" w:type="dxa"/>
            <w:left w:w="108" w:type="dxa"/>
            <w:bottom w:w="0" w:type="dxa"/>
            <w:right w:w="108" w:type="dxa"/>
          </w:tblCellMar>
        </w:tblPrEx>
        <w:tc>
          <w:tcPr>
            <w:tcW w:w="9060"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9060"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438"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2024年麦盖提县动物防疫补助项目</w:t>
            </w:r>
          </w:p>
        </w:tc>
      </w:tr>
      <w:tr>
        <w:tblPrEx>
          <w:tblLayout w:type="fixed"/>
          <w:tblCellMar>
            <w:top w:w="0" w:type="dxa"/>
            <w:left w:w="108" w:type="dxa"/>
            <w:bottom w:w="0" w:type="dxa"/>
            <w:right w:w="108" w:type="dxa"/>
          </w:tblCellMar>
        </w:tblPrEx>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60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麦盖提县农业农村局</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229"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麦盖提县农业农村局</w:t>
            </w:r>
          </w:p>
        </w:tc>
      </w:tr>
      <w:tr>
        <w:tblPrEx>
          <w:tblLayout w:type="fixed"/>
          <w:tblCellMar>
            <w:top w:w="0" w:type="dxa"/>
            <w:left w:w="108" w:type="dxa"/>
            <w:bottom w:w="0" w:type="dxa"/>
            <w:right w:w="108" w:type="dxa"/>
          </w:tblCellMar>
        </w:tblPrEx>
        <w:tc>
          <w:tcPr>
            <w:tcW w:w="62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1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47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30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1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39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2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1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47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133.76</w:t>
            </w:r>
          </w:p>
        </w:tc>
        <w:tc>
          <w:tcPr>
            <w:tcW w:w="130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216.63</w:t>
            </w:r>
          </w:p>
        </w:tc>
        <w:tc>
          <w:tcPr>
            <w:tcW w:w="121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216.63</w:t>
            </w:r>
          </w:p>
        </w:tc>
        <w:tc>
          <w:tcPr>
            <w:tcW w:w="139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Layout w:type="fixed"/>
          <w:tblCellMar>
            <w:top w:w="0" w:type="dxa"/>
            <w:left w:w="108" w:type="dxa"/>
            <w:bottom w:w="0" w:type="dxa"/>
            <w:right w:w="108" w:type="dxa"/>
          </w:tblCellMar>
        </w:tblPrEx>
        <w:tc>
          <w:tcPr>
            <w:tcW w:w="62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1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47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133.76</w:t>
            </w:r>
          </w:p>
        </w:tc>
        <w:tc>
          <w:tcPr>
            <w:tcW w:w="130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216.63</w:t>
            </w:r>
          </w:p>
        </w:tc>
        <w:tc>
          <w:tcPr>
            <w:tcW w:w="121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216.63</w:t>
            </w:r>
          </w:p>
        </w:tc>
        <w:tc>
          <w:tcPr>
            <w:tcW w:w="139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2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1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47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30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1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39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2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60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83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2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60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根据《关于提前下达2024年自治区动物防疫补助等经费预算的通知》（麦财农</w:t>
            </w:r>
            <w:r>
              <w:rPr>
                <w:rFonts w:hint="eastAsia" w:ascii="宋体" w:hAnsi="宋体"/>
                <w:sz w:val="16"/>
                <w:lang w:eastAsia="zh-CN"/>
              </w:rPr>
              <w:t>〔2023〕53号</w:t>
            </w:r>
            <w:r>
              <w:rPr>
                <w:rFonts w:ascii="宋体" w:hAnsi="宋体" w:eastAsia="宋体"/>
                <w:sz w:val="16"/>
              </w:rPr>
              <w:t>文件下达自治区资金70.84万元、《关于提前下达2024年中央农业防灾减灾和水利救灾（动物防疫补助）预算的通知》（麦财农</w:t>
            </w:r>
            <w:r>
              <w:rPr>
                <w:rFonts w:hint="eastAsia" w:ascii="宋体" w:hAnsi="宋体"/>
                <w:sz w:val="16"/>
                <w:lang w:eastAsia="zh-CN"/>
              </w:rPr>
              <w:t>〔2023〕47号</w:t>
            </w:r>
            <w:r>
              <w:rPr>
                <w:rFonts w:ascii="宋体" w:hAnsi="宋体" w:eastAsia="宋体"/>
                <w:sz w:val="16"/>
              </w:rPr>
              <w:t>文件下达中央资金62.92万元，喀地财预</w:t>
            </w:r>
            <w:r>
              <w:rPr>
                <w:rFonts w:hint="eastAsia" w:ascii="宋体" w:hAnsi="宋体"/>
                <w:sz w:val="16"/>
                <w:lang w:eastAsia="zh-CN"/>
              </w:rPr>
              <w:t>〔2024〕4号</w:t>
            </w:r>
            <w:r>
              <w:rPr>
                <w:rFonts w:ascii="宋体" w:hAnsi="宋体" w:eastAsia="宋体"/>
                <w:sz w:val="16"/>
              </w:rPr>
              <w:t>下达自治区资金82.87万元。本项目总投资为216.63万元，主要用于一是对我县142名村级防疫员发放工资补助及买人畜共患病保险；二是对2023年全县238头无害化处理生猪进行补助；三是对全县2家养殖企业（合作社）采购的强制免疫疫苗进行补助。通过该项目的实施可提高农牧民群众的生活水平，保障人民身体健康和繁荣经济、维护社会稳定具有重要的积极作用，动物疫病得到有效控制，不发生大规模随意抛弃病死动物造成环境污染情况。</w:t>
            </w:r>
          </w:p>
        </w:tc>
        <w:tc>
          <w:tcPr>
            <w:tcW w:w="383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截至</w:t>
            </w:r>
            <w:r>
              <w:rPr>
                <w:rFonts w:ascii="宋体" w:hAnsi="宋体" w:eastAsia="宋体"/>
                <w:sz w:val="16"/>
              </w:rPr>
              <w:t>自评日，本项目已支出金额为216.63万元，完成了一是对我县142名村级防疫员发放工资补助及买人畜共患病保险；二是对2023年全县238头无害化处理生猪进行补助；三是对全县2家养殖企业（合作社）采购的强制免疫疫苗进行补助。通过该项目的实施对提高农牧民群众的生活水平，保障人民身体健康和繁荣经济、维护社会稳定具有重要的积极作用，动物疫病得到有效控制，不发生大规模随意抛弃病死动物造成环境污染情况。</w:t>
            </w:r>
          </w:p>
        </w:tc>
      </w:tr>
      <w:tr>
        <w:tblPrEx>
          <w:tblLayout w:type="fixed"/>
          <w:tblCellMar>
            <w:top w:w="0" w:type="dxa"/>
            <w:left w:w="108" w:type="dxa"/>
            <w:bottom w:w="0" w:type="dxa"/>
            <w:right w:w="108" w:type="dxa"/>
          </w:tblCellMar>
        </w:tblPrEx>
        <w:tc>
          <w:tcPr>
            <w:tcW w:w="622" w:type="dxa"/>
            <w:tcBorders>
              <w:top w:val="single" w:color="auto" w:sz="10" w:space="0"/>
              <w:left w:val="single" w:color="auto" w:sz="10" w:space="0"/>
              <w:bottom w:val="single" w:color="auto" w:sz="10" w:space="0"/>
              <w:right w:val="single" w:color="auto" w:sz="10" w:space="0"/>
              <w:insideV w:val="single" w:sz="10" w:space="0"/>
            </w:tcBorders>
          </w:tcPr>
          <w:p/>
        </w:tc>
        <w:tc>
          <w:tcPr>
            <w:tcW w:w="60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2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0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0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村级防疫员人数</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&gt;=142人</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136人</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=142人</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养殖环节病死猪无害化处理补助头数</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&gt;=238头</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498头</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=238头</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强制免疫疫苗补助养殖企业（合作社）数量</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&gt;=2家</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=2家</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人畜共患病保险、人身意外伤害保险基层动物防疫人员覆盖率</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依法对重大动物</w:t>
            </w:r>
            <w:r>
              <w:rPr>
                <w:rFonts w:hint="eastAsia" w:ascii="宋体" w:hAnsi="宋体"/>
                <w:sz w:val="16"/>
                <w:lang w:eastAsia="zh-CN"/>
              </w:rPr>
              <w:t>YQ</w:t>
            </w:r>
            <w:r>
              <w:rPr>
                <w:rFonts w:ascii="宋体" w:hAnsi="宋体" w:eastAsia="宋体"/>
                <w:sz w:val="16"/>
              </w:rPr>
              <w:t>处置率</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=2024年12月15日</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2023年12月</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=2024年12月13日</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0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村级防疫员补助成本</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&lt;=205.42万元</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122.55万元</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=205.42万元</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发放补助企业成本</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&lt;=6.34万元</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=6.34万元</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购买人畜共患病保险费用</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&lt;=3.87万元</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4.25万元</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=3.87万元</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养殖环节病死猪无害化处理补助成本</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&lt;=1万元</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2.23万元</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=1万元</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提高畜牧防疫水平</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0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村级防疫员满意度</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受益企业满意度</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460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3229"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95分</w:t>
            </w:r>
          </w:p>
        </w:tc>
      </w:tr>
    </w:tbl>
    <w:p>
      <w:r>
        <w:br w:type="page"/>
      </w:r>
    </w:p>
    <w:tbl>
      <w:tblPr>
        <w:tblStyle w:val="10"/>
        <w:tblW w:w="9056" w:type="dxa"/>
        <w:tblInd w:w="0" w:type="dxa"/>
        <w:tblLayout w:type="fixed"/>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tblPrEx>
          <w:tblLayout w:type="fixed"/>
          <w:tblCellMar>
            <w:top w:w="0" w:type="dxa"/>
            <w:left w:w="108" w:type="dxa"/>
            <w:bottom w:w="0" w:type="dxa"/>
            <w:right w:w="108" w:type="dxa"/>
          </w:tblCellMar>
        </w:tblPrEx>
        <w:tc>
          <w:tcPr>
            <w:tcW w:w="9056"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9056"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424"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2024年麦盖提县国家级畜禽遗传资源保护项目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麦盖提县农业农村局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22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麦盖提县农业农村局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本项目总投资为40万元，主要用于补助种公羊2只，补助饲草料92.14吨，保种场设施提升改造等。项目的实施维护畜禽遗传多样性、提高畜禽品种质量和适应性。</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截至</w:t>
            </w:r>
            <w:r>
              <w:rPr>
                <w:rFonts w:ascii="宋体" w:hAnsi="宋体" w:eastAsia="宋体"/>
                <w:sz w:val="16"/>
              </w:rPr>
              <w:t>自评日，本项目全年实际完成支出为40万元，用于补助种公羊2只，补助饲草料92.13吨，保种场设施提升改造等。项目的实施维护了畜禽遗传多样性、提高了畜禽品种质量和适应性。</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补助涉及种公羊数量</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补助涉及饲草料数量</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&gt;=92.14吨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=92.14吨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项目验收合格率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2023年11月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=2024年10月25日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补助种公羊成本</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补助饲草料成本</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14.40万元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保种场实施提升改造费用</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提高畜禽品种质量和适应性</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受益牧民满意度</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322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r>
    </w:tbl>
    <w:p>
      <w:r>
        <w:br w:type="page"/>
      </w:r>
    </w:p>
    <w:tbl>
      <w:tblPr>
        <w:tblStyle w:val="10"/>
        <w:tblW w:w="9060" w:type="dxa"/>
        <w:tblInd w:w="0" w:type="dxa"/>
        <w:tblLayout w:type="fixed"/>
        <w:tblCellMar>
          <w:top w:w="0" w:type="dxa"/>
          <w:left w:w="108" w:type="dxa"/>
          <w:bottom w:w="0" w:type="dxa"/>
          <w:right w:w="108" w:type="dxa"/>
        </w:tblCellMar>
      </w:tblPr>
      <w:tblGrid>
        <w:gridCol w:w="622"/>
        <w:gridCol w:w="608"/>
        <w:gridCol w:w="608"/>
        <w:gridCol w:w="623"/>
        <w:gridCol w:w="856"/>
        <w:gridCol w:w="608"/>
        <w:gridCol w:w="608"/>
        <w:gridCol w:w="608"/>
        <w:gridCol w:w="608"/>
        <w:gridCol w:w="615"/>
        <w:gridCol w:w="856"/>
        <w:gridCol w:w="630"/>
        <w:gridCol w:w="580"/>
        <w:gridCol w:w="630"/>
      </w:tblGrid>
      <w:tr>
        <w:tblPrEx>
          <w:tblLayout w:type="fixed"/>
          <w:tblCellMar>
            <w:top w:w="0" w:type="dxa"/>
            <w:left w:w="108" w:type="dxa"/>
            <w:bottom w:w="0" w:type="dxa"/>
            <w:right w:w="108" w:type="dxa"/>
          </w:tblCellMar>
        </w:tblPrEx>
        <w:tc>
          <w:tcPr>
            <w:tcW w:w="9060"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9060"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438"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2024年麦盖提县小麦“一喷三防”项目</w:t>
            </w:r>
          </w:p>
        </w:tc>
      </w:tr>
      <w:tr>
        <w:tblPrEx>
          <w:tblLayout w:type="fixed"/>
          <w:tblCellMar>
            <w:top w:w="0" w:type="dxa"/>
            <w:left w:w="108" w:type="dxa"/>
            <w:bottom w:w="0" w:type="dxa"/>
            <w:right w:w="108" w:type="dxa"/>
          </w:tblCellMar>
        </w:tblPrEx>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519"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麦盖提县农业农村局</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311"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麦盖提县农业农村局</w:t>
            </w:r>
          </w:p>
        </w:tc>
      </w:tr>
      <w:tr>
        <w:tblPrEx>
          <w:tblLayout w:type="fixed"/>
          <w:tblCellMar>
            <w:top w:w="0" w:type="dxa"/>
            <w:left w:w="108" w:type="dxa"/>
            <w:bottom w:w="0" w:type="dxa"/>
            <w:right w:w="108" w:type="dxa"/>
          </w:tblCellMar>
        </w:tblPrEx>
        <w:tc>
          <w:tcPr>
            <w:tcW w:w="62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1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47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1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1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47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1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2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1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47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120.67</w:t>
            </w:r>
          </w:p>
        </w:tc>
        <w:tc>
          <w:tcPr>
            <w:tcW w:w="121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120.67</w:t>
            </w:r>
          </w:p>
        </w:tc>
        <w:tc>
          <w:tcPr>
            <w:tcW w:w="121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120.67</w:t>
            </w:r>
          </w:p>
        </w:tc>
        <w:tc>
          <w:tcPr>
            <w:tcW w:w="147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1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Layout w:type="fixed"/>
          <w:tblCellMar>
            <w:top w:w="0" w:type="dxa"/>
            <w:left w:w="108" w:type="dxa"/>
            <w:bottom w:w="0" w:type="dxa"/>
            <w:right w:w="108" w:type="dxa"/>
          </w:tblCellMar>
        </w:tblPrEx>
        <w:tc>
          <w:tcPr>
            <w:tcW w:w="62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1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47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120.67</w:t>
            </w:r>
          </w:p>
        </w:tc>
        <w:tc>
          <w:tcPr>
            <w:tcW w:w="121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120.67</w:t>
            </w:r>
          </w:p>
        </w:tc>
        <w:tc>
          <w:tcPr>
            <w:tcW w:w="121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120.67</w:t>
            </w:r>
          </w:p>
        </w:tc>
        <w:tc>
          <w:tcPr>
            <w:tcW w:w="147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1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2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1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47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1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1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47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1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2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519"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919"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2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519"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本项目计划总投资为120.67万元，主要用于对24万亩冬小麦实施“一喷三防”项目的实施有效预防控制病虫情发生，保障粮食安全、农产品质量安全、生态环境安全。</w:t>
            </w:r>
          </w:p>
        </w:tc>
        <w:tc>
          <w:tcPr>
            <w:tcW w:w="3919"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截至</w:t>
            </w:r>
            <w:r>
              <w:rPr>
                <w:rFonts w:ascii="宋体" w:hAnsi="宋体" w:eastAsia="宋体"/>
                <w:sz w:val="16"/>
              </w:rPr>
              <w:t>监控节点，项目已支出120.67万元，已完成对24万亩冬小麦实施“一喷三防”项目的实施有效预防控制病虫情发生，保障粮食安全、农产品质量安全、生态环境安全。</w:t>
            </w:r>
          </w:p>
        </w:tc>
      </w:tr>
      <w:tr>
        <w:tblPrEx>
          <w:tblLayout w:type="fixed"/>
          <w:tblCellMar>
            <w:top w:w="0" w:type="dxa"/>
            <w:left w:w="108" w:type="dxa"/>
            <w:bottom w:w="0" w:type="dxa"/>
            <w:right w:w="108" w:type="dxa"/>
          </w:tblCellMar>
        </w:tblPrEx>
        <w:tc>
          <w:tcPr>
            <w:tcW w:w="622" w:type="dxa"/>
            <w:tcBorders>
              <w:top w:val="single" w:color="auto" w:sz="10" w:space="0"/>
              <w:left w:val="single" w:color="auto" w:sz="10" w:space="0"/>
              <w:bottom w:val="single" w:color="auto" w:sz="10" w:space="0"/>
              <w:right w:val="single" w:color="auto" w:sz="10" w:space="0"/>
              <w:insideV w:val="single" w:sz="10" w:space="0"/>
            </w:tcBorders>
          </w:tcP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1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2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0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冬小麦“一喷三防”面积</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&gt;=24万亩</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=24万亩</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1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8"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1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8"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8"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项目实施合格率</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1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8"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资金使用及时率</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1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8"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8"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项目结束时间</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=2024年5月31日前</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2024年9月24日</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1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“一喷三防”补助标准</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=5.02792元/亩</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=5.02792元/亩</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1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保障粮食安全、农产品质量安全、生态环境安全</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w:t>
            </w:r>
            <w:r>
              <w:rPr>
                <w:rFonts w:ascii="宋体" w:hAnsi="宋体" w:eastAsia="宋体"/>
                <w:sz w:val="16"/>
              </w:rPr>
              <w:tab/>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1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受益农民满意度</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1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4519"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3311"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r>
    </w:tbl>
    <w:p>
      <w:r>
        <w:br w:type="page"/>
      </w:r>
    </w:p>
    <w:tbl>
      <w:tblPr>
        <w:tblStyle w:val="10"/>
        <w:tblW w:w="9056" w:type="dxa"/>
        <w:tblInd w:w="0" w:type="dxa"/>
        <w:tblLayout w:type="fixed"/>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tblPrEx>
          <w:tblLayout w:type="fixed"/>
          <w:tblCellMar>
            <w:top w:w="0" w:type="dxa"/>
            <w:left w:w="108" w:type="dxa"/>
            <w:bottom w:w="0" w:type="dxa"/>
            <w:right w:w="108" w:type="dxa"/>
          </w:tblCellMar>
        </w:tblPrEx>
        <w:tc>
          <w:tcPr>
            <w:tcW w:w="9056"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9056"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424"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2024年麦盖提县牧区畜牧良种补助项目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麦盖提县农业农村局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22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麦盖提县农业农村局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计划总投资为25万元，主要用于购买冻精15000剂，补助采购种公羊100只，每只补助1000元。项目的实施有效地增加我县优良畜种的保有量，引导和辐射带动农牧民群众积极发展良种畜，强力推动我县牲畜品种改良进程，每年向社会提供优质牛羊肉，增加市场肉食品供应，可促进农村产业化发展，增加农民收入。</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截至</w:t>
            </w:r>
            <w:r>
              <w:rPr>
                <w:rFonts w:ascii="宋体" w:hAnsi="宋体" w:eastAsia="宋体"/>
                <w:sz w:val="16"/>
              </w:rPr>
              <w:t>自评日，本项目实际支付金额为25万元，已完成购买冻精15000剂，已补助采购种公羊100只，每只补助1000元。项目的实施有效地增加了我县优良畜种的保有量，引导和辐射带动了农牧民群众积极发展良种畜，强力推动了我县牲畜品种改良进程，每年向社会提供优质牛羊肉，增加市场肉食品供应，可促进农村产业化发展，增加农民收入。</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购买冻精数量</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&gt;=15000剂</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77756剂</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=15000剂</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补助采购种公羊数量</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&gt;=100只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项目验收合格率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=2024年9月30日前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2023年12月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=2024年9月26日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购买冻精成本</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76.20万元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采购种公羊补助成本</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增加我县优良畜种的保有量</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增加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增加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增加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受益养殖户满意度</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322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r>
    </w:tbl>
    <w:p>
      <w:r>
        <w:br w:type="page"/>
      </w:r>
    </w:p>
    <w:tbl>
      <w:tblPr>
        <w:tblStyle w:val="10"/>
        <w:tblW w:w="9060" w:type="dxa"/>
        <w:tblInd w:w="0" w:type="dxa"/>
        <w:tblLayout w:type="fixed"/>
        <w:tblCellMar>
          <w:top w:w="0" w:type="dxa"/>
          <w:left w:w="108" w:type="dxa"/>
          <w:bottom w:w="0" w:type="dxa"/>
          <w:right w:w="108" w:type="dxa"/>
        </w:tblCellMar>
      </w:tblPr>
      <w:tblGrid>
        <w:gridCol w:w="620"/>
        <w:gridCol w:w="600"/>
        <w:gridCol w:w="600"/>
        <w:gridCol w:w="600"/>
        <w:gridCol w:w="936"/>
        <w:gridCol w:w="600"/>
        <w:gridCol w:w="620"/>
        <w:gridCol w:w="608"/>
        <w:gridCol w:w="605"/>
        <w:gridCol w:w="610"/>
        <w:gridCol w:w="856"/>
        <w:gridCol w:w="628"/>
        <w:gridCol w:w="556"/>
        <w:gridCol w:w="621"/>
      </w:tblGrid>
      <w:tr>
        <w:tblPrEx>
          <w:tblLayout w:type="fixed"/>
          <w:tblCellMar>
            <w:top w:w="0" w:type="dxa"/>
            <w:left w:w="108" w:type="dxa"/>
            <w:bottom w:w="0" w:type="dxa"/>
            <w:right w:w="108" w:type="dxa"/>
          </w:tblCellMar>
        </w:tblPrEx>
        <w:tc>
          <w:tcPr>
            <w:tcW w:w="9060"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9060"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440"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2024年麦盖提县耕地地力保护补贴项目</w:t>
            </w:r>
          </w:p>
        </w:tc>
      </w:tr>
      <w:tr>
        <w:tblPrEx>
          <w:tblLayout w:type="fixed"/>
          <w:tblCellMar>
            <w:top w:w="0" w:type="dxa"/>
            <w:left w:w="108" w:type="dxa"/>
            <w:bottom w:w="0" w:type="dxa"/>
            <w:right w:w="108" w:type="dxa"/>
          </w:tblCellMar>
        </w:tblPrEx>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56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麦盖提县农业农村局</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271"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麦盖提县农业农村局</w:t>
            </w:r>
          </w:p>
        </w:tc>
      </w:tr>
      <w:tr>
        <w:tblPrEx>
          <w:tblLayout w:type="fixed"/>
          <w:tblCellMar>
            <w:top w:w="0" w:type="dxa"/>
            <w:left w:w="108" w:type="dxa"/>
            <w:bottom w:w="0" w:type="dxa"/>
            <w:right w:w="108" w:type="dxa"/>
          </w:tblCellMar>
        </w:tblPrEx>
        <w:tc>
          <w:tcPr>
            <w:tcW w:w="62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0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53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2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1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4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18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2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0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53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5,455.56</w:t>
            </w:r>
          </w:p>
        </w:tc>
        <w:tc>
          <w:tcPr>
            <w:tcW w:w="122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5,455.56</w:t>
            </w:r>
          </w:p>
        </w:tc>
        <w:tc>
          <w:tcPr>
            <w:tcW w:w="121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5,439.63</w:t>
            </w:r>
          </w:p>
        </w:tc>
        <w:tc>
          <w:tcPr>
            <w:tcW w:w="14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8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99.7%</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w:t>
            </w:r>
            <w:r>
              <w:rPr>
                <w:rFonts w:hint="eastAsia" w:ascii="宋体" w:hAnsi="宋体"/>
                <w:sz w:val="16"/>
                <w:lang w:val="en-US" w:eastAsia="zh-CN"/>
              </w:rPr>
              <w:t>7</w:t>
            </w:r>
            <w:r>
              <w:rPr>
                <w:rFonts w:ascii="宋体" w:hAnsi="宋体" w:eastAsia="宋体"/>
                <w:sz w:val="16"/>
              </w:rPr>
              <w:t>分</w:t>
            </w:r>
          </w:p>
        </w:tc>
      </w:tr>
      <w:tr>
        <w:tblPrEx>
          <w:tblLayout w:type="fixed"/>
          <w:tblCellMar>
            <w:top w:w="0" w:type="dxa"/>
            <w:left w:w="108" w:type="dxa"/>
            <w:bottom w:w="0" w:type="dxa"/>
            <w:right w:w="108" w:type="dxa"/>
          </w:tblCellMar>
        </w:tblPrEx>
        <w:tc>
          <w:tcPr>
            <w:tcW w:w="62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0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53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5,455.56</w:t>
            </w:r>
          </w:p>
        </w:tc>
        <w:tc>
          <w:tcPr>
            <w:tcW w:w="122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5,455.56</w:t>
            </w:r>
          </w:p>
        </w:tc>
        <w:tc>
          <w:tcPr>
            <w:tcW w:w="121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5,439.63</w:t>
            </w:r>
          </w:p>
        </w:tc>
        <w:tc>
          <w:tcPr>
            <w:tcW w:w="14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8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2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0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53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2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1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4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8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2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56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87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2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56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根据《关于提前拨付2024年中央耕地建设与利用资金预算的通知》（麦财农</w:t>
            </w:r>
            <w:r>
              <w:rPr>
                <w:rFonts w:hint="eastAsia" w:ascii="宋体" w:hAnsi="宋体"/>
                <w:sz w:val="16"/>
                <w:lang w:eastAsia="zh-CN"/>
              </w:rPr>
              <w:t>〔2023〕43号</w:t>
            </w:r>
            <w:r>
              <w:rPr>
                <w:rFonts w:ascii="宋体" w:hAnsi="宋体" w:eastAsia="宋体"/>
                <w:sz w:val="16"/>
              </w:rPr>
              <w:t>）下达中央直达资金5022万元，《关于提前拨付2024年自治区农业生产发展资金（耕地地力保护补贴）预算的通知》（麦财农</w:t>
            </w:r>
            <w:r>
              <w:rPr>
                <w:rFonts w:hint="eastAsia" w:ascii="宋体" w:hAnsi="宋体"/>
                <w:sz w:val="16"/>
                <w:lang w:eastAsia="zh-CN"/>
              </w:rPr>
              <w:t>〔2023〕51号</w:t>
            </w:r>
            <w:r>
              <w:rPr>
                <w:rFonts w:ascii="宋体" w:hAnsi="宋体" w:eastAsia="宋体"/>
                <w:sz w:val="16"/>
              </w:rPr>
              <w:t>）下达自治区直达资金335.16万元，上年结转82.47万元。本项目总投资5439.63万元。主要用于对种植小麦、玉米、苜蓿等作物的32.3万亩耕地进行补贴，涉及20115户，项目的实施提高农作物秸秆综合利用水平，引导农民综合采取秸秆还田、深松整地、减少化肥农药用量、施用有机肥等措施，不露天焚烧秸秆，开展测土配方施肥，主动保护耕地地力，提高农业生态资源保护意识，促进耕地质量提升，实现“藏粮于地”。</w:t>
            </w:r>
          </w:p>
        </w:tc>
        <w:tc>
          <w:tcPr>
            <w:tcW w:w="387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截至绩效自评日，项目实际支出5439.63万元，发放20155户农户共计32.75万亩地力保护补贴，补贴资金直接发放给农民，引导他们减少农药和化肥的使用量，发展节水农业等，进而改善土壤结构，提升耕地的整体质量。此外，该政策还鼓励农民采取秸秆还田、深松整地、施用有机肥等措施，促进农业绿色技术的推广和应用，推动农业的可持续发展。</w:t>
            </w:r>
          </w:p>
        </w:tc>
      </w:tr>
      <w:tr>
        <w:tblPrEx>
          <w:tblLayout w:type="fixed"/>
          <w:tblCellMar>
            <w:top w:w="0" w:type="dxa"/>
            <w:left w:w="108" w:type="dxa"/>
            <w:bottom w:w="0" w:type="dxa"/>
            <w:right w:w="108" w:type="dxa"/>
          </w:tblCellMar>
        </w:tblPrEx>
        <w:tc>
          <w:tcPr>
            <w:tcW w:w="620" w:type="dxa"/>
            <w:tcBorders>
              <w:top w:val="single" w:color="auto" w:sz="10" w:space="0"/>
              <w:left w:val="single" w:color="auto" w:sz="10" w:space="0"/>
              <w:bottom w:val="single" w:color="auto" w:sz="10" w:space="0"/>
              <w:right w:val="single" w:color="auto" w:sz="10" w:space="0"/>
              <w:insideV w:val="single" w:sz="10" w:space="0"/>
            </w:tcBorders>
          </w:tcP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17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2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0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0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补贴耕地面积</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&gt;=32.75万亩</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=32.75万亩</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7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享受补贴户数</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&gt;=20155户</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=20155户</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7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hint="eastAsia" w:ascii="宋体" w:hAnsi="宋体"/>
                <w:sz w:val="16"/>
                <w:lang w:eastAsia="zh-CN"/>
              </w:rPr>
              <w:t>耕地地力</w:t>
            </w:r>
            <w:r>
              <w:rPr>
                <w:rFonts w:ascii="宋体" w:hAnsi="宋体" w:eastAsia="宋体"/>
                <w:sz w:val="16"/>
              </w:rPr>
              <w:t>保护补贴资金兑付率</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7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项目结束时间</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2024年11月</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2024年10月22日</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7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0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小麦补贴金额</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&lt;=5215.59万元</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=5215.59万元</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7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玉米等其他作物补贴金额</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&lt;=239.97万元</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=224.04万元</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8.34</w:t>
            </w:r>
          </w:p>
        </w:tc>
        <w:tc>
          <w:tcPr>
            <w:tcW w:w="117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偏差原因:项目已完成，存在结余资金；改进措施：加强年初预算编制管理，结余资金2025年继续使用。</w:t>
            </w:r>
          </w:p>
        </w:tc>
      </w:tr>
      <w:tr>
        <w:tblPrEx>
          <w:tblLayout w:type="fixed"/>
          <w:tblCellMar>
            <w:top w:w="0" w:type="dxa"/>
            <w:left w:w="108" w:type="dxa"/>
            <w:bottom w:w="0" w:type="dxa"/>
            <w:right w:w="108" w:type="dxa"/>
          </w:tblCellMar>
        </w:tblPrEx>
        <w:tc>
          <w:tcPr>
            <w:tcW w:w="62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促进耕地质量提升</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有效促进</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有效促进</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17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群众对耕地地力保护补贴政策的满意度</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7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456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3271"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98.27分</w:t>
            </w:r>
          </w:p>
        </w:tc>
      </w:tr>
    </w:tbl>
    <w:p>
      <w:r>
        <w:br w:type="page"/>
      </w:r>
    </w:p>
    <w:tbl>
      <w:tblPr>
        <w:tblStyle w:val="10"/>
        <w:tblW w:w="9060" w:type="dxa"/>
        <w:tblInd w:w="0" w:type="dxa"/>
        <w:tblLayout w:type="fixed"/>
        <w:tblCellMar>
          <w:top w:w="0" w:type="dxa"/>
          <w:left w:w="108" w:type="dxa"/>
          <w:bottom w:w="0" w:type="dxa"/>
          <w:right w:w="108" w:type="dxa"/>
        </w:tblCellMar>
      </w:tblPr>
      <w:tblGrid>
        <w:gridCol w:w="623"/>
        <w:gridCol w:w="608"/>
        <w:gridCol w:w="608"/>
        <w:gridCol w:w="608"/>
        <w:gridCol w:w="856"/>
        <w:gridCol w:w="608"/>
        <w:gridCol w:w="696"/>
        <w:gridCol w:w="608"/>
        <w:gridCol w:w="608"/>
        <w:gridCol w:w="616"/>
        <w:gridCol w:w="776"/>
        <w:gridCol w:w="630"/>
        <w:gridCol w:w="583"/>
        <w:gridCol w:w="632"/>
      </w:tblGrid>
      <w:tr>
        <w:tblPrEx>
          <w:tblLayout w:type="fixed"/>
          <w:tblCellMar>
            <w:top w:w="0" w:type="dxa"/>
            <w:left w:w="108" w:type="dxa"/>
            <w:bottom w:w="0" w:type="dxa"/>
            <w:right w:w="108" w:type="dxa"/>
          </w:tblCellMar>
        </w:tblPrEx>
        <w:tc>
          <w:tcPr>
            <w:tcW w:w="9060"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9060"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437"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2024年麦盖提县草原生态保护补助奖励项目</w:t>
            </w:r>
          </w:p>
        </w:tc>
      </w:tr>
      <w:tr>
        <w:tblPrEx>
          <w:tblLayout w:type="fixed"/>
          <w:tblCellMar>
            <w:top w:w="0" w:type="dxa"/>
            <w:left w:w="108" w:type="dxa"/>
            <w:bottom w:w="0" w:type="dxa"/>
            <w:right w:w="108" w:type="dxa"/>
          </w:tblCellMar>
        </w:tblPrEx>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59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麦盖提县农业农村局</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237"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麦盖提县农业农村局</w:t>
            </w:r>
          </w:p>
        </w:tc>
      </w:tr>
      <w:tr>
        <w:tblPrEx>
          <w:tblLayout w:type="fixed"/>
          <w:tblCellMar>
            <w:top w:w="0" w:type="dxa"/>
            <w:left w:w="108" w:type="dxa"/>
            <w:bottom w:w="0" w:type="dxa"/>
            <w:right w:w="108" w:type="dxa"/>
          </w:tblCellMar>
        </w:tblPrEx>
        <w:tc>
          <w:tcPr>
            <w:tcW w:w="62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1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4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30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1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39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1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1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4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550.20</w:t>
            </w:r>
          </w:p>
        </w:tc>
        <w:tc>
          <w:tcPr>
            <w:tcW w:w="130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550.20</w:t>
            </w:r>
          </w:p>
        </w:tc>
        <w:tc>
          <w:tcPr>
            <w:tcW w:w="121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550.20</w:t>
            </w:r>
          </w:p>
        </w:tc>
        <w:tc>
          <w:tcPr>
            <w:tcW w:w="139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1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Layout w:type="fixed"/>
          <w:tblCellMar>
            <w:top w:w="0" w:type="dxa"/>
            <w:left w:w="108" w:type="dxa"/>
            <w:bottom w:w="0" w:type="dxa"/>
            <w:right w:w="108" w:type="dxa"/>
          </w:tblCellMar>
        </w:tblPrEx>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1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4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550.20</w:t>
            </w:r>
          </w:p>
        </w:tc>
        <w:tc>
          <w:tcPr>
            <w:tcW w:w="130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550.20</w:t>
            </w:r>
          </w:p>
        </w:tc>
        <w:tc>
          <w:tcPr>
            <w:tcW w:w="121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550.20</w:t>
            </w:r>
          </w:p>
        </w:tc>
        <w:tc>
          <w:tcPr>
            <w:tcW w:w="139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1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1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4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30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1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39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1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2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59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845"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59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总投资为550.2万元，主要用于对我县草原根据承载能力核定合理载畜量，实施草畜平衡管理，对履行草畜平衡义务的牧民按照每年每亩2.5元的测算标准给予草畜平衡奖励，草原生态奖补面积为220.08万亩。项目的实施加快推动草原畜牧业生产方式转变，提升绿色畜产品生产供应水平，不断拓宽牧民增收渠道，稳步提高牧民增收水平，创新草原畜牧业发展模式，提高农牧民自我发展能力，加快传统畜牧业改造提升。</w:t>
            </w:r>
          </w:p>
        </w:tc>
        <w:tc>
          <w:tcPr>
            <w:tcW w:w="3845"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截至</w:t>
            </w:r>
            <w:r>
              <w:rPr>
                <w:rFonts w:ascii="宋体" w:hAnsi="宋体" w:eastAsia="宋体"/>
                <w:sz w:val="16"/>
              </w:rPr>
              <w:t>自评日，本项目实际支付为550.2万元，已完成对我县草原根据承载能力核定合理载畜量，实施草畜平衡管理，对履行草畜平衡义务的牧民按照每年每亩2.5元的测算标准给予草畜平衡奖励，草原生态奖补面积为220.08万亩。项目的实施加快推动了草原畜牧业生产方式转变，提升绿色畜产品生产供应水平，不断拓宽牧民增收渠道，稳步提高牧民增收水平，创新草原畜牧业发展模式，提高农牧民自我发展能力，加快传统畜牧业改造提升。</w:t>
            </w:r>
          </w:p>
        </w:tc>
      </w:tr>
      <w:tr>
        <w:tblPrEx>
          <w:tblLayout w:type="fixed"/>
          <w:tblCellMar>
            <w:top w:w="0" w:type="dxa"/>
            <w:left w:w="108" w:type="dxa"/>
            <w:bottom w:w="0" w:type="dxa"/>
            <w:right w:w="108" w:type="dxa"/>
          </w:tblCellMar>
        </w:tblPrEx>
        <w:tc>
          <w:tcPr>
            <w:tcW w:w="623" w:type="dxa"/>
            <w:tcBorders>
              <w:top w:val="single" w:color="auto" w:sz="10" w:space="0"/>
              <w:left w:val="single" w:color="auto" w:sz="10" w:space="0"/>
              <w:bottom w:val="single" w:color="auto" w:sz="10" w:space="0"/>
              <w:right w:val="single" w:color="auto" w:sz="10" w:space="0"/>
              <w:insideV w:val="single" w:sz="10" w:space="0"/>
            </w:tcBorders>
          </w:tcP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1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2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0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草原生态奖补面积</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&gt;=220.08万亩</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220.08万亩</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=220.08万亩</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w:t>
            </w:r>
          </w:p>
        </w:tc>
        <w:tc>
          <w:tcPr>
            <w:tcW w:w="121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8"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草原生态保护补助奖励资金发放准确率</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w:t>
            </w:r>
          </w:p>
        </w:tc>
        <w:tc>
          <w:tcPr>
            <w:tcW w:w="121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8"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=2024年5月</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2023年6月</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=2024年4月19日</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w:t>
            </w:r>
          </w:p>
        </w:tc>
        <w:tc>
          <w:tcPr>
            <w:tcW w:w="121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每亩奖补资金</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&lt;=2.5元/亩</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2.50元</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=2.5元/亩</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1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0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受益户数</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&gt;=2645户</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2645户</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=2645户</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1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8"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8"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提高农牧民自我发展能力</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1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农牧民对草原生态保护补助奖励政策满意度</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1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459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3237"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r>
    </w:tbl>
    <w:p>
      <w:r>
        <w:br w:type="page"/>
      </w:r>
    </w:p>
    <w:tbl>
      <w:tblPr>
        <w:tblStyle w:val="10"/>
        <w:tblW w:w="9060" w:type="dxa"/>
        <w:tblInd w:w="0" w:type="dxa"/>
        <w:tblLayout w:type="fixed"/>
        <w:tblCellMar>
          <w:top w:w="0" w:type="dxa"/>
          <w:left w:w="108" w:type="dxa"/>
          <w:bottom w:w="0" w:type="dxa"/>
          <w:right w:w="108" w:type="dxa"/>
        </w:tblCellMar>
      </w:tblPr>
      <w:tblGrid>
        <w:gridCol w:w="618"/>
        <w:gridCol w:w="596"/>
        <w:gridCol w:w="596"/>
        <w:gridCol w:w="618"/>
        <w:gridCol w:w="936"/>
        <w:gridCol w:w="596"/>
        <w:gridCol w:w="618"/>
        <w:gridCol w:w="605"/>
        <w:gridCol w:w="601"/>
        <w:gridCol w:w="607"/>
        <w:gridCol w:w="856"/>
        <w:gridCol w:w="632"/>
        <w:gridCol w:w="551"/>
        <w:gridCol w:w="630"/>
      </w:tblGrid>
      <w:tr>
        <w:tblPrEx>
          <w:tblLayout w:type="fixed"/>
          <w:tblCellMar>
            <w:top w:w="0" w:type="dxa"/>
            <w:left w:w="108" w:type="dxa"/>
            <w:bottom w:w="0" w:type="dxa"/>
            <w:right w:w="108" w:type="dxa"/>
          </w:tblCellMar>
        </w:tblPrEx>
        <w:tc>
          <w:tcPr>
            <w:tcW w:w="9060"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9060"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442"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2024年麦盖提县高标准农田建设项目</w:t>
            </w:r>
          </w:p>
        </w:tc>
      </w:tr>
      <w:tr>
        <w:tblPrEx>
          <w:tblLayout w:type="fixed"/>
          <w:tblCellMar>
            <w:top w:w="0" w:type="dxa"/>
            <w:left w:w="108" w:type="dxa"/>
            <w:bottom w:w="0" w:type="dxa"/>
            <w:right w:w="108" w:type="dxa"/>
          </w:tblCellMar>
        </w:tblPrEx>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56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麦盖提县农业农村局</w:t>
            </w:r>
          </w:p>
        </w:tc>
        <w:tc>
          <w:tcPr>
            <w:tcW w:w="60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276"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麦盖提县农业农村局</w:t>
            </w:r>
          </w:p>
        </w:tc>
      </w:tr>
      <w:tr>
        <w:tblPrEx>
          <w:tblLayout w:type="fixed"/>
          <w:tblCellMar>
            <w:top w:w="0" w:type="dxa"/>
            <w:left w:w="108" w:type="dxa"/>
            <w:bottom w:w="0" w:type="dxa"/>
            <w:right w:w="108" w:type="dxa"/>
          </w:tblCellMar>
        </w:tblPrEx>
        <w:tc>
          <w:tcPr>
            <w:tcW w:w="61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19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55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1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0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46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1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18"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9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55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2,100.00</w:t>
            </w:r>
          </w:p>
        </w:tc>
        <w:tc>
          <w:tcPr>
            <w:tcW w:w="121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3,516.57</w:t>
            </w:r>
          </w:p>
        </w:tc>
        <w:tc>
          <w:tcPr>
            <w:tcW w:w="120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3,516.57</w:t>
            </w:r>
          </w:p>
        </w:tc>
        <w:tc>
          <w:tcPr>
            <w:tcW w:w="146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Layout w:type="fixed"/>
          <w:tblCellMar>
            <w:top w:w="0" w:type="dxa"/>
            <w:left w:w="108" w:type="dxa"/>
            <w:bottom w:w="0" w:type="dxa"/>
            <w:right w:w="108" w:type="dxa"/>
          </w:tblCellMar>
        </w:tblPrEx>
        <w:tc>
          <w:tcPr>
            <w:tcW w:w="618"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9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55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2,100.00</w:t>
            </w:r>
          </w:p>
        </w:tc>
        <w:tc>
          <w:tcPr>
            <w:tcW w:w="121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3,516.57</w:t>
            </w:r>
          </w:p>
        </w:tc>
        <w:tc>
          <w:tcPr>
            <w:tcW w:w="120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3,516.57</w:t>
            </w:r>
          </w:p>
        </w:tc>
        <w:tc>
          <w:tcPr>
            <w:tcW w:w="146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18"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9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55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1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0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46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1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56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877"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18"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56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提前下达2024年中央耕地建设与利用资金预算的通知》喀地财农〔2023〕26号文件下达中央转移支付资金4169505.32元、《关于提前下达2024年自治区农田建设补助资金预算的通知》喀地财农〔2023〕50号文件下达自治区转移支付资金600万元，喀地财农</w:t>
            </w:r>
            <w:r>
              <w:rPr>
                <w:rFonts w:hint="eastAsia" w:ascii="宋体" w:hAnsi="宋体"/>
                <w:sz w:val="16"/>
                <w:lang w:eastAsia="zh-CN"/>
              </w:rPr>
              <w:t>〔2024〕10号</w:t>
            </w:r>
            <w:r>
              <w:rPr>
                <w:rFonts w:ascii="宋体" w:hAnsi="宋体" w:eastAsia="宋体"/>
                <w:sz w:val="16"/>
              </w:rPr>
              <w:t>下达中央转移支付资金2412万元，麦财农〔2023〕43号下达中央转移支付资金6830494.68元；本项目总投资为4112万元，主要用于对吐曼塔勒乡、尕孜库勒乡、克孜勒阿瓦提等3个乡实施高标准农田建设，建设面积为2.51万亩。项目的实施将有效减轻土壤盐碱化危害，切实解决我县人水、人地矛盾突出的问题，破解土地碎片化、经营分散、农民组织化程度低、种植结构不统一、效益不明显等关键问题。</w:t>
            </w:r>
          </w:p>
        </w:tc>
        <w:tc>
          <w:tcPr>
            <w:tcW w:w="3877"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截至</w:t>
            </w:r>
            <w:r>
              <w:rPr>
                <w:rFonts w:ascii="宋体" w:hAnsi="宋体" w:eastAsia="宋体"/>
                <w:sz w:val="16"/>
              </w:rPr>
              <w:t>自评日，本项目已支出金额为3516.57万元，现阶段吐曼塔勒乡、尕孜库勒乡1.53万亩工程项目基本完成，正在开展后尾工程、升级决算等工作。克孜勒阿瓦提乡0.98万亩中已完工面积为0.7万亩，管道铺设已基本完工，正在建设泵房。项目的实施有效提高了农业综合生产能力，有效减轻了土壤盐碱化危害。</w:t>
            </w:r>
          </w:p>
        </w:tc>
      </w:tr>
      <w:tr>
        <w:tblPrEx>
          <w:tblLayout w:type="fixed"/>
          <w:tblCellMar>
            <w:top w:w="0" w:type="dxa"/>
            <w:left w:w="108" w:type="dxa"/>
            <w:bottom w:w="0" w:type="dxa"/>
            <w:right w:w="108" w:type="dxa"/>
          </w:tblCellMar>
        </w:tblPrEx>
        <w:tc>
          <w:tcPr>
            <w:tcW w:w="618" w:type="dxa"/>
            <w:tcBorders>
              <w:top w:val="single" w:color="auto" w:sz="10" w:space="0"/>
              <w:left w:val="single" w:color="auto" w:sz="10" w:space="0"/>
              <w:bottom w:val="single" w:color="auto" w:sz="10" w:space="0"/>
              <w:right w:val="single" w:color="auto" w:sz="10" w:space="0"/>
              <w:insideV w:val="single" w:sz="10" w:space="0"/>
            </w:tcBorders>
          </w:tcPr>
          <w:p/>
        </w:tc>
        <w:tc>
          <w:tcPr>
            <w:tcW w:w="5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5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5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0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18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1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59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59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涉及乡镇数量</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&gt;=3个</w:t>
            </w:r>
          </w:p>
        </w:tc>
        <w:tc>
          <w:tcPr>
            <w:tcW w:w="5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7个</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0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18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18"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9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9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高标准农田建设面积</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&gt;=2.51万亩</w:t>
            </w:r>
          </w:p>
        </w:tc>
        <w:tc>
          <w:tcPr>
            <w:tcW w:w="5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14.4万亩</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0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=2.23万亩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5.05</w:t>
            </w:r>
          </w:p>
        </w:tc>
        <w:tc>
          <w:tcPr>
            <w:tcW w:w="118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该项目为跨年项目，24年已完成2.23万亩，预计2025年6月完工。改进措施：加强与相关部门和施工单位的沟通协调，保障项目顺利实施，高质量完成。</w:t>
            </w:r>
          </w:p>
        </w:tc>
      </w:tr>
      <w:tr>
        <w:tblPrEx>
          <w:tblLayout w:type="fixed"/>
          <w:tblCellMar>
            <w:top w:w="0" w:type="dxa"/>
            <w:left w:w="108" w:type="dxa"/>
            <w:bottom w:w="0" w:type="dxa"/>
            <w:right w:w="108" w:type="dxa"/>
          </w:tblCellMar>
        </w:tblPrEx>
        <w:tc>
          <w:tcPr>
            <w:tcW w:w="618"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9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项目（工程）验收合格率</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5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0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18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该项目为跨年项目，预计25年完工后进行项目验收工作。改进措施：加强与相关部门和施工单位的沟通协调，保障项目顺利实施，高质量完成，完工后及时验收。</w:t>
            </w:r>
          </w:p>
        </w:tc>
      </w:tr>
      <w:tr>
        <w:tblPrEx>
          <w:tblLayout w:type="fixed"/>
          <w:tblCellMar>
            <w:top w:w="0" w:type="dxa"/>
            <w:left w:w="108" w:type="dxa"/>
            <w:bottom w:w="0" w:type="dxa"/>
            <w:right w:w="108" w:type="dxa"/>
          </w:tblCellMar>
        </w:tblPrEx>
        <w:tc>
          <w:tcPr>
            <w:tcW w:w="618"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9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9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项目完工时间</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=2025年6月30日前</w:t>
            </w:r>
          </w:p>
        </w:tc>
        <w:tc>
          <w:tcPr>
            <w:tcW w:w="5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2023年12月</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0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2024年6月30日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18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18"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9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9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项目完工率</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5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0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=88.84%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4.33</w:t>
            </w:r>
          </w:p>
        </w:tc>
        <w:tc>
          <w:tcPr>
            <w:tcW w:w="118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该项目为跨年项目，预计2025年6月完工。改进措施：加强与相关部门和施工单位的沟通协调，保障项目顺利实施，高质量完成。</w:t>
            </w:r>
          </w:p>
        </w:tc>
      </w:tr>
      <w:tr>
        <w:tblPrEx>
          <w:tblLayout w:type="fixed"/>
          <w:tblCellMar>
            <w:top w:w="0" w:type="dxa"/>
            <w:left w:w="108" w:type="dxa"/>
            <w:bottom w:w="0" w:type="dxa"/>
            <w:right w:w="108" w:type="dxa"/>
          </w:tblCellMar>
        </w:tblPrEx>
        <w:tc>
          <w:tcPr>
            <w:tcW w:w="618"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9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9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资金支付及时率</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5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0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18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18"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5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每亩高标准农田建设费用</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&lt;=1638.25元/亩</w:t>
            </w:r>
          </w:p>
        </w:tc>
        <w:tc>
          <w:tcPr>
            <w:tcW w:w="5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0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=1576.94元/亩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18.13</w:t>
            </w:r>
          </w:p>
        </w:tc>
        <w:tc>
          <w:tcPr>
            <w:tcW w:w="118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该项目为跨年项目，项目还未完工，资金按照工程进度支付。改进措施：继续推进正在进行的工作，确保在规定时间内完成，着手准备下一阶段的工作，包括资金支付手续审批，加快项目实施进度。</w:t>
            </w:r>
          </w:p>
        </w:tc>
      </w:tr>
      <w:tr>
        <w:tblPrEx>
          <w:tblLayout w:type="fixed"/>
          <w:tblCellMar>
            <w:top w:w="0" w:type="dxa"/>
            <w:left w:w="108" w:type="dxa"/>
            <w:bottom w:w="0" w:type="dxa"/>
            <w:right w:w="108" w:type="dxa"/>
          </w:tblCellMar>
        </w:tblPrEx>
        <w:tc>
          <w:tcPr>
            <w:tcW w:w="618"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5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提高农业综合生产能力</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w:t>
            </w:r>
          </w:p>
        </w:tc>
        <w:tc>
          <w:tcPr>
            <w:tcW w:w="5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0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18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18"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5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受益农民满意度</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5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0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8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456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0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3276"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87.51分</w:t>
            </w:r>
          </w:p>
        </w:tc>
      </w:tr>
    </w:tbl>
    <w:p>
      <w:r>
        <w:br w:type="page"/>
      </w:r>
    </w:p>
    <w:tbl>
      <w:tblPr>
        <w:tblStyle w:val="10"/>
        <w:tblW w:w="9056" w:type="dxa"/>
        <w:tblInd w:w="0" w:type="dxa"/>
        <w:tblLayout w:type="fixed"/>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tblPrEx>
          <w:tblLayout w:type="fixed"/>
          <w:tblCellMar>
            <w:top w:w="0" w:type="dxa"/>
            <w:left w:w="108" w:type="dxa"/>
            <w:bottom w:w="0" w:type="dxa"/>
            <w:right w:w="108" w:type="dxa"/>
          </w:tblCellMar>
        </w:tblPrEx>
        <w:tc>
          <w:tcPr>
            <w:tcW w:w="9056"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9056"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424"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中央农业防灾减灾和水利救灾资金（动物防疫补助）项目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麦盖提县农业农村局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22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麦盖提县农业农村局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34.15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34.15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34.15</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34.15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34.15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34.15</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总金额为34.15万元，项目主要通过1.辖区9家养殖企业采购的强制免疫疫苗进行补助；2.动物强制免疫病种免疫抗体检测，购买抗体检测试剂、诊断液、耗材、自我防护物资、化验室必备设备等；3.我县动物强制免疫所需要的防疫物资的采购。有效控制动物疫病，降低畜禽死亡率，提高农牧民生活水平。</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截至</w:t>
            </w:r>
            <w:r>
              <w:rPr>
                <w:rFonts w:ascii="宋体" w:hAnsi="宋体" w:eastAsia="宋体"/>
                <w:sz w:val="16"/>
              </w:rPr>
              <w:t>自评日，本项目全年实际完成支出34.15万元，项目完成对辖区9家养殖企业采购的强制免疫疫苗进行补助；已</w:t>
            </w:r>
            <w:r>
              <w:rPr>
                <w:rFonts w:hint="eastAsia" w:ascii="宋体" w:hAnsi="宋体"/>
                <w:sz w:val="16"/>
                <w:lang w:eastAsia="zh-CN"/>
              </w:rPr>
              <w:t>采购</w:t>
            </w:r>
            <w:r>
              <w:rPr>
                <w:rFonts w:ascii="宋体" w:hAnsi="宋体" w:eastAsia="宋体"/>
                <w:sz w:val="16"/>
              </w:rPr>
              <w:t>防疫物资及服务种类28种，完成对动物强制免疫病种免疫抗体检测，购买抗体检测试剂、诊断液、耗材、自我防护物资、化验室必备设备及相关防疫服务等；完成我县动物强制免疫所需要的防疫物资的采购。有效控制了动物疫病，降低畜禽死亡率，提高农牧民生活水平。</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强制疫苗补助养殖企业（合作社）数量</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采购设备及防疫物资种类</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&gt;=28种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45种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=28种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应免禽畜免疫密度</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免疫抗体合格率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&gt;=70%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资金支付及时率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强制疫苗补助资金</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&lt;=24.74万元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26.67万元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=24.74万元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动物防疫检测补助资金</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&lt;=6.41万元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28.5万元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=6.41万元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流行病学调查补助资金</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控制动物疫病</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有效控制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有效控制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有效控制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农牧民满意度</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322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r>
    </w:tbl>
    <w:p>
      <w:r>
        <w:br w:type="page"/>
      </w:r>
    </w:p>
    <w:tbl>
      <w:tblPr>
        <w:tblStyle w:val="10"/>
        <w:tblW w:w="8912" w:type="dxa"/>
        <w:tblInd w:w="0" w:type="dxa"/>
        <w:tblLayout w:type="fixed"/>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80"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喀什地区农村实用人才服务促进乡村振兴支持项目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麦盖提县农业农村局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麦盖提县农业农村局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项目总金额16.8万元。对帮扶包联村农村实用人才140名，按照开展农业科技服务每名人员1200元/年工作补助经费标准，充分调动县农村人才积极性和主动性，加快农业农村现代化提供强有力的科技，人才和智力支撑。</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截至</w:t>
            </w:r>
            <w:r>
              <w:rPr>
                <w:rFonts w:ascii="宋体" w:hAnsi="宋体" w:eastAsia="宋体"/>
                <w:sz w:val="16"/>
              </w:rPr>
              <w:t>自评日，项目实际完成总支出16.8万元。已完成对帮扶包联村农村实用人才140名1200元/年标准发放工作补助经费，充分调动了县农村人才积极性和主动性，加快了农业农村现代化提供强有力的科技，人才和智力支撑。</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对帮扶包联村农村实用人才补贴人数</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&gt;=140名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=140名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一卡通信息录入准确率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补贴发放时限</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=2024年8月31日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=2024年8月21日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资金发放及时率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人才补贴发放标准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&lt;=1200元/人/年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=1200元/人/年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hint="eastAsia" w:ascii="宋体" w:hAnsi="宋体"/>
                <w:sz w:val="16"/>
                <w:lang w:eastAsia="zh-CN"/>
              </w:rPr>
              <w:t>调动</w:t>
            </w:r>
            <w:r>
              <w:rPr>
                <w:rFonts w:ascii="宋体" w:hAnsi="宋体" w:eastAsia="宋体"/>
                <w:sz w:val="16"/>
              </w:rPr>
              <w:t>农村人才积极性和主动性</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充分调动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充分调动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接收补贴人员满意度</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r>
    </w:tbl>
    <w:p>
      <w:r>
        <w:br w:type="page"/>
      </w:r>
    </w:p>
    <w:tbl>
      <w:tblPr>
        <w:tblStyle w:val="10"/>
        <w:tblW w:w="9056" w:type="dxa"/>
        <w:tblInd w:w="0" w:type="dxa"/>
        <w:tblLayout w:type="fixed"/>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tblPrEx>
          <w:tblLayout w:type="fixed"/>
          <w:tblCellMar>
            <w:top w:w="0" w:type="dxa"/>
            <w:left w:w="108" w:type="dxa"/>
            <w:bottom w:w="0" w:type="dxa"/>
            <w:right w:w="108" w:type="dxa"/>
          </w:tblCellMar>
        </w:tblPrEx>
        <w:tc>
          <w:tcPr>
            <w:tcW w:w="9056"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9056"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424"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城南工业园区冷链储运设施建设尾款项目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麦盖提县农业农村局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22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麦盖提县农业农村局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88.39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88.39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88.39</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88.39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88.39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88.39</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总金额88.39万，本项目主要用于支付1.2021年耕地轮作项目当年未发放成功的部分49.99万元；2.城南工业园区冷链储运设施建设项目尾款30.18万元；3.耕地开垦费8.22万元。项目实施有效提高农户的积极性，提高轮作项目实施的效果，同时有助于提高地方政府债务管理程度。</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截至</w:t>
            </w:r>
            <w:r>
              <w:rPr>
                <w:rFonts w:ascii="宋体" w:hAnsi="宋体" w:eastAsia="宋体"/>
                <w:sz w:val="16"/>
              </w:rPr>
              <w:t>绩效自评日，本项目完成支付总金额88.39万，已支付1.2021年耕地轮作项目当年未发放成功的部分49.99万元；2.城南工业园区冷链储运设施建设项目尾款30.18万元；3.耕地开垦费8.22万元。项目实施有效提高了农户的积极性，提高了轮作项目实施的效果，同时有助于提高地方政府债务管理程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支付涉及项目数量</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支付完成时间</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资金支付及时率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2021年耕地轮作项目发放金额</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&lt;=49.99万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=49.99万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城南工业园区冷链储运设施建设项目尾款</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&lt;=30.18万元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=30.18万元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耕地开垦费</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&lt;=8.22万元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=8.22万元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提高地方政府债务管理程度</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资金发放对象满意度</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322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r>
    </w:tbl>
    <w:p>
      <w:r>
        <w:br w:type="page"/>
      </w:r>
    </w:p>
    <w:tbl>
      <w:tblPr>
        <w:tblStyle w:val="10"/>
        <w:tblW w:w="9056" w:type="dxa"/>
        <w:tblInd w:w="0" w:type="dxa"/>
        <w:tblLayout w:type="fixed"/>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tblPrEx>
          <w:tblLayout w:type="fixed"/>
          <w:tblCellMar>
            <w:top w:w="0" w:type="dxa"/>
            <w:left w:w="108" w:type="dxa"/>
            <w:bottom w:w="0" w:type="dxa"/>
            <w:right w:w="108" w:type="dxa"/>
          </w:tblCellMar>
        </w:tblPrEx>
        <w:tc>
          <w:tcPr>
            <w:tcW w:w="9056"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9056"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424"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麦盖提县2024年农业社会化服务项目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麦盖提县农业农村局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22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麦盖提县农业农村局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350.00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350.00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2024年计划投资为350万元，主要用于农业生产社会化服务补助，补助对象为小麦玉米棉花，补助环节为：重点是小麦玉米棉花“耕”“种”“病虫害防治”和小麦玉米“一喷三防”“收割”等关键环节社会化服务。该项目的实施可促进全县技术服务一体化服务能力，提高农户种植小麦玉米的积极性，解决低收入户水肥投入不到位的实际问题。</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截至绩效自评日，实际支出350万元，发放7.41万亩社会化服务补助，补助对象为小麦玉米棉花，补助环节为：重点是小麦玉米棉花“耕”“种”“病虫害防治”和小麦玉米“一喷三防”“收割”等关键环节社会化服务，项目的实施有效提升农业社会化服务水平，提高种植户生产积极性，提高农业生产效率。</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库尔玛乡社会化服务亩数</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&gt;=1.04万亩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=1.04万亩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尕孜库勒乡社会化服务亩数</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&gt;=0.63万亩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=0.63万亩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央塔克乡社会化服务亩数</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&gt;=3.54万亩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=3.54万亩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克孜勒阿瓦提乡社会化服务亩数</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&gt;=0.20万亩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=0.2万亩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希依提墩乡社会化服务亩数</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补助资金使用合规率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项目结束时间</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=2024年10月31日前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2024年10月30日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补助发放及时率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每亩补助标准</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&lt;=47.23元/亩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=47.23元/亩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提高农户种植小麦玉米的积极性</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受益农户满意度</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322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r>
    </w:tbl>
    <w:p>
      <w:r>
        <w:br w:type="page"/>
      </w:r>
    </w:p>
    <w:tbl>
      <w:tblPr>
        <w:tblStyle w:val="10"/>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麦盖提县2024年新型农业经营主体提升技术应用和生产经营能力项目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麦盖提县农业农村局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麦盖提县农业农村局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2024年计划投资为84万元，主要用于：一是扶持3家示范合作社补助20万元，共计补助60万元，二是扶持家庭农场4家，每个家庭农场补助6万元，共计24万元，该项目的实施可有效提升农民合作社和家庭农场技术应用和生产经营能力，改善生产经营条件，规范财务核算，应用先进技术，推进社企对接，提升规模化、集约化、信息化生产能力，更好发挥其带动农民进入市场、增加收入、巩固拓展脱贫攻坚成果和促进乡村振兴的引领作用。</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 xml:space="preserve">本项目2024年总投资84万元，到位资金84万元， </w:t>
            </w:r>
            <w:r>
              <w:rPr>
                <w:rFonts w:hint="eastAsia" w:ascii="宋体" w:hAnsi="宋体"/>
                <w:sz w:val="16"/>
                <w:lang w:eastAsia="zh-CN"/>
              </w:rPr>
              <w:t>截至</w:t>
            </w:r>
            <w:r>
              <w:rPr>
                <w:rFonts w:ascii="宋体" w:hAnsi="宋体" w:eastAsia="宋体"/>
                <w:sz w:val="16"/>
              </w:rPr>
              <w:t>12月31日执行84万元，执行率为100%。按照保护农民利益、支持农业发展 和“扩面、增品、提标”的要求，不断完善</w:t>
            </w:r>
            <w:r>
              <w:rPr>
                <w:rFonts w:hint="eastAsia" w:ascii="宋体" w:hAnsi="宋体"/>
                <w:sz w:val="16"/>
                <w:lang w:eastAsia="zh-CN"/>
              </w:rPr>
              <w:t>新型农业经营主体</w:t>
            </w:r>
            <w:r>
              <w:rPr>
                <w:rFonts w:ascii="宋体" w:hAnsi="宋体" w:eastAsia="宋体"/>
                <w:sz w:val="16"/>
              </w:rPr>
              <w:t xml:space="preserve">提升技术应用和生产经营能力政策，主要是合作社设备购 置、改善农民合作社基础设施条件，升级技术装备，提升联 农带农服务能力给予补助。大力支持农民合作社引进和推广 新品种，采用先进科技和生产手段，有效改善生产经营条件，推动成果转化和技术推 广应用，引领农业高质量发展。  </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扶持合作社数量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扶持家庭农场数量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补助资金使用合规率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项目结束时间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2024年9月30日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自治区级示范农民专业合作社补助标准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&lt;=20万元/家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=20万元/家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家庭农场补助标准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&lt;=6万元/家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=6万元/家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改善生产经营条件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受益农户满意度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r>
    </w:tbl>
    <w:p>
      <w:r>
        <w:br w:type="page"/>
      </w:r>
    </w:p>
    <w:tbl>
      <w:tblPr>
        <w:tblStyle w:val="10"/>
        <w:tblW w:w="8912" w:type="dxa"/>
        <w:tblInd w:w="0" w:type="dxa"/>
        <w:tblLayout w:type="fixed"/>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80"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麦盖提县专业技术人才培训项目（山东援疆）</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麦盖提县农业农村局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麦盖提县农业农村局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hint="eastAsia" w:ascii="宋体" w:hAnsi="宋体"/>
                <w:sz w:val="16"/>
                <w:lang w:val="en-US" w:eastAsia="zh-CN"/>
              </w:rPr>
              <w:t>0</w:t>
            </w:r>
            <w:r>
              <w:rPr>
                <w:rFonts w:ascii="宋体" w:hAnsi="宋体" w:eastAsia="宋体"/>
                <w:sz w:val="16"/>
              </w:rPr>
              <w:t>.00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项目总金额45万元，主要用于麦盖提县乡两级农业技术人员、新型经营主体合作社、家庭农场负责人或管理人员、县乡合作社（家庭农场）辅导员、农经人员等40人在山东培训10天的机票费、培训费</w:t>
            </w:r>
            <w:r>
              <w:rPr>
                <w:rFonts w:hint="eastAsia" w:ascii="宋体" w:hAnsi="宋体"/>
                <w:sz w:val="16"/>
                <w:lang w:eastAsia="zh-CN"/>
              </w:rPr>
              <w:t>，就</w:t>
            </w:r>
            <w:r>
              <w:rPr>
                <w:rFonts w:ascii="宋体" w:hAnsi="宋体" w:eastAsia="宋体"/>
                <w:sz w:val="16"/>
              </w:rPr>
              <w:t>餐费、住宿费、参观费等。项目的实施有效</w:t>
            </w:r>
            <w:r>
              <w:rPr>
                <w:rFonts w:hint="eastAsia" w:ascii="宋体" w:hAnsi="宋体"/>
                <w:sz w:val="16"/>
                <w:lang w:eastAsia="zh-CN"/>
              </w:rPr>
              <w:t>促进</w:t>
            </w:r>
            <w:r>
              <w:rPr>
                <w:rFonts w:ascii="宋体" w:hAnsi="宋体" w:eastAsia="宋体"/>
                <w:sz w:val="16"/>
              </w:rPr>
              <w:t>乡村人才培养，提升乡村人才的业务知识，有助于把麦盖提县特色优质农产品推销到内地市场。</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项目总金额45万元，主要用于麦盖提县乡两级农业技术人员、新型经营主体合作社、家庭农场负责人或管理人员、县乡合作社（家庭农场）辅导员、农经人员等40人在山东培训10天的机票费、培训费</w:t>
            </w:r>
            <w:r>
              <w:rPr>
                <w:rFonts w:hint="eastAsia" w:ascii="宋体" w:hAnsi="宋体"/>
                <w:sz w:val="16"/>
                <w:lang w:eastAsia="zh-CN"/>
              </w:rPr>
              <w:t>，就</w:t>
            </w:r>
            <w:r>
              <w:rPr>
                <w:rFonts w:ascii="宋体" w:hAnsi="宋体" w:eastAsia="宋体"/>
                <w:sz w:val="16"/>
              </w:rPr>
              <w:t>餐费、住宿费、参观费等。项目的实施有效</w:t>
            </w:r>
            <w:r>
              <w:rPr>
                <w:rFonts w:hint="eastAsia" w:ascii="宋体" w:hAnsi="宋体"/>
                <w:sz w:val="16"/>
                <w:lang w:eastAsia="zh-CN"/>
              </w:rPr>
              <w:t>促进</w:t>
            </w:r>
            <w:r>
              <w:rPr>
                <w:rFonts w:ascii="宋体" w:hAnsi="宋体" w:eastAsia="宋体"/>
                <w:sz w:val="16"/>
              </w:rPr>
              <w:t>乡村人才培养，提升乡村人才的业务知识，有助于把麦盖提县特色优质农产品推销到内地市场。</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参与培训人数</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交流培训天数</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培训出勤率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=2024年9月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2024年9月10日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人均培训成本</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&lt;=1.13万元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提升乡村人才的业务知识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参与培训人员满意度</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r>
    </w:tbl>
    <w:p>
      <w:r>
        <w:br w:type="page"/>
      </w:r>
    </w:p>
    <w:tbl>
      <w:tblPr>
        <w:tblStyle w:val="10"/>
        <w:tblW w:w="9056" w:type="dxa"/>
        <w:tblInd w:w="0" w:type="dxa"/>
        <w:tblLayout w:type="fixed"/>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tblPrEx>
          <w:tblLayout w:type="fixed"/>
          <w:tblCellMar>
            <w:top w:w="0" w:type="dxa"/>
            <w:left w:w="108" w:type="dxa"/>
            <w:bottom w:w="0" w:type="dxa"/>
            <w:right w:w="108" w:type="dxa"/>
          </w:tblCellMar>
        </w:tblPrEx>
        <w:tc>
          <w:tcPr>
            <w:tcW w:w="9056"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9056"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424"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麦盖提县主要农作物品种审定区域实验站建设项目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麦盖提县农业农村局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22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麦盖提县农业农村局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62.85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62.85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62.85</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62.85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62.85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62.85</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2024年计划总投资为62.85万元，主要用于建立230亩收集小麦、玉米、棉花等区域试验、生产试验、新品种示范展示及新品种新技术推广综合试验基地，其中农作物区域试验、生产试验田130亩，农作物新品种展示示范田100亩;项目的实施可有效改善实验站生产条件，改善农田土质，提升播种质量及种子质量检测能力，构建功能完备的良种推广应用体系。</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2024年已支出62.85万元，已建立了230亩新技术推广综合试验基地，其中试验田130亩，新品种展示示范田100亩，开展新技术推广应用，有效改善农田土质，提高农作物产量，通过筛选优良品种，推广高产优质品种，帮助农民提高收益，推动农业科技创新和产业升级。</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区域试验田亩数</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&gt;=130亩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=130亩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新品种展示示范田亩数</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&gt;=100亩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项目验收合格率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项目完工时间</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=2024年11月30日前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2024年10月23日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项目完工及时率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工程费用</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&lt;=42.6万元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=42.6万元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工程建设其他费用</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&lt;=20.25万元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改善农田土质</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受益农民满意度</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322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r>
    </w:tbl>
    <w:p>
      <w:r>
        <w:br w:type="page"/>
      </w:r>
    </w:p>
    <w:tbl>
      <w:tblPr>
        <w:tblStyle w:val="10"/>
        <w:tblW w:w="9060" w:type="dxa"/>
        <w:tblInd w:w="0" w:type="dxa"/>
        <w:tblLayout w:type="fixed"/>
        <w:tblCellMar>
          <w:top w:w="0" w:type="dxa"/>
          <w:left w:w="108" w:type="dxa"/>
          <w:bottom w:w="0" w:type="dxa"/>
          <w:right w:w="108" w:type="dxa"/>
        </w:tblCellMar>
      </w:tblPr>
      <w:tblGrid>
        <w:gridCol w:w="610"/>
        <w:gridCol w:w="577"/>
        <w:gridCol w:w="577"/>
        <w:gridCol w:w="611"/>
        <w:gridCol w:w="936"/>
        <w:gridCol w:w="577"/>
        <w:gridCol w:w="776"/>
        <w:gridCol w:w="591"/>
        <w:gridCol w:w="585"/>
        <w:gridCol w:w="594"/>
        <w:gridCol w:w="856"/>
        <w:gridCol w:w="627"/>
        <w:gridCol w:w="514"/>
        <w:gridCol w:w="629"/>
      </w:tblGrid>
      <w:tr>
        <w:tblPrEx>
          <w:tblLayout w:type="fixed"/>
          <w:tblCellMar>
            <w:top w:w="0" w:type="dxa"/>
            <w:left w:w="108" w:type="dxa"/>
            <w:bottom w:w="0" w:type="dxa"/>
            <w:right w:w="108" w:type="dxa"/>
          </w:tblCellMar>
        </w:tblPrEx>
        <w:tc>
          <w:tcPr>
            <w:tcW w:w="9060"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9060"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450"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麦盖提县农业保险保费补贴项目</w:t>
            </w:r>
          </w:p>
        </w:tc>
      </w:tr>
      <w:tr>
        <w:tblPrEx>
          <w:tblLayout w:type="fixed"/>
          <w:tblCellMar>
            <w:top w:w="0" w:type="dxa"/>
            <w:left w:w="108" w:type="dxa"/>
            <w:bottom w:w="0" w:type="dxa"/>
            <w:right w:w="108" w:type="dxa"/>
          </w:tblCellMar>
        </w:tblPrEx>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64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麦盖提县农业农村局</w:t>
            </w:r>
          </w:p>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22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麦盖提县农业农村局</w:t>
            </w:r>
          </w:p>
        </w:tc>
      </w:tr>
      <w:tr>
        <w:tblPrEx>
          <w:tblLayout w:type="fixed"/>
          <w:tblCellMar>
            <w:top w:w="0" w:type="dxa"/>
            <w:left w:w="108" w:type="dxa"/>
            <w:bottom w:w="0" w:type="dxa"/>
            <w:right w:w="108" w:type="dxa"/>
          </w:tblCellMar>
        </w:tblPrEx>
        <w:tc>
          <w:tcPr>
            <w:tcW w:w="61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15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54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35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17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4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14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1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5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54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2,861.63</w:t>
            </w:r>
          </w:p>
        </w:tc>
        <w:tc>
          <w:tcPr>
            <w:tcW w:w="135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2,861.63</w:t>
            </w:r>
          </w:p>
        </w:tc>
        <w:tc>
          <w:tcPr>
            <w:tcW w:w="117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2,861.63</w:t>
            </w:r>
          </w:p>
        </w:tc>
        <w:tc>
          <w:tcPr>
            <w:tcW w:w="14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4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Layout w:type="fixed"/>
          <w:tblCellMar>
            <w:top w:w="0" w:type="dxa"/>
            <w:left w:w="108" w:type="dxa"/>
            <w:bottom w:w="0" w:type="dxa"/>
            <w:right w:w="108" w:type="dxa"/>
          </w:tblCellMar>
        </w:tblPrEx>
        <w:tc>
          <w:tcPr>
            <w:tcW w:w="61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5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54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2,861.63</w:t>
            </w:r>
          </w:p>
        </w:tc>
        <w:tc>
          <w:tcPr>
            <w:tcW w:w="135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2,861.63</w:t>
            </w:r>
          </w:p>
        </w:tc>
        <w:tc>
          <w:tcPr>
            <w:tcW w:w="117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2,861.63</w:t>
            </w:r>
          </w:p>
        </w:tc>
        <w:tc>
          <w:tcPr>
            <w:tcW w:w="14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4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1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5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54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35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7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4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4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1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64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805"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1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64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2024年度总投资2861.63万元，主要用于支付我县2023年-2024年种植业、畜牧业、林果业政策性农业保险，涉及保险公司3家。项目的实施进一步完善我县农业保险政策，提高农业保险服务能力，进一步促进农村经济发展和农民增收。</w:t>
            </w:r>
          </w:p>
        </w:tc>
        <w:tc>
          <w:tcPr>
            <w:tcW w:w="3805"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2024年度总投资2861.63万元，截至绩效自评日，实际支付2861.63万元，主要用于支付我县2023年-2024年种植业、畜牧业、林果业政策性农业保险，通过财政资金对农户参保保费进行部分或全部补贴，鼓励农民积极投保，降低因自然灾害、市场波动等带来的损失。</w:t>
            </w:r>
          </w:p>
        </w:tc>
      </w:tr>
      <w:tr>
        <w:tblPrEx>
          <w:tblLayout w:type="fixed"/>
          <w:tblCellMar>
            <w:top w:w="0" w:type="dxa"/>
            <w:left w:w="108" w:type="dxa"/>
            <w:bottom w:w="0" w:type="dxa"/>
            <w:right w:w="108" w:type="dxa"/>
          </w:tblCellMar>
        </w:tblPrEx>
        <w:tc>
          <w:tcPr>
            <w:tcW w:w="610" w:type="dxa"/>
            <w:tcBorders>
              <w:top w:val="single" w:color="auto" w:sz="10" w:space="0"/>
              <w:left w:val="single" w:color="auto" w:sz="10" w:space="0"/>
              <w:bottom w:val="single" w:color="auto" w:sz="10" w:space="0"/>
              <w:right w:val="single" w:color="auto" w:sz="10" w:space="0"/>
              <w:insideV w:val="single" w:sz="10" w:space="0"/>
            </w:tcBorders>
          </w:tcPr>
          <w:p/>
        </w:tc>
        <w:tc>
          <w:tcPr>
            <w:tcW w:w="57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57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57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59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59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14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1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57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57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涉及保险公司数量</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&gt;=3家</w:t>
            </w:r>
          </w:p>
        </w:tc>
        <w:tc>
          <w:tcPr>
            <w:tcW w:w="57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3家</w:t>
            </w:r>
          </w:p>
        </w:tc>
        <w:tc>
          <w:tcPr>
            <w:tcW w:w="59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59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=3家</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4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1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7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7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57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59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59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4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1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7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7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保险赔付及时率</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57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59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59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4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1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7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7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项目结束时间</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=2024年12月20日</w:t>
            </w:r>
          </w:p>
        </w:tc>
        <w:tc>
          <w:tcPr>
            <w:tcW w:w="57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2023年12月</w:t>
            </w:r>
          </w:p>
        </w:tc>
        <w:tc>
          <w:tcPr>
            <w:tcW w:w="59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59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=2024年12月20日</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4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1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7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57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2023年农业保险补贴成本</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&lt;=1226.21万元</w:t>
            </w:r>
          </w:p>
        </w:tc>
        <w:tc>
          <w:tcPr>
            <w:tcW w:w="57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1092.20万元</w:t>
            </w:r>
          </w:p>
        </w:tc>
        <w:tc>
          <w:tcPr>
            <w:tcW w:w="59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59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=1226.21万元</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4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1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7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7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2024年农业保险补贴成本</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&lt;=1635.42万元</w:t>
            </w:r>
          </w:p>
        </w:tc>
        <w:tc>
          <w:tcPr>
            <w:tcW w:w="57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2324.21万元</w:t>
            </w:r>
          </w:p>
        </w:tc>
        <w:tc>
          <w:tcPr>
            <w:tcW w:w="59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59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=1635.42万元</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4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1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7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57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进一步促进农村经济发展和农民增收</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促进</w:t>
            </w:r>
          </w:p>
        </w:tc>
        <w:tc>
          <w:tcPr>
            <w:tcW w:w="57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促进</w:t>
            </w:r>
          </w:p>
        </w:tc>
        <w:tc>
          <w:tcPr>
            <w:tcW w:w="59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59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促进</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14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1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7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57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受益农户满意度</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57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59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59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4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464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322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r>
    </w:tbl>
    <w:p>
      <w:r>
        <w:br w:type="page"/>
      </w:r>
    </w:p>
    <w:tbl>
      <w:tblPr>
        <w:tblStyle w:val="10"/>
        <w:tblW w:w="9060" w:type="dxa"/>
        <w:tblInd w:w="0" w:type="dxa"/>
        <w:tblLayout w:type="fixed"/>
        <w:tblCellMar>
          <w:top w:w="0" w:type="dxa"/>
          <w:left w:w="108" w:type="dxa"/>
          <w:bottom w:w="0" w:type="dxa"/>
          <w:right w:w="108" w:type="dxa"/>
        </w:tblCellMar>
      </w:tblPr>
      <w:tblGrid>
        <w:gridCol w:w="625"/>
        <w:gridCol w:w="615"/>
        <w:gridCol w:w="616"/>
        <w:gridCol w:w="616"/>
        <w:gridCol w:w="856"/>
        <w:gridCol w:w="620"/>
        <w:gridCol w:w="618"/>
        <w:gridCol w:w="620"/>
        <w:gridCol w:w="618"/>
        <w:gridCol w:w="621"/>
        <w:gridCol w:w="776"/>
        <w:gridCol w:w="631"/>
        <w:gridCol w:w="597"/>
        <w:gridCol w:w="631"/>
      </w:tblGrid>
      <w:tr>
        <w:tblPrEx>
          <w:tblLayout w:type="fixed"/>
          <w:tblCellMar>
            <w:top w:w="0" w:type="dxa"/>
            <w:left w:w="108" w:type="dxa"/>
            <w:bottom w:w="0" w:type="dxa"/>
            <w:right w:w="108" w:type="dxa"/>
          </w:tblCellMar>
        </w:tblPrEx>
        <w:tc>
          <w:tcPr>
            <w:tcW w:w="9060"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9060"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435"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麦盖提县地膜科学使用回收项目</w:t>
            </w:r>
          </w:p>
        </w:tc>
      </w:tr>
      <w:tr>
        <w:tblPrEx>
          <w:tblLayout w:type="fixed"/>
          <w:tblCellMar>
            <w:top w:w="0" w:type="dxa"/>
            <w:left w:w="108" w:type="dxa"/>
            <w:bottom w:w="0" w:type="dxa"/>
            <w:right w:w="108" w:type="dxa"/>
          </w:tblCellMar>
        </w:tblPrEx>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561"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麦盖提县农业农村局</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256"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麦盖提县农业农村局</w:t>
            </w:r>
          </w:p>
        </w:tc>
      </w:tr>
      <w:tr>
        <w:tblPrEx>
          <w:tblLayout w:type="fixed"/>
          <w:tblCellMar>
            <w:top w:w="0" w:type="dxa"/>
            <w:left w:w="108" w:type="dxa"/>
            <w:bottom w:w="0" w:type="dxa"/>
            <w:right w:w="108" w:type="dxa"/>
          </w:tblCellMar>
        </w:tblPrEx>
        <w:tc>
          <w:tcPr>
            <w:tcW w:w="62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3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4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3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3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39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3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4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1,306.14</w:t>
            </w:r>
          </w:p>
        </w:tc>
        <w:tc>
          <w:tcPr>
            <w:tcW w:w="123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1,306.14</w:t>
            </w:r>
          </w:p>
        </w:tc>
        <w:tc>
          <w:tcPr>
            <w:tcW w:w="123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1,306.14</w:t>
            </w:r>
          </w:p>
        </w:tc>
        <w:tc>
          <w:tcPr>
            <w:tcW w:w="139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Layout w:type="fixed"/>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3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4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1,306.14</w:t>
            </w:r>
          </w:p>
        </w:tc>
        <w:tc>
          <w:tcPr>
            <w:tcW w:w="123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1,306.14</w:t>
            </w:r>
          </w:p>
        </w:tc>
        <w:tc>
          <w:tcPr>
            <w:tcW w:w="123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1,306.14</w:t>
            </w:r>
          </w:p>
        </w:tc>
        <w:tc>
          <w:tcPr>
            <w:tcW w:w="139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3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4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rPr>
                <w:rFonts w:hint="default" w:eastAsia="宋体"/>
                <w:lang w:val="en-US" w:eastAsia="zh-CN"/>
              </w:rPr>
            </w:pPr>
            <w:r>
              <w:rPr>
                <w:rFonts w:hint="eastAsia" w:ascii="宋体" w:hAnsi="宋体"/>
                <w:sz w:val="16"/>
                <w:lang w:val="en-US" w:eastAsia="zh-CN"/>
              </w:rPr>
              <w:t>0.00</w:t>
            </w:r>
          </w:p>
        </w:tc>
        <w:tc>
          <w:tcPr>
            <w:tcW w:w="123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3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39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2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561"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874"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561"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总金额2733万元，24年安排资金1306.14万元主要工作内容为对9个乡镇地膜残留的回收利用，并对符合标准的农户和企业发放补贴。该项目的实施有效防治农业面源污染，促进生态良好发展和废旧资源再利用。确保农村环境清洁，达到建设美丽乡村的要求。</w:t>
            </w:r>
          </w:p>
        </w:tc>
        <w:tc>
          <w:tcPr>
            <w:tcW w:w="3874"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截至绩效自评日，已完成支付1306.14万元，对9个乡镇开展地膜回收，项目的实施增强农户的环保意识，减少农村污染，保护好土壤和耕地，有效防治农业面源污染。</w:t>
            </w:r>
          </w:p>
        </w:tc>
      </w:tr>
      <w:tr>
        <w:tblPrEx>
          <w:tblLayout w:type="fixed"/>
          <w:tblCellMar>
            <w:top w:w="0" w:type="dxa"/>
            <w:left w:w="108" w:type="dxa"/>
            <w:bottom w:w="0" w:type="dxa"/>
            <w:right w:w="108" w:type="dxa"/>
          </w:tblCellMar>
        </w:tblPrEx>
        <w:tc>
          <w:tcPr>
            <w:tcW w:w="625" w:type="dxa"/>
            <w:tcBorders>
              <w:top w:val="single" w:color="auto" w:sz="10" w:space="0"/>
              <w:left w:val="single" w:color="auto" w:sz="10" w:space="0"/>
              <w:bottom w:val="single" w:color="auto" w:sz="10" w:space="0"/>
              <w:right w:val="single" w:color="auto" w:sz="10" w:space="0"/>
              <w:insideV w:val="single" w:sz="10" w:space="0"/>
            </w:tcBorders>
          </w:tcP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2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1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涉及乡镇个数</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=9个</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=9个</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资金支付合规率</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补贴发放及时率</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=2025年7月底</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2024年12月14日</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每个乡镇平均补贴金额</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&lt;=145.13万元/个</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=145.13万元/个</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防治农业面源污染</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有效防治</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有效防治</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农户满意度</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4561"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3256"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3"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456195EF-0A0D-4BE2-A64C-8E488D10288C}"/>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embedRegular r:id="rId2" w:fontKey="{3373596F-92B1-481C-93AB-46C7277E557A}"/>
  </w:font>
  <w:font w:name="仿宋_GB2312">
    <w:panose1 w:val="02010609030101010101"/>
    <w:charset w:val="86"/>
    <w:family w:val="auto"/>
    <w:pitch w:val="default"/>
    <w:sig w:usb0="00000001" w:usb1="080E0000" w:usb2="00000000" w:usb3="00000000" w:csb0="00040000" w:csb1="00000000"/>
    <w:embedRegular r:id="rId3" w:fontKey="{2A2FEAA3-6C78-4DF8-B1CE-8CB7B50F0770}"/>
  </w:font>
  <w:font w:name="楷体_GB2312">
    <w:panose1 w:val="02010609030101010101"/>
    <w:charset w:val="86"/>
    <w:family w:val="auto"/>
    <w:pitch w:val="default"/>
    <w:sig w:usb0="00000001" w:usb1="080E0000" w:usb2="00000000" w:usb3="00000000" w:csb0="00040000" w:csb1="00000000"/>
    <w:embedRegular r:id="rId4" w:fontKey="{DD27846C-0050-4FF1-B71A-BB16AA3CA1B8}"/>
  </w:font>
  <w:font w:name="华文中宋">
    <w:panose1 w:val="02010600040101010101"/>
    <w:charset w:val="86"/>
    <w:family w:val="auto"/>
    <w:pitch w:val="default"/>
    <w:sig w:usb0="00000000" w:usb1="00000000" w:usb2="00000000" w:usb3="00000000" w:csb0="00000000" w:csb1="00000000"/>
    <w:embedRegular r:id="rId5" w:fontKey="{F0F11F12-2860-43CE-8DE5-1F9997F533CB}"/>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TrueTypeFonts/>
  <w:saveSubsetFonts/>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05E3816"/>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97F40"/>
    <w:rsid w:val="120E0809"/>
    <w:rsid w:val="19071D6C"/>
    <w:rsid w:val="19B5554D"/>
    <w:rsid w:val="1AE509AC"/>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2095A"/>
    <w:rsid w:val="282459E2"/>
    <w:rsid w:val="29116777"/>
    <w:rsid w:val="2A053397"/>
    <w:rsid w:val="2A444FB1"/>
    <w:rsid w:val="2A5A03AF"/>
    <w:rsid w:val="2A6064E2"/>
    <w:rsid w:val="2B4C7C4C"/>
    <w:rsid w:val="2B996566"/>
    <w:rsid w:val="2C1965E9"/>
    <w:rsid w:val="2D1136DF"/>
    <w:rsid w:val="2DAE0E44"/>
    <w:rsid w:val="2FD27414"/>
    <w:rsid w:val="313F1D52"/>
    <w:rsid w:val="318029AB"/>
    <w:rsid w:val="31C63837"/>
    <w:rsid w:val="326F0A17"/>
    <w:rsid w:val="3277581B"/>
    <w:rsid w:val="35F83418"/>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300108D"/>
    <w:rsid w:val="543D17CB"/>
    <w:rsid w:val="55DA564E"/>
    <w:rsid w:val="56E07045"/>
    <w:rsid w:val="583059FA"/>
    <w:rsid w:val="587E6212"/>
    <w:rsid w:val="5AFC6609"/>
    <w:rsid w:val="5D227BE7"/>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8B76EAE"/>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qFormat/>
    <w:uiPriority w:val="0"/>
  </w:style>
  <w:style w:type="table" w:default="1" w:styleId="10">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89</Pages>
  <Words>7303</Words>
  <Characters>8619</Characters>
  <Lines>0</Lines>
  <Paragraphs>0</Paragraphs>
  <TotalTime>224</TotalTime>
  <ScaleCrop>false</ScaleCrop>
  <LinksUpToDate>false</LinksUpToDate>
  <CharactersWithSpaces>8643</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cp:lastPrinted>2025-09-03T10:11:00Z</cp:lastPrinted>
  <dcterms:modified xsi:type="dcterms:W3CDTF">2025-09-06T03:55:16Z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y fmtid="{D5CDD505-2E9C-101B-9397-08002B2CF9AE}" pid="3" name="ICV">
    <vt:lpwstr>B858A68E913346F885B5BC17D4DBEB06_13</vt:lpwstr>
  </property>
  <property fmtid="{D5CDD505-2E9C-101B-9397-08002B2CF9AE}" pid="4" name="KSOTemplateDocerSaveRecord">
    <vt:lpwstr>eyJoZGlkIjoiYjc2OWIwYWEwODAyMWYzZDQ3MWM3NTI0ZDMwN2MzZTAiLCJ1c2VySWQiOiIyNTk4NTcxMjUifQ==</vt:lpwstr>
  </property>
</Properties>
</file>