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4B256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麦盖提县农村合作经济发展中心2024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79F3C34">
      <w:r>
        <w:br w:type="page"/>
      </w:r>
    </w:p>
    <w:p w14:paraId="234CB117">
      <w:pPr>
        <w:spacing w:line="640" w:lineRule="exact"/>
        <w:jc w:val="center"/>
        <w:outlineLvl w:val="1"/>
      </w:pPr>
      <w:r>
        <w:rPr>
          <w:rFonts w:ascii="黑体" w:hAnsi="黑体" w:eastAsia="黑体"/>
          <w:sz w:val="32"/>
        </w:rPr>
        <w:t>第一部分 单位概况</w:t>
      </w:r>
    </w:p>
    <w:p w14:paraId="1F7F1CAF">
      <w:pPr>
        <w:spacing w:line="640" w:lineRule="exact"/>
        <w:ind w:firstLine="640"/>
        <w:jc w:val="both"/>
        <w:outlineLvl w:val="2"/>
      </w:pPr>
      <w:r>
        <w:rPr>
          <w:rFonts w:ascii="黑体" w:hAnsi="黑体" w:eastAsia="黑体"/>
          <w:sz w:val="32"/>
        </w:rPr>
        <w:t>一、主要职能</w:t>
      </w:r>
    </w:p>
    <w:p w14:paraId="45835856">
      <w:pPr>
        <w:spacing w:line="580" w:lineRule="exact"/>
        <w:ind w:firstLine="640"/>
        <w:jc w:val="both"/>
      </w:pPr>
      <w:r>
        <w:rPr>
          <w:rFonts w:ascii="仿宋_GB2312" w:hAnsi="仿宋_GB2312" w:eastAsia="仿宋_GB2312"/>
          <w:sz w:val="32"/>
        </w:rPr>
        <w:t>负责农村土地承包经营权确权登记颁证工作、负责农村产权制度改革工作、负责农民负担监管工作、负责农村经济数据统计工作、负责农民专业合作社的业务指导工作、完成县委，县</w:t>
      </w:r>
      <w:r>
        <w:rPr>
          <w:rFonts w:hint="eastAsia" w:ascii="仿宋_GB2312" w:hAnsi="仿宋_GB2312" w:eastAsia="仿宋_GB2312"/>
          <w:sz w:val="32"/>
          <w:lang w:eastAsia="zh-CN"/>
        </w:rPr>
        <w:t>人民政府</w:t>
      </w:r>
      <w:r>
        <w:rPr>
          <w:rFonts w:ascii="仿宋_GB2312" w:hAnsi="仿宋_GB2312" w:eastAsia="仿宋_GB2312"/>
          <w:sz w:val="32"/>
        </w:rPr>
        <w:t>，上级行业单位和农业农村局交办的其他任务。</w:t>
      </w:r>
    </w:p>
    <w:p w14:paraId="5A5146A5">
      <w:pPr>
        <w:spacing w:line="640" w:lineRule="exact"/>
        <w:ind w:firstLine="640"/>
        <w:jc w:val="both"/>
        <w:outlineLvl w:val="2"/>
      </w:pPr>
      <w:r>
        <w:rPr>
          <w:rFonts w:ascii="黑体" w:hAnsi="黑体" w:eastAsia="黑体"/>
          <w:sz w:val="32"/>
        </w:rPr>
        <w:t>二、机构设置及人员情况</w:t>
      </w:r>
    </w:p>
    <w:p w14:paraId="34C5986B">
      <w:pPr>
        <w:spacing w:line="580" w:lineRule="exact"/>
        <w:ind w:firstLine="640"/>
        <w:jc w:val="both"/>
      </w:pPr>
      <w:r>
        <w:rPr>
          <w:rFonts w:ascii="仿宋_GB2312" w:hAnsi="仿宋_GB2312" w:eastAsia="仿宋_GB2312"/>
          <w:sz w:val="32"/>
        </w:rPr>
        <w:t>麦盖提县农村合作经济发展中心2024年度，实有人数21人，其中：在职人员8人，增加0人；离休人员0人，增加0人；退休人员13人,增加0人。</w:t>
      </w:r>
    </w:p>
    <w:p w14:paraId="1191DC66">
      <w:pPr>
        <w:spacing w:line="580" w:lineRule="exact"/>
        <w:ind w:firstLine="640"/>
        <w:jc w:val="both"/>
      </w:pPr>
      <w:r>
        <w:rPr>
          <w:rFonts w:ascii="仿宋_GB2312" w:hAnsi="仿宋_GB2312" w:eastAsia="仿宋_GB2312"/>
          <w:sz w:val="32"/>
        </w:rPr>
        <w:t>麦盖提县农村合作经济发展中心无下属预算单位，下设3个科室，分别是：财务室、业务室、行政办。</w:t>
      </w:r>
    </w:p>
    <w:p w14:paraId="56677ED3">
      <w:r>
        <w:br w:type="page"/>
      </w:r>
    </w:p>
    <w:p w14:paraId="1403851E">
      <w:pPr>
        <w:spacing w:line="240" w:lineRule="auto"/>
        <w:jc w:val="center"/>
        <w:outlineLvl w:val="1"/>
      </w:pPr>
      <w:r>
        <w:rPr>
          <w:rFonts w:ascii="黑体" w:hAnsi="黑体" w:eastAsia="黑体"/>
          <w:sz w:val="32"/>
        </w:rPr>
        <w:t>第二部分 部门决算情况说明</w:t>
      </w:r>
    </w:p>
    <w:p w14:paraId="64089722">
      <w:pPr>
        <w:spacing w:line="640" w:lineRule="exact"/>
        <w:ind w:firstLine="640"/>
        <w:jc w:val="both"/>
        <w:outlineLvl w:val="2"/>
      </w:pPr>
      <w:r>
        <w:rPr>
          <w:rFonts w:ascii="黑体" w:hAnsi="黑体" w:eastAsia="黑体"/>
          <w:sz w:val="32"/>
        </w:rPr>
        <w:t>一、收入支出决算总体情况说明</w:t>
      </w:r>
    </w:p>
    <w:p w14:paraId="6B2C3C68">
      <w:pPr>
        <w:spacing w:line="580" w:lineRule="exact"/>
        <w:ind w:firstLine="640"/>
        <w:jc w:val="both"/>
      </w:pPr>
      <w:r>
        <w:rPr>
          <w:rFonts w:ascii="仿宋_GB2312" w:hAnsi="仿宋_GB2312" w:eastAsia="仿宋_GB2312"/>
          <w:b/>
          <w:sz w:val="32"/>
        </w:rPr>
        <w:t>2024年度收入总计3,041.02万元，</w:t>
      </w:r>
      <w:r>
        <w:rPr>
          <w:rFonts w:ascii="仿宋_GB2312" w:hAnsi="仿宋_GB2312" w:eastAsia="仿宋_GB2312"/>
          <w:b w:val="0"/>
          <w:sz w:val="32"/>
        </w:rPr>
        <w:t>其中：本年收入合计3,041.02万元，使用非财政拨款结余（含专用结余）0.00万元，年初结转和结余0.00万元。</w:t>
      </w:r>
    </w:p>
    <w:p w14:paraId="251461A2">
      <w:pPr>
        <w:spacing w:line="580" w:lineRule="exact"/>
        <w:ind w:firstLine="640"/>
        <w:jc w:val="both"/>
      </w:pPr>
      <w:r>
        <w:rPr>
          <w:rFonts w:ascii="仿宋_GB2312" w:hAnsi="仿宋_GB2312" w:eastAsia="仿宋_GB2312"/>
          <w:b/>
          <w:sz w:val="32"/>
        </w:rPr>
        <w:t>2024年度支出总计3,041.02万元，</w:t>
      </w:r>
      <w:r>
        <w:rPr>
          <w:rFonts w:ascii="仿宋_GB2312" w:hAnsi="仿宋_GB2312" w:eastAsia="仿宋_GB2312"/>
          <w:b w:val="0"/>
          <w:sz w:val="32"/>
        </w:rPr>
        <w:t>其中：本年支出合计3,041.02万元，结余分配0.00万元，年末结转和结余0.00万元。</w:t>
      </w:r>
    </w:p>
    <w:p w14:paraId="7A5B16B5">
      <w:pPr>
        <w:spacing w:line="580" w:lineRule="exact"/>
        <w:ind w:firstLine="640"/>
        <w:jc w:val="both"/>
      </w:pPr>
      <w:r>
        <w:rPr>
          <w:rFonts w:ascii="仿宋_GB2312" w:hAnsi="仿宋_GB2312" w:eastAsia="仿宋_GB2312"/>
          <w:b w:val="0"/>
          <w:sz w:val="32"/>
        </w:rPr>
        <w:t>收入支出总体与上年相比，减少556.07万元，下降15.46%，主要原因是：本年度减少农业保险保费补贴项目资金，导致相关经费减少。</w:t>
      </w:r>
    </w:p>
    <w:p w14:paraId="5DABE7FA">
      <w:pPr>
        <w:spacing w:line="640" w:lineRule="exact"/>
        <w:ind w:firstLine="640"/>
        <w:jc w:val="both"/>
        <w:outlineLvl w:val="2"/>
      </w:pPr>
      <w:r>
        <w:rPr>
          <w:rFonts w:ascii="黑体" w:hAnsi="黑体" w:eastAsia="黑体"/>
          <w:sz w:val="32"/>
        </w:rPr>
        <w:t>二、收入决算情况说明</w:t>
      </w:r>
    </w:p>
    <w:p w14:paraId="5BD1050B">
      <w:pPr>
        <w:spacing w:line="580" w:lineRule="exact"/>
        <w:ind w:firstLine="640"/>
        <w:jc w:val="both"/>
      </w:pPr>
      <w:r>
        <w:rPr>
          <w:rFonts w:ascii="仿宋_GB2312" w:hAnsi="仿宋_GB2312" w:eastAsia="仿宋_GB2312"/>
          <w:b/>
          <w:sz w:val="32"/>
        </w:rPr>
        <w:t>本年收入3,041.02万元，</w:t>
      </w:r>
      <w:r>
        <w:rPr>
          <w:rFonts w:ascii="仿宋_GB2312" w:hAnsi="仿宋_GB2312" w:eastAsia="仿宋_GB2312"/>
          <w:b w:val="0"/>
          <w:sz w:val="32"/>
        </w:rPr>
        <w:t>其中：财政拨款收入3,041.02万元，占100.00%；上级补助收入0.00万元，占0.00%；事业收入0.00万元，占0.00%；经营收入0.00万元，占0.00%；附属单位上缴收入0.00万元，占0.00%；其他收入0.00万元，占0.00%。</w:t>
      </w:r>
    </w:p>
    <w:p w14:paraId="32940F92">
      <w:pPr>
        <w:spacing w:line="640" w:lineRule="exact"/>
        <w:ind w:firstLine="640"/>
        <w:jc w:val="both"/>
        <w:outlineLvl w:val="2"/>
      </w:pPr>
      <w:r>
        <w:rPr>
          <w:rFonts w:ascii="黑体" w:hAnsi="黑体" w:eastAsia="黑体"/>
          <w:sz w:val="32"/>
        </w:rPr>
        <w:t>三、支出决算情况说明</w:t>
      </w:r>
    </w:p>
    <w:p w14:paraId="2CDC4C37">
      <w:pPr>
        <w:spacing w:line="580" w:lineRule="exact"/>
        <w:ind w:firstLine="640"/>
        <w:jc w:val="both"/>
      </w:pPr>
      <w:r>
        <w:rPr>
          <w:rFonts w:ascii="仿宋_GB2312" w:hAnsi="仿宋_GB2312" w:eastAsia="仿宋_GB2312"/>
          <w:b/>
          <w:sz w:val="32"/>
        </w:rPr>
        <w:t>本年支出3,041.02万元，</w:t>
      </w:r>
      <w:r>
        <w:rPr>
          <w:rFonts w:ascii="仿宋_GB2312" w:hAnsi="仿宋_GB2312" w:eastAsia="仿宋_GB2312"/>
          <w:b w:val="0"/>
          <w:sz w:val="32"/>
        </w:rPr>
        <w:t>其中：基本支出179.40万元，占5.90%；项目支出2,861.63万元，占94.10%；上缴上级支出0.00万元，占0.00%；经营支出0.00万元，占0.00%；对附属单位补助支出0.00万元，占0.00%。</w:t>
      </w:r>
    </w:p>
    <w:p w14:paraId="62D1C827">
      <w:pPr>
        <w:spacing w:line="640" w:lineRule="exact"/>
        <w:ind w:firstLine="640"/>
        <w:jc w:val="both"/>
        <w:outlineLvl w:val="2"/>
      </w:pPr>
      <w:r>
        <w:rPr>
          <w:rFonts w:ascii="黑体" w:hAnsi="黑体" w:eastAsia="黑体"/>
          <w:sz w:val="32"/>
        </w:rPr>
        <w:t>四、财政拨款收入支出决算总体情况说明</w:t>
      </w:r>
    </w:p>
    <w:p w14:paraId="5A7651DB">
      <w:pPr>
        <w:spacing w:line="580" w:lineRule="exact"/>
        <w:ind w:firstLine="640"/>
        <w:jc w:val="both"/>
      </w:pPr>
      <w:r>
        <w:rPr>
          <w:rFonts w:ascii="仿宋_GB2312" w:hAnsi="仿宋_GB2312" w:eastAsia="仿宋_GB2312"/>
          <w:b/>
          <w:sz w:val="32"/>
        </w:rPr>
        <w:t>2024年度财政拨款收入总计3,041.02万元，</w:t>
      </w:r>
      <w:r>
        <w:rPr>
          <w:rFonts w:ascii="仿宋_GB2312" w:hAnsi="仿宋_GB2312" w:eastAsia="仿宋_GB2312"/>
          <w:b w:val="0"/>
          <w:sz w:val="32"/>
        </w:rPr>
        <w:t>其中：年初财政拨款结转和结余0.00万元，本年财政拨款收入3,041.02万元。</w:t>
      </w:r>
      <w:r>
        <w:rPr>
          <w:rFonts w:ascii="仿宋_GB2312" w:hAnsi="仿宋_GB2312" w:eastAsia="仿宋_GB2312"/>
          <w:b/>
          <w:sz w:val="32"/>
        </w:rPr>
        <w:t>财政拨款支出总计3,041.02万元，</w:t>
      </w:r>
      <w:r>
        <w:rPr>
          <w:rFonts w:ascii="仿宋_GB2312" w:hAnsi="仿宋_GB2312" w:eastAsia="仿宋_GB2312"/>
          <w:b w:val="0"/>
          <w:sz w:val="32"/>
        </w:rPr>
        <w:t>其中：年末财政拨款结转和结余0.00万元，本年财政拨款支出3,041.02万元。</w:t>
      </w:r>
    </w:p>
    <w:p w14:paraId="169EEB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减少556.07万元，下降15.46%，主要原因是：本年度减少农业保险保费补贴项目资金，导致相关经费减少。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年初预算数3,001.36万元，决算数3,041.02万元，预决算差异率1.32%，主要原因是：本年在职人员工资调薪，工资、社保、公积金等相关人员经费增加，年中追加人员经费。</w:t>
      </w:r>
    </w:p>
    <w:p w14:paraId="5B4D2EB1">
      <w:pPr>
        <w:spacing w:line="640" w:lineRule="exact"/>
        <w:ind w:firstLine="640"/>
        <w:jc w:val="both"/>
        <w:outlineLvl w:val="2"/>
      </w:pPr>
      <w:r>
        <w:rPr>
          <w:rFonts w:ascii="黑体" w:hAnsi="黑体" w:eastAsia="黑体"/>
          <w:sz w:val="32"/>
        </w:rPr>
        <w:t>五、一般公共预算财政拨款支出决算情况说明</w:t>
      </w:r>
    </w:p>
    <w:p w14:paraId="1643781B">
      <w:pPr>
        <w:spacing w:line="640" w:lineRule="exact"/>
        <w:ind w:firstLine="640"/>
        <w:jc w:val="both"/>
        <w:outlineLvl w:val="3"/>
      </w:pPr>
      <w:r>
        <w:rPr>
          <w:rFonts w:ascii="楷体_GB2312" w:hAnsi="楷体_GB2312" w:eastAsia="楷体_GB2312"/>
          <w:b/>
          <w:sz w:val="32"/>
        </w:rPr>
        <w:t>（一）一般公共预算财政拨款支出决算总体情况</w:t>
      </w:r>
    </w:p>
    <w:p w14:paraId="7D4A63BA">
      <w:pPr>
        <w:spacing w:line="580" w:lineRule="exact"/>
        <w:ind w:firstLine="640"/>
        <w:jc w:val="both"/>
      </w:pPr>
      <w:r>
        <w:rPr>
          <w:rFonts w:ascii="仿宋_GB2312" w:hAnsi="仿宋_GB2312" w:eastAsia="仿宋_GB2312"/>
          <w:b/>
          <w:sz w:val="32"/>
        </w:rPr>
        <w:t>2024年度一般公共预算财政拨款支出3,041.02万元，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减少556.07万元，下降15.46%，主要原因是：本年度减少农业保险保费补贴项目资金，导致相关经费减少。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年初预算数3,001.36万元，决算数3,041.02万元，预决算差异率1.32%，主要原因是：本年在职人员工资调薪，工资、社保、公积金等相关人员经费增加，年中追加人员经费。</w:t>
      </w:r>
    </w:p>
    <w:p w14:paraId="024969BD">
      <w:pPr>
        <w:spacing w:line="640" w:lineRule="exact"/>
        <w:ind w:firstLine="640"/>
        <w:jc w:val="both"/>
        <w:outlineLvl w:val="3"/>
      </w:pPr>
      <w:r>
        <w:rPr>
          <w:rFonts w:ascii="楷体_GB2312" w:hAnsi="楷体_GB2312" w:eastAsia="楷体_GB2312"/>
          <w:b/>
          <w:sz w:val="32"/>
        </w:rPr>
        <w:t>（二）一般公共预算财政拨款支出决算结构情况</w:t>
      </w:r>
    </w:p>
    <w:p w14:paraId="70ED5160">
      <w:pPr>
        <w:spacing w:line="580" w:lineRule="exact"/>
        <w:ind w:firstLine="640"/>
        <w:jc w:val="both"/>
      </w:pPr>
      <w:r>
        <w:rPr>
          <w:rFonts w:ascii="仿宋_GB2312" w:hAnsi="仿宋_GB2312" w:eastAsia="仿宋_GB2312"/>
          <w:b w:val="0"/>
          <w:sz w:val="32"/>
        </w:rPr>
        <w:t>1.社会保障和就业支出(类)30.68万元,占1.01%。</w:t>
      </w:r>
    </w:p>
    <w:p w14:paraId="75B36CD8">
      <w:pPr>
        <w:spacing w:line="580" w:lineRule="exact"/>
        <w:ind w:firstLine="640"/>
        <w:jc w:val="both"/>
      </w:pPr>
      <w:r>
        <w:rPr>
          <w:rFonts w:ascii="仿宋_GB2312" w:hAnsi="仿宋_GB2312" w:eastAsia="仿宋_GB2312"/>
          <w:b w:val="0"/>
          <w:sz w:val="32"/>
        </w:rPr>
        <w:t>2.卫生健康支出(类)8.20万元,占0.27%。</w:t>
      </w:r>
    </w:p>
    <w:p w14:paraId="5E22EE45">
      <w:pPr>
        <w:spacing w:line="580" w:lineRule="exact"/>
        <w:ind w:firstLine="640"/>
        <w:jc w:val="both"/>
      </w:pPr>
      <w:r>
        <w:rPr>
          <w:rFonts w:ascii="仿宋_GB2312" w:hAnsi="仿宋_GB2312" w:eastAsia="仿宋_GB2312"/>
          <w:b w:val="0"/>
          <w:sz w:val="32"/>
        </w:rPr>
        <w:t>3.农林水支出(类)2,990.10万元,占98.33%。</w:t>
      </w:r>
    </w:p>
    <w:p w14:paraId="0E79216B">
      <w:pPr>
        <w:spacing w:line="580" w:lineRule="exact"/>
        <w:ind w:firstLine="640"/>
        <w:jc w:val="both"/>
      </w:pPr>
      <w:r>
        <w:rPr>
          <w:rFonts w:ascii="仿宋_GB2312" w:hAnsi="仿宋_GB2312" w:eastAsia="仿宋_GB2312"/>
          <w:b w:val="0"/>
          <w:sz w:val="32"/>
        </w:rPr>
        <w:t>4.住房保障支出(类)12.04万元,占0.40%。</w:t>
      </w:r>
    </w:p>
    <w:p w14:paraId="72A9B19F">
      <w:pPr>
        <w:spacing w:line="640" w:lineRule="exact"/>
        <w:ind w:firstLine="640"/>
        <w:jc w:val="both"/>
        <w:outlineLvl w:val="3"/>
      </w:pPr>
      <w:r>
        <w:rPr>
          <w:rFonts w:ascii="楷体_GB2312" w:hAnsi="楷体_GB2312" w:eastAsia="楷体_GB2312"/>
          <w:b/>
          <w:sz w:val="32"/>
        </w:rPr>
        <w:t>（三）一般公共预算财政拨款支出决算具体情况</w:t>
      </w:r>
    </w:p>
    <w:p w14:paraId="42EFAA5F">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1.社会保障和就业支出(类)行政事业单位养老支出(款)行政单位离退休(项):支出决算数为15.76万元，比上年决算增加4.64万元，增长41.73%,主要原因是：本年增加退休人员基础绩效奖，退休费支出增加。</w:t>
      </w:r>
    </w:p>
    <w:p w14:paraId="26D5BE2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14.92万元，比上年决算增加0.61万元，增长4.26%,主要原因是：本年在职人员工资基数调增，养老缴费基数上涨，相应支出增加。</w:t>
      </w:r>
    </w:p>
    <w:p w14:paraId="4E99E03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14.52万元，下降100.00%,主要原因是：本年无新增退休人员，职业年金缴费较上年减少。</w:t>
      </w:r>
    </w:p>
    <w:p w14:paraId="4C97A8D6">
      <w:pPr>
        <w:spacing w:line="580" w:lineRule="exact"/>
        <w:ind w:firstLine="640"/>
        <w:jc w:val="both"/>
      </w:pPr>
      <w:r>
        <w:rPr>
          <w:rFonts w:ascii="仿宋_GB2312" w:hAnsi="仿宋_GB2312" w:eastAsia="仿宋_GB2312"/>
          <w:b w:val="0"/>
          <w:sz w:val="32"/>
        </w:rPr>
        <w:t>4.卫生健康支出(类)行政事业单位医疗(款)行政单位医疗(项):支出决算数为6.34万元，比上年决算增加0.26万元，增长4.28%,主要原因是：本年在职人员工资基数调增，医疗缴费基数上涨，相应支出增加。</w:t>
      </w:r>
    </w:p>
    <w:p w14:paraId="2BF39D86">
      <w:pPr>
        <w:spacing w:line="580" w:lineRule="exact"/>
        <w:ind w:firstLine="640"/>
        <w:jc w:val="both"/>
      </w:pPr>
      <w:r>
        <w:rPr>
          <w:rFonts w:ascii="仿宋_GB2312" w:hAnsi="仿宋_GB2312" w:eastAsia="仿宋_GB2312"/>
          <w:b w:val="0"/>
          <w:sz w:val="32"/>
        </w:rPr>
        <w:t>5.卫生健康支出(类)行政事业单位医疗(款)公务员医疗补助(项):支出决算数为1.86万元，比上年决算增加0.07万元，增长3.91%,主要原因是：本年在职人员工资基数调增，医疗缴费基数上涨，相应支出增加。</w:t>
      </w:r>
    </w:p>
    <w:p w14:paraId="161DA2C9">
      <w:pPr>
        <w:spacing w:line="580" w:lineRule="exact"/>
        <w:ind w:firstLine="640"/>
        <w:jc w:val="both"/>
      </w:pPr>
      <w:r>
        <w:rPr>
          <w:rFonts w:ascii="仿宋_GB2312" w:hAnsi="仿宋_GB2312" w:eastAsia="仿宋_GB2312"/>
          <w:b w:val="0"/>
          <w:sz w:val="32"/>
        </w:rPr>
        <w:t>6.农林水支出(类)农业农村(款)行政运行(项):支出决算数为128.48万元，比上年决算增加5.90万元，增长4.81%,主要原因是：本年在职人员工资调增，导致相关人员经费较上年有所增加。</w:t>
      </w:r>
    </w:p>
    <w:p w14:paraId="25D96C51">
      <w:pPr>
        <w:spacing w:line="580" w:lineRule="exact"/>
        <w:ind w:firstLine="640"/>
        <w:jc w:val="both"/>
      </w:pPr>
      <w:r>
        <w:rPr>
          <w:rFonts w:ascii="仿宋_GB2312" w:hAnsi="仿宋_GB2312" w:eastAsia="仿宋_GB2312"/>
          <w:b w:val="0"/>
          <w:sz w:val="32"/>
        </w:rPr>
        <w:t>7.农林水支出(类)普惠金融发展支出(款)农业保险保费补贴(项):支出决算数为2,861.63万元，比上年决算减少554.78万元，下降16.24%,主要原因是：本年度减少农业保险保费补贴项目资金，导致相关经费减少。</w:t>
      </w:r>
    </w:p>
    <w:p w14:paraId="28C01AF5">
      <w:pPr>
        <w:spacing w:line="580" w:lineRule="exact"/>
        <w:ind w:firstLine="640"/>
        <w:jc w:val="both"/>
      </w:pPr>
      <w:r>
        <w:rPr>
          <w:rFonts w:ascii="仿宋_GB2312" w:hAnsi="仿宋_GB2312" w:eastAsia="仿宋_GB2312"/>
          <w:b w:val="0"/>
          <w:sz w:val="32"/>
        </w:rPr>
        <w:t>8.住房保障支出(类)住房改革支出(款)住房公积金(项):支出决算数为12.04万元，比上年决算增加1.76万元，增长17.12%,主要原因是：本年在职人员工资基数调增，公积金缴费基数上涨，相应支出增加。</w:t>
      </w:r>
    </w:p>
    <w:p w14:paraId="22335333">
      <w:pPr>
        <w:spacing w:line="640" w:lineRule="exact"/>
        <w:ind w:firstLine="640"/>
        <w:jc w:val="both"/>
        <w:outlineLvl w:val="2"/>
      </w:pPr>
      <w:r>
        <w:rPr>
          <w:rFonts w:ascii="黑体" w:hAnsi="黑体" w:eastAsia="黑体"/>
          <w:sz w:val="32"/>
        </w:rPr>
        <w:t>六、一般公共预算财政拨款基本支出决算情况说明</w:t>
      </w:r>
    </w:p>
    <w:p w14:paraId="65857DBC">
      <w:pPr>
        <w:spacing w:line="580" w:lineRule="exact"/>
        <w:ind w:firstLine="640"/>
        <w:jc w:val="both"/>
      </w:pPr>
      <w:r>
        <w:rPr>
          <w:rFonts w:ascii="仿宋_GB2312" w:hAnsi="仿宋_GB2312" w:eastAsia="仿宋_GB2312"/>
          <w:b w:val="0"/>
          <w:sz w:val="32"/>
        </w:rPr>
        <w:t>2024年度一般公共预算财政拨款基本支出179.40万元，其中：</w:t>
      </w:r>
      <w:r>
        <w:rPr>
          <w:rFonts w:ascii="仿宋_GB2312" w:hAnsi="仿宋_GB2312" w:eastAsia="仿宋_GB2312"/>
          <w:b/>
          <w:sz w:val="32"/>
        </w:rPr>
        <w:t>人员经费169.99万元，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19C1F8FE">
      <w:pPr>
        <w:spacing w:line="580" w:lineRule="exact"/>
        <w:ind w:firstLine="640"/>
        <w:jc w:val="both"/>
      </w:pPr>
      <w:r>
        <w:rPr>
          <w:rFonts w:ascii="仿宋_GB2312" w:hAnsi="仿宋_GB2312" w:eastAsia="仿宋_GB2312"/>
          <w:b/>
          <w:sz w:val="32"/>
        </w:rPr>
        <w:t>公用经费9.41万元，</w:t>
      </w:r>
      <w:r>
        <w:rPr>
          <w:rFonts w:ascii="仿宋_GB2312" w:hAnsi="仿宋_GB2312" w:eastAsia="仿宋_GB2312"/>
          <w:b w:val="0"/>
          <w:sz w:val="32"/>
        </w:rPr>
        <w:t>包括：办公费、邮电费、差旅费、公务用车运行维护费。</w:t>
      </w:r>
    </w:p>
    <w:p w14:paraId="4039894F">
      <w:pPr>
        <w:spacing w:line="640" w:lineRule="exact"/>
        <w:ind w:firstLine="640"/>
        <w:jc w:val="both"/>
        <w:outlineLvl w:val="2"/>
      </w:pPr>
      <w:r>
        <w:rPr>
          <w:rFonts w:ascii="黑体" w:hAnsi="黑体" w:eastAsia="黑体"/>
          <w:sz w:val="32"/>
        </w:rPr>
        <w:t>七、政府性基金预算财政拨款收入支出决算情况说明</w:t>
      </w:r>
    </w:p>
    <w:p w14:paraId="6F60BEE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9379B4">
      <w:pPr>
        <w:spacing w:line="640" w:lineRule="exact"/>
        <w:ind w:firstLine="640"/>
        <w:jc w:val="both"/>
        <w:outlineLvl w:val="2"/>
      </w:pPr>
      <w:r>
        <w:rPr>
          <w:rFonts w:ascii="黑体" w:hAnsi="黑体" w:eastAsia="黑体"/>
          <w:sz w:val="32"/>
        </w:rPr>
        <w:t>八、国有资本经营预算财政拨款收入支出决算情况说明</w:t>
      </w:r>
    </w:p>
    <w:p w14:paraId="27961D9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1B7D94">
      <w:pPr>
        <w:spacing w:line="640" w:lineRule="exact"/>
        <w:ind w:firstLine="640"/>
        <w:jc w:val="both"/>
        <w:outlineLvl w:val="2"/>
      </w:pPr>
      <w:r>
        <w:rPr>
          <w:rFonts w:ascii="黑体" w:hAnsi="黑体" w:eastAsia="黑体"/>
          <w:sz w:val="32"/>
        </w:rPr>
        <w:t>九、财政拨款“三公”经费支出决算情况说明</w:t>
      </w:r>
    </w:p>
    <w:p w14:paraId="42FD646E">
      <w:pPr>
        <w:spacing w:line="580" w:lineRule="exact"/>
        <w:ind w:firstLine="640"/>
        <w:jc w:val="both"/>
      </w:pPr>
      <w:r>
        <w:rPr>
          <w:rFonts w:ascii="仿宋_GB2312" w:hAnsi="仿宋_GB2312" w:eastAsia="仿宋_GB2312"/>
          <w:b/>
          <w:sz w:val="32"/>
        </w:rPr>
        <w:t>2024年度财政拨款“三公”经费支出6.91万元，</w:t>
      </w:r>
      <w:r>
        <w:rPr>
          <w:rFonts w:ascii="仿宋_GB2312" w:hAnsi="仿宋_GB2312" w:eastAsia="仿宋_GB2312"/>
          <w:b w:val="0"/>
          <w:sz w:val="32"/>
        </w:rPr>
        <w:t>比上年增加1.63万元，增长30.87%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6.91万元，占100.00%，比上年增加1.63万元，增长30.87%，主要原因是：本年因业务需求，用车次数增加，燃油费增加，导致公务用车运行维护费较上年增加。公务接待费支出0.00万元，占0.00%，比上年增加0.00万元，增长0.00%，主要原因是：2023年与2024年均未安排公务接待费支出。</w:t>
      </w:r>
    </w:p>
    <w:p w14:paraId="413B0044">
      <w:pPr>
        <w:spacing w:line="580" w:lineRule="exact"/>
        <w:ind w:firstLine="640"/>
        <w:jc w:val="both"/>
      </w:pPr>
      <w:r>
        <w:rPr>
          <w:rFonts w:ascii="仿宋_GB2312" w:hAnsi="仿宋_GB2312" w:eastAsia="仿宋_GB2312"/>
          <w:b/>
          <w:sz w:val="32"/>
        </w:rPr>
        <w:t>具体情况如下：</w:t>
      </w:r>
    </w:p>
    <w:p w14:paraId="3AD2083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CCC2BE5">
      <w:pPr>
        <w:spacing w:line="580" w:lineRule="exact"/>
        <w:ind w:firstLine="640"/>
        <w:jc w:val="both"/>
      </w:pPr>
      <w:r>
        <w:rPr>
          <w:rFonts w:ascii="仿宋_GB2312" w:hAnsi="仿宋_GB2312" w:eastAsia="仿宋_GB2312"/>
          <w:b w:val="0"/>
          <w:sz w:val="32"/>
        </w:rPr>
        <w:t>公务用车购置及运行维护费6.91万元，其中：公务用车购置费0.00万元，公务用车运行维护费6.91万元。公务用车运行维护费开支内容包括车辆燃油费、保险费、维修维护费、过路费。公务用车购置数0辆，公务用车保有量2辆。国有资产占用情况中固定资产车辆2辆，与公务用车保有量差异原因是：本单位固定资产车辆与公务用车保有量一致无差异。</w:t>
      </w:r>
    </w:p>
    <w:p w14:paraId="31E8DB3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4640D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6.91万元，决算数6.91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6.91万元，决算数6.91万元，预决算差异率0.00%，主要原因是：严格按照预算执行，预决算无差异。公务接待费全年预算数0.00万元，决算数0.00万元，预决算差异率0.00%，主要原因是：本单位无公务接待费。</w:t>
      </w:r>
    </w:p>
    <w:p w14:paraId="30BE1583">
      <w:pPr>
        <w:spacing w:line="640" w:lineRule="exact"/>
        <w:ind w:firstLine="640"/>
        <w:jc w:val="both"/>
        <w:outlineLvl w:val="2"/>
      </w:pPr>
      <w:r>
        <w:rPr>
          <w:rFonts w:ascii="黑体" w:hAnsi="黑体" w:eastAsia="黑体"/>
          <w:sz w:val="32"/>
        </w:rPr>
        <w:t>十、其他重要事项的情况说明</w:t>
      </w:r>
    </w:p>
    <w:p w14:paraId="6564C2B8">
      <w:pPr>
        <w:spacing w:line="640" w:lineRule="exact"/>
        <w:ind w:firstLine="640"/>
        <w:jc w:val="both"/>
        <w:outlineLvl w:val="3"/>
      </w:pPr>
      <w:r>
        <w:rPr>
          <w:rFonts w:ascii="楷体_GB2312" w:hAnsi="楷体_GB2312" w:eastAsia="楷体_GB2312"/>
          <w:b/>
          <w:sz w:val="32"/>
        </w:rPr>
        <w:t>（一）机关运行经费及公用经费支出情况</w:t>
      </w:r>
    </w:p>
    <w:p w14:paraId="17812F51">
      <w:pPr>
        <w:spacing w:line="580" w:lineRule="exact"/>
        <w:ind w:firstLine="640"/>
        <w:jc w:val="both"/>
      </w:pPr>
      <w:r>
        <w:rPr>
          <w:rFonts w:ascii="仿宋_GB2312" w:hAnsi="仿宋_GB2312" w:eastAsia="仿宋_GB2312"/>
          <w:b w:val="0"/>
          <w:sz w:val="32"/>
        </w:rPr>
        <w:t>2024年度麦盖提县农村合作经济发展中心（行政单位和参照公务员法管理事业单位）机关运行经费支出9.41万元，比上年增加3.36万元，增长55.54%，主要原因是：本年因业务需求，更新、维护补充办公用品，办公费、差旅费、公务用车运行维护费增加，导致机关运行经费较上年增加。</w:t>
      </w:r>
    </w:p>
    <w:p w14:paraId="7C81FCA8">
      <w:pPr>
        <w:spacing w:line="640" w:lineRule="exact"/>
        <w:ind w:firstLine="640"/>
        <w:jc w:val="both"/>
        <w:outlineLvl w:val="3"/>
      </w:pPr>
      <w:r>
        <w:rPr>
          <w:rFonts w:ascii="楷体_GB2312" w:hAnsi="楷体_GB2312" w:eastAsia="楷体_GB2312"/>
          <w:b/>
          <w:sz w:val="32"/>
        </w:rPr>
        <w:t>（二）政府采购情况</w:t>
      </w:r>
    </w:p>
    <w:p w14:paraId="684B7B75">
      <w:pPr>
        <w:spacing w:line="580" w:lineRule="exact"/>
        <w:ind w:firstLine="640"/>
        <w:jc w:val="both"/>
      </w:pPr>
      <w:r>
        <w:rPr>
          <w:rFonts w:ascii="仿宋_GB2312" w:hAnsi="仿宋_GB2312" w:eastAsia="仿宋_GB2312"/>
          <w:b w:val="0"/>
          <w:sz w:val="32"/>
        </w:rPr>
        <w:t>2024年度政府采购支出总额6.45万元，其中：政府采购货物支出0.59万元、政府采购工程支出0.00万元、政府采购服务支出5.86万元。</w:t>
      </w:r>
    </w:p>
    <w:p w14:paraId="7A474B5C">
      <w:pPr>
        <w:spacing w:line="580" w:lineRule="exact"/>
        <w:ind w:firstLine="640"/>
        <w:jc w:val="both"/>
      </w:pPr>
      <w:r>
        <w:rPr>
          <w:rFonts w:ascii="仿宋_GB2312" w:hAnsi="仿宋_GB2312" w:eastAsia="仿宋_GB2312"/>
          <w:b w:val="0"/>
          <w:sz w:val="32"/>
        </w:rPr>
        <w:t>授予中小企业合同金额5.89万元，占政府采购支出总额的91.32%，其中：授予小微企业合同金额5.89万元，占政府采购支出总额的91.32%。</w:t>
      </w:r>
    </w:p>
    <w:p w14:paraId="27ED3E2E">
      <w:pPr>
        <w:spacing w:line="640" w:lineRule="exact"/>
        <w:ind w:firstLine="640"/>
        <w:jc w:val="both"/>
        <w:outlineLvl w:val="3"/>
      </w:pPr>
      <w:r>
        <w:rPr>
          <w:rFonts w:ascii="楷体_GB2312" w:hAnsi="楷体_GB2312" w:eastAsia="楷体_GB2312"/>
          <w:b/>
          <w:sz w:val="32"/>
        </w:rPr>
        <w:t>（三）国有资产占用情况说明</w:t>
      </w:r>
    </w:p>
    <w:p w14:paraId="34634759">
      <w:pPr>
        <w:spacing w:line="580" w:lineRule="exact"/>
        <w:ind w:firstLine="640"/>
        <w:jc w:val="both"/>
      </w:pPr>
      <w:r>
        <w:rPr>
          <w:rFonts w:ascii="仿宋_GB2312" w:hAnsi="仿宋_GB2312" w:eastAsia="仿宋_GB2312"/>
          <w:b w:val="0"/>
          <w:sz w:val="32"/>
        </w:rPr>
        <w:t>截至2024年12月31日，房屋0.00平方米，价值0.00万元。车辆2辆，价值22.60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094B924">
      <w:pPr>
        <w:spacing w:line="640" w:lineRule="exact"/>
        <w:ind w:firstLine="640"/>
        <w:jc w:val="both"/>
        <w:outlineLvl w:val="2"/>
      </w:pPr>
      <w:r>
        <w:rPr>
          <w:rFonts w:ascii="黑体" w:hAnsi="黑体" w:eastAsia="黑体"/>
          <w:sz w:val="32"/>
        </w:rPr>
        <w:t>十一、预算绩效的情况说明</w:t>
      </w:r>
    </w:p>
    <w:p w14:paraId="43B9E28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w:t>
      </w:r>
      <w:bookmarkStart w:id="0" w:name="_GoBack"/>
      <w:bookmarkEnd w:id="0"/>
    </w:p>
    <w:p w14:paraId="18CF5A94">
      <w:r>
        <w:br w:type="page"/>
      </w:r>
    </w:p>
    <w:p w14:paraId="1766AD15">
      <w:pPr>
        <w:spacing w:line="640" w:lineRule="exact"/>
        <w:ind w:firstLine="640"/>
        <w:jc w:val="both"/>
        <w:outlineLvl w:val="2"/>
      </w:pPr>
      <w:r>
        <w:rPr>
          <w:rFonts w:ascii="黑体" w:hAnsi="黑体" w:eastAsia="黑体"/>
          <w:sz w:val="32"/>
        </w:rPr>
        <w:t>十二、其他需说明的事项</w:t>
      </w:r>
    </w:p>
    <w:p w14:paraId="04DF055B">
      <w:pPr>
        <w:spacing w:line="580" w:lineRule="exact"/>
        <w:ind w:firstLine="640"/>
        <w:jc w:val="both"/>
      </w:pPr>
      <w:r>
        <w:rPr>
          <w:rFonts w:ascii="仿宋_GB2312" w:hAnsi="仿宋_GB2312" w:eastAsia="仿宋_GB2312"/>
          <w:b w:val="0"/>
          <w:sz w:val="32"/>
        </w:rPr>
        <w:t>本年度本单位整体绩效自评表由农业农村局编报并公开。</w:t>
      </w:r>
    </w:p>
    <w:p w14:paraId="3A69215E">
      <w:r>
        <w:br w:type="page"/>
      </w:r>
    </w:p>
    <w:p w14:paraId="07A041FC">
      <w:pPr>
        <w:spacing w:line="240" w:lineRule="auto"/>
        <w:jc w:val="center"/>
        <w:outlineLvl w:val="1"/>
      </w:pPr>
      <w:r>
        <w:rPr>
          <w:rFonts w:ascii="黑体" w:hAnsi="黑体" w:eastAsia="黑体"/>
          <w:sz w:val="32"/>
        </w:rPr>
        <w:t>第三部分 专业名词解释</w:t>
      </w:r>
    </w:p>
    <w:p w14:paraId="7DD8347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60949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87670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37DAE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DD3C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956E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F843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81129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AE2B1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A1EE4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DDD82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4264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88308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80DB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59D6A2">
      <w:r>
        <w:br w:type="page"/>
      </w:r>
    </w:p>
    <w:p w14:paraId="692C615E">
      <w:pPr>
        <w:spacing w:line="240" w:lineRule="auto"/>
        <w:jc w:val="center"/>
        <w:outlineLvl w:val="1"/>
      </w:pPr>
      <w:r>
        <w:rPr>
          <w:rFonts w:ascii="黑体" w:hAnsi="黑体" w:eastAsia="黑体"/>
          <w:sz w:val="32"/>
        </w:rPr>
        <w:t>第四部分 部门决算报表（见附表）</w:t>
      </w:r>
    </w:p>
    <w:p w14:paraId="70255F96">
      <w:pPr>
        <w:spacing w:line="240" w:lineRule="auto"/>
        <w:ind w:firstLine="640"/>
        <w:jc w:val="both"/>
      </w:pPr>
      <w:r>
        <w:rPr>
          <w:rFonts w:ascii="仿宋_GB2312" w:hAnsi="仿宋_GB2312" w:eastAsia="仿宋_GB2312"/>
          <w:b w:val="0"/>
          <w:sz w:val="32"/>
        </w:rPr>
        <w:t>一、《收入支出决算总表》</w:t>
      </w:r>
    </w:p>
    <w:p w14:paraId="40F0C7E9">
      <w:pPr>
        <w:spacing w:line="240" w:lineRule="auto"/>
        <w:ind w:firstLine="640"/>
        <w:jc w:val="both"/>
      </w:pPr>
      <w:r>
        <w:rPr>
          <w:rFonts w:ascii="仿宋_GB2312" w:hAnsi="仿宋_GB2312" w:eastAsia="仿宋_GB2312"/>
          <w:b w:val="0"/>
          <w:sz w:val="32"/>
        </w:rPr>
        <w:t>二、《收入决算表》</w:t>
      </w:r>
    </w:p>
    <w:p w14:paraId="2A11AC70">
      <w:pPr>
        <w:spacing w:line="240" w:lineRule="auto"/>
        <w:ind w:firstLine="640"/>
        <w:jc w:val="both"/>
      </w:pPr>
      <w:r>
        <w:rPr>
          <w:rFonts w:ascii="仿宋_GB2312" w:hAnsi="仿宋_GB2312" w:eastAsia="仿宋_GB2312"/>
          <w:b w:val="0"/>
          <w:sz w:val="32"/>
        </w:rPr>
        <w:t>三、《支出决算表》</w:t>
      </w:r>
    </w:p>
    <w:p w14:paraId="0565F094">
      <w:pPr>
        <w:spacing w:line="240" w:lineRule="auto"/>
        <w:ind w:firstLine="640"/>
        <w:jc w:val="both"/>
      </w:pPr>
      <w:r>
        <w:rPr>
          <w:rFonts w:ascii="仿宋_GB2312" w:hAnsi="仿宋_GB2312" w:eastAsia="仿宋_GB2312"/>
          <w:b w:val="0"/>
          <w:sz w:val="32"/>
        </w:rPr>
        <w:t>四、《财政拨款收入支出决算总表》</w:t>
      </w:r>
    </w:p>
    <w:p w14:paraId="540FB2C8">
      <w:pPr>
        <w:spacing w:line="240" w:lineRule="auto"/>
        <w:ind w:firstLine="640"/>
        <w:jc w:val="both"/>
      </w:pPr>
      <w:r>
        <w:rPr>
          <w:rFonts w:ascii="仿宋_GB2312" w:hAnsi="仿宋_GB2312" w:eastAsia="仿宋_GB2312"/>
          <w:b w:val="0"/>
          <w:sz w:val="32"/>
        </w:rPr>
        <w:t>五、《一般公共预算财政拨款支出决算表》</w:t>
      </w:r>
    </w:p>
    <w:p w14:paraId="7C16E9A7">
      <w:pPr>
        <w:spacing w:line="240" w:lineRule="auto"/>
        <w:ind w:firstLine="640"/>
        <w:jc w:val="both"/>
      </w:pPr>
      <w:r>
        <w:rPr>
          <w:rFonts w:ascii="仿宋_GB2312" w:hAnsi="仿宋_GB2312" w:eastAsia="仿宋_GB2312"/>
          <w:b w:val="0"/>
          <w:sz w:val="32"/>
        </w:rPr>
        <w:t>六、《一般公共预算财政拨款基本支出决算表》</w:t>
      </w:r>
    </w:p>
    <w:p w14:paraId="0401755B">
      <w:pPr>
        <w:spacing w:line="240" w:lineRule="auto"/>
        <w:ind w:firstLine="640"/>
        <w:jc w:val="both"/>
      </w:pPr>
      <w:r>
        <w:rPr>
          <w:rFonts w:ascii="仿宋_GB2312" w:hAnsi="仿宋_GB2312" w:eastAsia="仿宋_GB2312"/>
          <w:b w:val="0"/>
          <w:sz w:val="32"/>
        </w:rPr>
        <w:t>七、《政府性基金预算财政拨款收入支出决算表》</w:t>
      </w:r>
    </w:p>
    <w:p w14:paraId="62646A2A">
      <w:pPr>
        <w:spacing w:line="240" w:lineRule="auto"/>
        <w:ind w:firstLine="640"/>
        <w:jc w:val="both"/>
      </w:pPr>
      <w:r>
        <w:rPr>
          <w:rFonts w:ascii="仿宋_GB2312" w:hAnsi="仿宋_GB2312" w:eastAsia="仿宋_GB2312"/>
          <w:b w:val="0"/>
          <w:sz w:val="32"/>
        </w:rPr>
        <w:t>八、《国有资本经营预算财政拨款收入支出决算表》</w:t>
      </w:r>
    </w:p>
    <w:p w14:paraId="58B8935D">
      <w:pPr>
        <w:spacing w:line="240" w:lineRule="auto"/>
        <w:ind w:firstLine="640"/>
        <w:jc w:val="both"/>
      </w:pPr>
      <w:r>
        <w:rPr>
          <w:rFonts w:ascii="仿宋_GB2312" w:hAnsi="仿宋_GB2312" w:eastAsia="仿宋_GB2312"/>
          <w:b w:val="0"/>
          <w:sz w:val="32"/>
        </w:rPr>
        <w:t>九、《财政拨款“三公”经费支出决算表》</w:t>
      </w:r>
    </w:p>
    <w:p w14:paraId="10B63ED7">
      <w:pPr>
        <w:spacing w:line="240" w:lineRule="auto"/>
        <w:ind w:firstLine="640"/>
        <w:jc w:val="both"/>
      </w:pPr>
    </w:p>
    <w:p w14:paraId="6ECF7759">
      <w:pPr>
        <w:spacing w:line="240" w:lineRule="auto"/>
        <w:ind w:firstLine="640"/>
        <w:jc w:val="both"/>
      </w:pPr>
    </w:p>
    <w:p w14:paraId="719FCD1E">
      <w:pPr>
        <w:spacing w:line="240" w:lineRule="auto"/>
        <w:ind w:firstLine="640"/>
        <w:jc w:val="both"/>
      </w:pPr>
    </w:p>
    <w:p w14:paraId="59D8A79C">
      <w:pPr>
        <w:spacing w:line="240" w:lineRule="auto"/>
        <w:ind w:firstLine="640"/>
        <w:jc w:val="both"/>
      </w:pPr>
    </w:p>
    <w:p w14:paraId="2E5DAF1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4006FD"/>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555847"/>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5149</Words>
  <Characters>5810</Characters>
  <Lines>0</Lines>
  <Paragraphs>0</Paragraphs>
  <TotalTime>3</TotalTime>
  <ScaleCrop>false</ScaleCrop>
  <LinksUpToDate>false</LinksUpToDate>
  <CharactersWithSpaces>5820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2025-08-29T10:48:16Z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eyJoZGlkIjoiNDg4ZTU2ZTRlNTdiNzJkNDA1YTllMzlkYTg4N2RlNjgiLCJ1c2VySWQiOiIyNTk4NTcxMjUifQ==</vt:lpwstr>
  </property>
</Properties>
</file>