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麦盖提县乡村振兴局2024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837D489">
      <w:r>
        <w:br w:type="page"/>
      </w:r>
    </w:p>
    <w:p w14:paraId="757B3FBC">
      <w:pPr>
        <w:spacing w:line="640" w:lineRule="exact"/>
        <w:jc w:val="center"/>
        <w:outlineLvl w:val="1"/>
      </w:pPr>
      <w:r>
        <w:rPr>
          <w:rFonts w:ascii="黑体" w:hAnsi="黑体" w:eastAsia="黑体"/>
          <w:sz w:val="32"/>
        </w:rPr>
        <w:t>第一部分 单位概况</w:t>
      </w:r>
    </w:p>
    <w:p w14:paraId="0C9B6FBB">
      <w:pPr>
        <w:spacing w:line="640" w:lineRule="exact"/>
        <w:ind w:firstLine="640"/>
        <w:jc w:val="both"/>
        <w:outlineLvl w:val="2"/>
      </w:pPr>
      <w:r>
        <w:rPr>
          <w:rFonts w:ascii="黑体" w:hAnsi="黑体" w:eastAsia="黑体"/>
          <w:sz w:val="32"/>
        </w:rPr>
        <w:t>一、主要职能</w:t>
      </w:r>
    </w:p>
    <w:p w14:paraId="61E6C3A3">
      <w:pPr>
        <w:spacing w:line="580" w:lineRule="exact"/>
        <w:ind w:firstLine="640"/>
        <w:jc w:val="both"/>
      </w:pPr>
      <w:r>
        <w:rPr>
          <w:rFonts w:hint="eastAsia" w:ascii="仿宋_GB2312" w:hAnsi="仿宋_GB2312" w:eastAsia="仿宋_GB2312"/>
          <w:sz w:val="32"/>
          <w:lang w:val="en-US" w:eastAsia="zh-CN"/>
        </w:rPr>
        <w:t>1.</w:t>
      </w:r>
      <w:r>
        <w:rPr>
          <w:rFonts w:ascii="仿宋_GB2312" w:hAnsi="仿宋_GB2312" w:eastAsia="仿宋_GB2312"/>
          <w:sz w:val="32"/>
        </w:rPr>
        <w:t>贯彻执行国家、自治区、地区、县委巩固拓展脱贫攻坚成果同乡村振兴有效衔接工作的法律法规、方针政策，研究拟定麦盖提县巩固拓展脱贫攻坚成果同乡村振兴有效衔接工作战略规划和年度计划。</w:t>
      </w:r>
    </w:p>
    <w:p w14:paraId="70940C3B">
      <w:pPr>
        <w:spacing w:line="580" w:lineRule="exact"/>
        <w:ind w:firstLine="640"/>
        <w:jc w:val="both"/>
      </w:pPr>
      <w:r>
        <w:rPr>
          <w:rFonts w:hint="eastAsia" w:ascii="仿宋_GB2312" w:hAnsi="仿宋_GB2312" w:eastAsia="仿宋_GB2312"/>
          <w:sz w:val="32"/>
          <w:lang w:val="en-US" w:eastAsia="zh-CN"/>
        </w:rPr>
        <w:t>2.</w:t>
      </w:r>
      <w:r>
        <w:rPr>
          <w:rFonts w:ascii="仿宋_GB2312" w:hAnsi="仿宋_GB2312" w:eastAsia="仿宋_GB2312"/>
          <w:sz w:val="32"/>
        </w:rPr>
        <w:t>制定全县</w:t>
      </w:r>
      <w:r>
        <w:rPr>
          <w:rFonts w:hint="eastAsia" w:ascii="仿宋_GB2312" w:hAnsi="仿宋_GB2312" w:eastAsia="仿宋_GB2312"/>
          <w:sz w:val="32"/>
          <w:lang w:eastAsia="zh-CN"/>
        </w:rPr>
        <w:t>巩固拓展脱贫攻坚成果同乡村振兴有效衔接</w:t>
      </w:r>
      <w:r>
        <w:rPr>
          <w:rFonts w:ascii="仿宋_GB2312" w:hAnsi="仿宋_GB2312" w:eastAsia="仿宋_GB2312"/>
          <w:sz w:val="32"/>
        </w:rPr>
        <w:t>项目规划和年度计划，指导项目实施，监督检查项目执行情况。</w:t>
      </w:r>
    </w:p>
    <w:p w14:paraId="770A24C8">
      <w:pPr>
        <w:spacing w:line="580" w:lineRule="exact"/>
        <w:ind w:firstLine="640"/>
        <w:jc w:val="both"/>
      </w:pPr>
      <w:r>
        <w:rPr>
          <w:rFonts w:hint="eastAsia" w:ascii="仿宋_GB2312" w:hAnsi="仿宋_GB2312" w:eastAsia="仿宋_GB2312"/>
          <w:sz w:val="32"/>
          <w:lang w:val="en-US" w:eastAsia="zh-CN"/>
        </w:rPr>
        <w:t>3.</w:t>
      </w:r>
      <w:r>
        <w:rPr>
          <w:rFonts w:ascii="仿宋_GB2312" w:hAnsi="仿宋_GB2312" w:eastAsia="仿宋_GB2312"/>
          <w:sz w:val="32"/>
        </w:rPr>
        <w:t>协调产业发展，引导扶持龙头企业发展。</w:t>
      </w:r>
    </w:p>
    <w:p w14:paraId="384057FF">
      <w:pPr>
        <w:spacing w:line="580" w:lineRule="exact"/>
        <w:ind w:firstLine="640"/>
        <w:jc w:val="both"/>
      </w:pPr>
      <w:r>
        <w:rPr>
          <w:rFonts w:hint="eastAsia" w:ascii="仿宋_GB2312" w:hAnsi="仿宋_GB2312" w:eastAsia="仿宋_GB2312"/>
          <w:sz w:val="32"/>
          <w:lang w:val="en-US" w:eastAsia="zh-CN"/>
        </w:rPr>
        <w:t>4.</w:t>
      </w:r>
      <w:r>
        <w:rPr>
          <w:rFonts w:ascii="仿宋_GB2312" w:hAnsi="仿宋_GB2312" w:eastAsia="仿宋_GB2312"/>
          <w:sz w:val="32"/>
        </w:rPr>
        <w:t>编制并组织实施脱贫劳动力、乡村干部培训计划；组织乡村两级落实好巩固拓展脱贫攻坚成果同乡村振兴有效衔接重点工作。</w:t>
      </w:r>
    </w:p>
    <w:p w14:paraId="134A28C9">
      <w:pPr>
        <w:spacing w:line="580" w:lineRule="exact"/>
        <w:ind w:firstLine="640"/>
        <w:jc w:val="both"/>
      </w:pPr>
      <w:r>
        <w:rPr>
          <w:rFonts w:hint="eastAsia" w:ascii="仿宋_GB2312" w:hAnsi="仿宋_GB2312" w:eastAsia="仿宋_GB2312"/>
          <w:sz w:val="32"/>
          <w:lang w:val="en-US" w:eastAsia="zh-CN"/>
        </w:rPr>
        <w:t>5.</w:t>
      </w:r>
      <w:r>
        <w:rPr>
          <w:rFonts w:ascii="仿宋_GB2312" w:hAnsi="仿宋_GB2312" w:eastAsia="仿宋_GB2312"/>
          <w:sz w:val="32"/>
        </w:rPr>
        <w:t>组织协调定点帮扶、区内协作、社会帮扶工作；动员社会各界广泛参与乡村振兴，协助引进人才、技术、资金和设备。</w:t>
      </w:r>
    </w:p>
    <w:p w14:paraId="65E60FAA">
      <w:pPr>
        <w:spacing w:line="580" w:lineRule="exact"/>
        <w:ind w:firstLine="640"/>
        <w:jc w:val="both"/>
      </w:pPr>
      <w:r>
        <w:rPr>
          <w:rFonts w:hint="eastAsia" w:ascii="仿宋_GB2312" w:hAnsi="仿宋_GB2312" w:eastAsia="仿宋_GB2312"/>
          <w:sz w:val="32"/>
          <w:lang w:val="en-US" w:eastAsia="zh-CN"/>
        </w:rPr>
        <w:t>6.</w:t>
      </w:r>
      <w:r>
        <w:rPr>
          <w:rFonts w:ascii="仿宋_GB2312" w:hAnsi="仿宋_GB2312" w:eastAsia="仿宋_GB2312"/>
          <w:sz w:val="32"/>
        </w:rPr>
        <w:t>开展乡村振兴交流、沟通与联系，争取外部资金对麦盖提县的援助并组织实施援助衔接项目。</w:t>
      </w:r>
    </w:p>
    <w:p w14:paraId="2534961D">
      <w:pPr>
        <w:spacing w:line="580" w:lineRule="exact"/>
        <w:ind w:firstLine="640"/>
        <w:jc w:val="both"/>
      </w:pPr>
      <w:r>
        <w:rPr>
          <w:rFonts w:hint="eastAsia" w:ascii="仿宋_GB2312" w:hAnsi="仿宋_GB2312" w:eastAsia="仿宋_GB2312"/>
          <w:sz w:val="32"/>
          <w:lang w:val="en-US" w:eastAsia="zh-CN"/>
        </w:rPr>
        <w:t>7.</w:t>
      </w:r>
      <w:r>
        <w:rPr>
          <w:rFonts w:ascii="仿宋_GB2312" w:hAnsi="仿宋_GB2312" w:eastAsia="仿宋_GB2312"/>
          <w:sz w:val="32"/>
        </w:rPr>
        <w:t>拟定年度巩固拓展脱贫攻坚成果同乡村振兴有效衔接方案，组织对巩固拓展脱贫攻坚成果情况进行统计和动态监测，开展防返贫致贫信息的统计监测工作，负责脱贫户和监测对象管理。</w:t>
      </w:r>
    </w:p>
    <w:p w14:paraId="4768859A">
      <w:pPr>
        <w:spacing w:line="580" w:lineRule="exact"/>
        <w:ind w:firstLine="640"/>
        <w:jc w:val="both"/>
      </w:pPr>
      <w:r>
        <w:rPr>
          <w:rFonts w:hint="eastAsia" w:ascii="仿宋_GB2312" w:hAnsi="仿宋_GB2312" w:eastAsia="仿宋_GB2312"/>
          <w:sz w:val="32"/>
          <w:lang w:val="en-US" w:eastAsia="zh-CN"/>
        </w:rPr>
        <w:t>8.</w:t>
      </w:r>
      <w:r>
        <w:rPr>
          <w:rFonts w:ascii="仿宋_GB2312" w:hAnsi="仿宋_GB2312" w:eastAsia="仿宋_GB2312"/>
          <w:sz w:val="32"/>
        </w:rPr>
        <w:t>指导全县巩固拓展脱贫攻坚成果同乡村振兴有效衔接领域问题整改工作，负责开展巩固拓展脱贫攻坚成果同乡村振兴有效衔接政策培训工作。</w:t>
      </w:r>
    </w:p>
    <w:p w14:paraId="271F6A5B">
      <w:pPr>
        <w:spacing w:line="580" w:lineRule="exact"/>
        <w:ind w:firstLine="640"/>
        <w:jc w:val="both"/>
      </w:pPr>
      <w:r>
        <w:rPr>
          <w:rFonts w:hint="eastAsia" w:ascii="仿宋_GB2312" w:hAnsi="仿宋_GB2312" w:eastAsia="仿宋_GB2312"/>
          <w:sz w:val="32"/>
          <w:lang w:val="en-US" w:eastAsia="zh-CN"/>
        </w:rPr>
        <w:t>9.</w:t>
      </w:r>
      <w:r>
        <w:rPr>
          <w:rFonts w:ascii="仿宋_GB2312" w:hAnsi="仿宋_GB2312" w:eastAsia="仿宋_GB2312"/>
          <w:sz w:val="32"/>
        </w:rPr>
        <w:t>负责制定年度巩固拓展脱贫攻坚成果同乡村振兴有效衔接考核，对各乡村、各行业部门巩固拓展脱贫攻坚成果进行考核，全面做好迎接地区、自治区和国家乡村振兴局组织的年度后评估考核等工作。</w:t>
      </w:r>
    </w:p>
    <w:p w14:paraId="1A8A772F">
      <w:pPr>
        <w:spacing w:line="580" w:lineRule="exact"/>
        <w:ind w:firstLine="640"/>
        <w:jc w:val="both"/>
      </w:pPr>
      <w:r>
        <w:rPr>
          <w:rFonts w:hint="eastAsia" w:ascii="仿宋_GB2312" w:hAnsi="仿宋_GB2312" w:eastAsia="仿宋_GB2312"/>
          <w:sz w:val="32"/>
          <w:lang w:val="en-US" w:eastAsia="zh-CN"/>
        </w:rPr>
        <w:t>10.</w:t>
      </w:r>
      <w:r>
        <w:rPr>
          <w:rFonts w:ascii="仿宋_GB2312" w:hAnsi="仿宋_GB2312" w:eastAsia="仿宋_GB2312"/>
          <w:sz w:val="32"/>
        </w:rPr>
        <w:t>组织开展乡村振兴经验交流及乡村振兴宣传工作。</w:t>
      </w:r>
    </w:p>
    <w:p w14:paraId="3EBBC51F">
      <w:pPr>
        <w:spacing w:line="580" w:lineRule="exact"/>
        <w:ind w:firstLine="640"/>
        <w:jc w:val="both"/>
      </w:pPr>
      <w:r>
        <w:rPr>
          <w:rFonts w:hint="eastAsia" w:ascii="仿宋_GB2312" w:hAnsi="仿宋_GB2312" w:eastAsia="仿宋_GB2312"/>
          <w:sz w:val="32"/>
          <w:lang w:val="en-US" w:eastAsia="zh-CN"/>
        </w:rPr>
        <w:t>11.</w:t>
      </w:r>
      <w:r>
        <w:rPr>
          <w:rFonts w:ascii="仿宋_GB2312" w:hAnsi="仿宋_GB2312" w:eastAsia="仿宋_GB2312"/>
          <w:sz w:val="32"/>
        </w:rPr>
        <w:t>负责脱贫成果巩固提升工程，确保脱贫质量成色足，推进与乡村振兴有效衔接。</w:t>
      </w:r>
    </w:p>
    <w:p w14:paraId="739C8C44">
      <w:pPr>
        <w:spacing w:line="580" w:lineRule="exact"/>
        <w:ind w:firstLine="640"/>
        <w:jc w:val="both"/>
      </w:pPr>
      <w:r>
        <w:rPr>
          <w:rFonts w:hint="eastAsia" w:ascii="仿宋_GB2312" w:hAnsi="仿宋_GB2312" w:eastAsia="仿宋_GB2312"/>
          <w:sz w:val="32"/>
          <w:lang w:val="en-US" w:eastAsia="zh-CN"/>
        </w:rPr>
        <w:t>12.</w:t>
      </w:r>
      <w:r>
        <w:rPr>
          <w:rFonts w:ascii="仿宋_GB2312" w:hAnsi="仿宋_GB2312" w:eastAsia="仿宋_GB2312"/>
          <w:sz w:val="32"/>
        </w:rPr>
        <w:t>负责指导乡村做好农村厕所革命工作。</w:t>
      </w:r>
    </w:p>
    <w:p w14:paraId="31187BA3">
      <w:pPr>
        <w:spacing w:line="580" w:lineRule="exact"/>
        <w:ind w:firstLine="640"/>
        <w:jc w:val="both"/>
      </w:pPr>
      <w:r>
        <w:rPr>
          <w:rFonts w:hint="eastAsia" w:ascii="仿宋_GB2312" w:hAnsi="仿宋_GB2312" w:eastAsia="仿宋_GB2312"/>
          <w:sz w:val="32"/>
          <w:lang w:val="en-US" w:eastAsia="zh-CN"/>
        </w:rPr>
        <w:t>13.</w:t>
      </w:r>
      <w:r>
        <w:rPr>
          <w:rFonts w:ascii="仿宋_GB2312" w:hAnsi="仿宋_GB2312" w:eastAsia="仿宋_GB2312"/>
          <w:sz w:val="32"/>
        </w:rPr>
        <w:t>开展乡村建设行动和“美丽庭院”推进工作。</w:t>
      </w:r>
    </w:p>
    <w:p w14:paraId="0FEF4943">
      <w:pPr>
        <w:spacing w:line="580" w:lineRule="exact"/>
        <w:ind w:firstLine="640"/>
        <w:jc w:val="both"/>
      </w:pPr>
      <w:r>
        <w:rPr>
          <w:rFonts w:hint="eastAsia" w:ascii="仿宋_GB2312" w:hAnsi="仿宋_GB2312" w:eastAsia="仿宋_GB2312"/>
          <w:sz w:val="32"/>
          <w:lang w:val="en-US" w:eastAsia="zh-CN"/>
        </w:rPr>
        <w:t>14.</w:t>
      </w:r>
      <w:r>
        <w:rPr>
          <w:rFonts w:ascii="仿宋_GB2312" w:hAnsi="仿宋_GB2312" w:eastAsia="仿宋_GB2312"/>
          <w:sz w:val="32"/>
        </w:rPr>
        <w:t>承办县委、县政府交办的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0A9A1BEF">
      <w:pPr>
        <w:spacing w:line="640" w:lineRule="exact"/>
        <w:ind w:firstLine="640"/>
        <w:jc w:val="both"/>
        <w:outlineLvl w:val="2"/>
      </w:pPr>
      <w:r>
        <w:rPr>
          <w:rFonts w:ascii="黑体" w:hAnsi="黑体" w:eastAsia="黑体"/>
          <w:sz w:val="32"/>
        </w:rPr>
        <w:t>二、机构设置及人员情况</w:t>
      </w:r>
    </w:p>
    <w:p w14:paraId="33251641">
      <w:pPr>
        <w:spacing w:line="580" w:lineRule="exact"/>
        <w:ind w:firstLine="640"/>
        <w:jc w:val="both"/>
      </w:pPr>
      <w:r>
        <w:rPr>
          <w:rFonts w:ascii="仿宋_GB2312" w:hAnsi="仿宋_GB2312" w:eastAsia="仿宋_GB2312"/>
          <w:sz w:val="32"/>
        </w:rPr>
        <w:t>麦盖提县乡村振兴局2024年度，实有人数31人，其中：在职人员29人，减少1人；离休人员0人，增加0人；退休人员2人,增加0人。</w:t>
      </w:r>
    </w:p>
    <w:p w14:paraId="3C8ED3C6">
      <w:pPr>
        <w:spacing w:line="580" w:lineRule="exact"/>
        <w:ind w:firstLine="640"/>
        <w:jc w:val="both"/>
      </w:pPr>
      <w:r>
        <w:rPr>
          <w:rFonts w:ascii="仿宋_GB2312" w:hAnsi="仿宋_GB2312" w:eastAsia="仿宋_GB2312"/>
          <w:sz w:val="32"/>
        </w:rPr>
        <w:t>麦盖提县乡村振兴局无下属预算单位，下设5个科室，分别是：综合办公室、项目规划中心、考核评估中心、信息监测中心、产业发展中心。</w:t>
      </w:r>
    </w:p>
    <w:p w14:paraId="2C593A34">
      <w:r>
        <w:br w:type="page"/>
      </w:r>
    </w:p>
    <w:p w14:paraId="6612ABDE">
      <w:pPr>
        <w:spacing w:line="240" w:lineRule="auto"/>
        <w:jc w:val="center"/>
        <w:outlineLvl w:val="1"/>
      </w:pPr>
      <w:r>
        <w:rPr>
          <w:rFonts w:ascii="黑体" w:hAnsi="黑体" w:eastAsia="黑体"/>
          <w:sz w:val="32"/>
        </w:rPr>
        <w:t>第二部分 部门决算情况说明</w:t>
      </w:r>
    </w:p>
    <w:p w14:paraId="01C15EFF">
      <w:pPr>
        <w:spacing w:line="640" w:lineRule="exact"/>
        <w:ind w:firstLine="640"/>
        <w:jc w:val="both"/>
        <w:outlineLvl w:val="2"/>
      </w:pPr>
      <w:r>
        <w:rPr>
          <w:rFonts w:ascii="黑体" w:hAnsi="黑体" w:eastAsia="黑体"/>
          <w:sz w:val="32"/>
        </w:rPr>
        <w:t>一、收入支出决算总体情况说明</w:t>
      </w:r>
    </w:p>
    <w:p w14:paraId="6ED4B872">
      <w:pPr>
        <w:spacing w:line="580" w:lineRule="exact"/>
        <w:ind w:firstLine="640"/>
        <w:jc w:val="both"/>
      </w:pPr>
      <w:r>
        <w:rPr>
          <w:rFonts w:ascii="仿宋_GB2312" w:hAnsi="仿宋_GB2312" w:eastAsia="仿宋_GB2312"/>
          <w:b/>
          <w:sz w:val="32"/>
        </w:rPr>
        <w:t>2024年度收入总计451.17万元，</w:t>
      </w:r>
      <w:r>
        <w:rPr>
          <w:rFonts w:ascii="仿宋_GB2312" w:hAnsi="仿宋_GB2312" w:eastAsia="仿宋_GB2312"/>
          <w:b w:val="0"/>
          <w:sz w:val="32"/>
        </w:rPr>
        <w:t>其中：本年收入合计451.17万元，使用非财政拨款结余（含专用结余）0.00万元，年初结转和结余0.00万元。</w:t>
      </w:r>
    </w:p>
    <w:p w14:paraId="01A316C9">
      <w:pPr>
        <w:spacing w:line="580" w:lineRule="exact"/>
        <w:ind w:firstLine="640"/>
        <w:jc w:val="both"/>
      </w:pPr>
      <w:r>
        <w:rPr>
          <w:rFonts w:ascii="仿宋_GB2312" w:hAnsi="仿宋_GB2312" w:eastAsia="仿宋_GB2312"/>
          <w:b/>
          <w:sz w:val="32"/>
        </w:rPr>
        <w:t>2024年度支出总计451.17万元，</w:t>
      </w:r>
      <w:r>
        <w:rPr>
          <w:rFonts w:ascii="仿宋_GB2312" w:hAnsi="仿宋_GB2312" w:eastAsia="仿宋_GB2312"/>
          <w:b w:val="0"/>
          <w:sz w:val="32"/>
        </w:rPr>
        <w:t>其中：本年支出合计451.17万元，结余分配0.00万元，年末结转和结余0.00万元。</w:t>
      </w:r>
    </w:p>
    <w:p w14:paraId="7F40648C">
      <w:pPr>
        <w:spacing w:line="580" w:lineRule="exact"/>
        <w:ind w:firstLine="640"/>
        <w:jc w:val="both"/>
      </w:pPr>
      <w:r>
        <w:rPr>
          <w:rFonts w:ascii="仿宋_GB2312" w:hAnsi="仿宋_GB2312" w:eastAsia="仿宋_GB2312"/>
          <w:b w:val="0"/>
          <w:sz w:val="32"/>
        </w:rPr>
        <w:t>收入支出总体与上年相比，减少754.59万元，下降62.58%，主要原因是：本单位于2024年8月合并到农业农村局，工资等相关人员经费由农业农村局发放，本年减少乡村振兴示范村村组道路硬化项目等项目。</w:t>
      </w:r>
    </w:p>
    <w:p w14:paraId="48196A7B">
      <w:pPr>
        <w:spacing w:line="640" w:lineRule="exact"/>
        <w:ind w:firstLine="640"/>
        <w:jc w:val="both"/>
        <w:outlineLvl w:val="2"/>
      </w:pPr>
      <w:r>
        <w:rPr>
          <w:rFonts w:ascii="黑体" w:hAnsi="黑体" w:eastAsia="黑体"/>
          <w:sz w:val="32"/>
        </w:rPr>
        <w:t>二、收入决算情况说明</w:t>
      </w:r>
    </w:p>
    <w:p w14:paraId="1FF25F57">
      <w:pPr>
        <w:spacing w:line="580" w:lineRule="exact"/>
        <w:ind w:firstLine="640"/>
        <w:jc w:val="both"/>
      </w:pPr>
      <w:r>
        <w:rPr>
          <w:rFonts w:ascii="仿宋_GB2312" w:hAnsi="仿宋_GB2312" w:eastAsia="仿宋_GB2312"/>
          <w:b/>
          <w:sz w:val="32"/>
        </w:rPr>
        <w:t>本年收入451.17万元，</w:t>
      </w:r>
      <w:r>
        <w:rPr>
          <w:rFonts w:ascii="仿宋_GB2312" w:hAnsi="仿宋_GB2312" w:eastAsia="仿宋_GB2312"/>
          <w:b w:val="0"/>
          <w:sz w:val="32"/>
        </w:rPr>
        <w:t>其中：财政拨款收入450.27万元，占99.80%；上级补助收入0.00万元，占0.00%；事业收入0.00万元，占0.00%；经营收入0.00万元，占0.00%；附属单位上缴收入0.00万元，占0.00%；其他收入0.90万元，占0.20%。</w:t>
      </w:r>
    </w:p>
    <w:p w14:paraId="1EEC3948">
      <w:pPr>
        <w:spacing w:line="640" w:lineRule="exact"/>
        <w:ind w:firstLine="640"/>
        <w:jc w:val="both"/>
        <w:outlineLvl w:val="2"/>
      </w:pPr>
      <w:r>
        <w:rPr>
          <w:rFonts w:ascii="黑体" w:hAnsi="黑体" w:eastAsia="黑体"/>
          <w:sz w:val="32"/>
        </w:rPr>
        <w:t>三、支出决算情况说明</w:t>
      </w:r>
    </w:p>
    <w:p w14:paraId="3E051108">
      <w:pPr>
        <w:spacing w:line="580" w:lineRule="exact"/>
        <w:ind w:firstLine="640"/>
        <w:jc w:val="both"/>
      </w:pPr>
      <w:r>
        <w:rPr>
          <w:rFonts w:ascii="仿宋_GB2312" w:hAnsi="仿宋_GB2312" w:eastAsia="仿宋_GB2312"/>
          <w:b/>
          <w:sz w:val="32"/>
        </w:rPr>
        <w:t>本年支出451.17万元，</w:t>
      </w:r>
      <w:r>
        <w:rPr>
          <w:rFonts w:ascii="仿宋_GB2312" w:hAnsi="仿宋_GB2312" w:eastAsia="仿宋_GB2312"/>
          <w:b w:val="0"/>
          <w:sz w:val="32"/>
        </w:rPr>
        <w:t>其中：基本支出299.06万元，占66.29%；项目支出152.11万元，占33.71%；上缴上级支出0.00万元，占0.00%；经营支出0.00万元，占0.00%；对附属单位补助支出0.00万元，占0.00%。</w:t>
      </w:r>
    </w:p>
    <w:p w14:paraId="40F1A06F">
      <w:pPr>
        <w:spacing w:line="640" w:lineRule="exact"/>
        <w:ind w:firstLine="640"/>
        <w:jc w:val="both"/>
        <w:outlineLvl w:val="2"/>
      </w:pPr>
      <w:r>
        <w:rPr>
          <w:rFonts w:ascii="黑体" w:hAnsi="黑体" w:eastAsia="黑体"/>
          <w:sz w:val="32"/>
        </w:rPr>
        <w:t>四、财政拨款收入支出决算总体情况说明</w:t>
      </w:r>
    </w:p>
    <w:p w14:paraId="77BDD820">
      <w:pPr>
        <w:spacing w:line="580" w:lineRule="exact"/>
        <w:ind w:firstLine="640"/>
        <w:jc w:val="both"/>
      </w:pPr>
      <w:r>
        <w:rPr>
          <w:rFonts w:ascii="仿宋_GB2312" w:hAnsi="仿宋_GB2312" w:eastAsia="仿宋_GB2312"/>
          <w:b/>
          <w:sz w:val="32"/>
        </w:rPr>
        <w:t>2024年度财政拨款收入总计450.27万元，</w:t>
      </w:r>
      <w:r>
        <w:rPr>
          <w:rFonts w:ascii="仿宋_GB2312" w:hAnsi="仿宋_GB2312" w:eastAsia="仿宋_GB2312"/>
          <w:b w:val="0"/>
          <w:sz w:val="32"/>
        </w:rPr>
        <w:t>其中：年初财政拨款结转和结余0.00万元，本年财政拨款收入450.27万元。</w:t>
      </w:r>
      <w:r>
        <w:rPr>
          <w:rFonts w:ascii="仿宋_GB2312" w:hAnsi="仿宋_GB2312" w:eastAsia="仿宋_GB2312"/>
          <w:b/>
          <w:sz w:val="32"/>
        </w:rPr>
        <w:t>财政拨款支出总计450.27万元，</w:t>
      </w:r>
      <w:r>
        <w:rPr>
          <w:rFonts w:ascii="仿宋_GB2312" w:hAnsi="仿宋_GB2312" w:eastAsia="仿宋_GB2312"/>
          <w:b w:val="0"/>
          <w:sz w:val="32"/>
        </w:rPr>
        <w:t>其中：年末财政拨款结转和结余0.00万元，本年财政拨款支出450.27万元。</w:t>
      </w:r>
    </w:p>
    <w:p w14:paraId="3A57845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减少755.49万元，下降62.66%，主要原因是：本单位于2024年8月合并到农业农村局，工资等相关人员经费由农业农村局发放，本年减少乡村振兴示范村村组道路硬化项目等项目。</w:t>
      </w:r>
      <w:r>
        <w:rPr>
          <w:rFonts w:ascii="仿宋_GB2312" w:hAnsi="仿宋_GB2312" w:eastAsia="仿宋_GB2312"/>
          <w:b/>
          <w:sz w:val="32"/>
        </w:rPr>
        <w:t>与年初预算相比，</w:t>
      </w:r>
      <w:r>
        <w:rPr>
          <w:rFonts w:ascii="仿宋_GB2312" w:hAnsi="仿宋_GB2312" w:eastAsia="仿宋_GB2312"/>
          <w:b w:val="0"/>
          <w:sz w:val="32"/>
        </w:rPr>
        <w:t>年初预算数26,898.36万元，决算数450.27万元，预决算差异率-98.33%，主要原因是：本单位于2024年8月合并到农业农村局，年中调减人员经费，年中调减乡村振兴示范村村组道路硬化等项目资金，导致预决算存在差异。</w:t>
      </w:r>
    </w:p>
    <w:p w14:paraId="19B0C32F">
      <w:pPr>
        <w:spacing w:line="640" w:lineRule="exact"/>
        <w:ind w:firstLine="640"/>
        <w:jc w:val="both"/>
        <w:outlineLvl w:val="2"/>
      </w:pPr>
      <w:r>
        <w:rPr>
          <w:rFonts w:ascii="黑体" w:hAnsi="黑体" w:eastAsia="黑体"/>
          <w:sz w:val="32"/>
        </w:rPr>
        <w:t>五、一般公共预算财政拨款支出决算情况说明</w:t>
      </w:r>
    </w:p>
    <w:p w14:paraId="7C8131EF">
      <w:pPr>
        <w:spacing w:line="640" w:lineRule="exact"/>
        <w:ind w:firstLine="640"/>
        <w:jc w:val="both"/>
        <w:outlineLvl w:val="3"/>
      </w:pPr>
      <w:r>
        <w:rPr>
          <w:rFonts w:ascii="楷体_GB2312" w:hAnsi="楷体_GB2312" w:eastAsia="楷体_GB2312"/>
          <w:b/>
          <w:sz w:val="32"/>
        </w:rPr>
        <w:t>（一）一般公共预算财政拨款支出决算总体情况</w:t>
      </w:r>
    </w:p>
    <w:p w14:paraId="109F01B3">
      <w:pPr>
        <w:spacing w:line="580" w:lineRule="exact"/>
        <w:ind w:firstLine="640"/>
        <w:jc w:val="both"/>
      </w:pPr>
      <w:r>
        <w:rPr>
          <w:rFonts w:ascii="仿宋_GB2312" w:hAnsi="仿宋_GB2312" w:eastAsia="仿宋_GB2312"/>
          <w:b/>
          <w:sz w:val="32"/>
        </w:rPr>
        <w:t>2024年度一般公共预算财政拨款支出450.27万元，</w:t>
      </w:r>
      <w:r>
        <w:rPr>
          <w:rFonts w:ascii="仿宋_GB2312" w:hAnsi="仿宋_GB2312" w:eastAsia="仿宋_GB2312"/>
          <w:b w:val="0"/>
          <w:sz w:val="32"/>
        </w:rPr>
        <w:t>占本年支出合计的99.80%。</w:t>
      </w:r>
      <w:r>
        <w:rPr>
          <w:rFonts w:ascii="仿宋_GB2312" w:hAnsi="仿宋_GB2312" w:eastAsia="仿宋_GB2312"/>
          <w:b/>
          <w:sz w:val="32"/>
        </w:rPr>
        <w:t>与上年相比，</w:t>
      </w:r>
      <w:r>
        <w:rPr>
          <w:rFonts w:ascii="仿宋_GB2312" w:hAnsi="仿宋_GB2312" w:eastAsia="仿宋_GB2312"/>
          <w:b w:val="0"/>
          <w:sz w:val="32"/>
        </w:rPr>
        <w:t>减少755.49万元，下降62.66%，主要原因是：本单位于2024年8月合并到农业农村局，工资等相关人员经费由农业农村局发放，本年减少乡村振兴示范村村组道路硬化项目等项目。</w:t>
      </w:r>
      <w:r>
        <w:rPr>
          <w:rFonts w:ascii="仿宋_GB2312" w:hAnsi="仿宋_GB2312" w:eastAsia="仿宋_GB2312"/>
          <w:b/>
          <w:sz w:val="32"/>
        </w:rPr>
        <w:t>与年初预算相比,</w:t>
      </w:r>
      <w:r>
        <w:rPr>
          <w:rFonts w:ascii="仿宋_GB2312" w:hAnsi="仿宋_GB2312" w:eastAsia="仿宋_GB2312"/>
          <w:b w:val="0"/>
          <w:sz w:val="32"/>
        </w:rPr>
        <w:t>年初预算数26,898.36万元，决算数450.27万元，预决算差异率-98.33%，主要原因是：本单位于2024年8月合并到农业农村局，年中调减人员经费，年中调减乡村振兴示范村村组道路硬化等项目资金，导致预决算存在差异。</w:t>
      </w:r>
    </w:p>
    <w:p w14:paraId="3C0DFE23">
      <w:pPr>
        <w:spacing w:line="640" w:lineRule="exact"/>
        <w:ind w:firstLine="640"/>
        <w:jc w:val="both"/>
        <w:outlineLvl w:val="3"/>
      </w:pPr>
      <w:r>
        <w:rPr>
          <w:rFonts w:ascii="楷体_GB2312" w:hAnsi="楷体_GB2312" w:eastAsia="楷体_GB2312"/>
          <w:b/>
          <w:sz w:val="32"/>
        </w:rPr>
        <w:t>（二）一般公共预算财政拨款支出决算结构情况</w:t>
      </w:r>
    </w:p>
    <w:p w14:paraId="1087E826">
      <w:pPr>
        <w:spacing w:line="580" w:lineRule="exact"/>
        <w:ind w:firstLine="640"/>
        <w:jc w:val="both"/>
      </w:pPr>
      <w:r>
        <w:rPr>
          <w:rFonts w:ascii="仿宋_GB2312" w:hAnsi="仿宋_GB2312" w:eastAsia="仿宋_GB2312"/>
          <w:b w:val="0"/>
          <w:sz w:val="32"/>
        </w:rPr>
        <w:t>1.社会保障和就业支出(类)30.55万元,占6.78%。</w:t>
      </w:r>
    </w:p>
    <w:p w14:paraId="524D97D0">
      <w:pPr>
        <w:spacing w:line="580" w:lineRule="exact"/>
        <w:ind w:firstLine="640"/>
        <w:jc w:val="both"/>
      </w:pPr>
      <w:r>
        <w:rPr>
          <w:rFonts w:ascii="仿宋_GB2312" w:hAnsi="仿宋_GB2312" w:eastAsia="仿宋_GB2312"/>
          <w:b w:val="0"/>
          <w:sz w:val="32"/>
        </w:rPr>
        <w:t>2.卫生健康支出(类)12.57万元,占2.79%。</w:t>
      </w:r>
    </w:p>
    <w:p w14:paraId="74E4DD1C">
      <w:pPr>
        <w:spacing w:line="580" w:lineRule="exact"/>
        <w:ind w:firstLine="640"/>
        <w:jc w:val="both"/>
      </w:pPr>
      <w:r>
        <w:rPr>
          <w:rFonts w:ascii="仿宋_GB2312" w:hAnsi="仿宋_GB2312" w:eastAsia="仿宋_GB2312"/>
          <w:b w:val="0"/>
          <w:sz w:val="32"/>
        </w:rPr>
        <w:t>3.节能环保支出(类)38.25万元,占8.49%。</w:t>
      </w:r>
    </w:p>
    <w:p w14:paraId="27447F55">
      <w:pPr>
        <w:spacing w:line="580" w:lineRule="exact"/>
        <w:ind w:firstLine="640"/>
        <w:jc w:val="both"/>
      </w:pPr>
      <w:r>
        <w:rPr>
          <w:rFonts w:ascii="仿宋_GB2312" w:hAnsi="仿宋_GB2312" w:eastAsia="仿宋_GB2312"/>
          <w:b w:val="0"/>
          <w:sz w:val="32"/>
        </w:rPr>
        <w:t>4.农林水支出(类)346.53万元,占76.96%。</w:t>
      </w:r>
    </w:p>
    <w:p w14:paraId="76E1964C">
      <w:pPr>
        <w:spacing w:line="580" w:lineRule="exact"/>
        <w:ind w:firstLine="640"/>
        <w:jc w:val="both"/>
      </w:pPr>
      <w:r>
        <w:rPr>
          <w:rFonts w:ascii="仿宋_GB2312" w:hAnsi="仿宋_GB2312" w:eastAsia="仿宋_GB2312"/>
          <w:b w:val="0"/>
          <w:sz w:val="32"/>
        </w:rPr>
        <w:t>5.住房保障支出(类)22.37万元,占4.97%。</w:t>
      </w:r>
    </w:p>
    <w:p w14:paraId="5EB2E07F">
      <w:pPr>
        <w:spacing w:line="640" w:lineRule="exact"/>
        <w:ind w:firstLine="640"/>
        <w:jc w:val="both"/>
        <w:outlineLvl w:val="3"/>
      </w:pPr>
      <w:r>
        <w:rPr>
          <w:rFonts w:ascii="楷体_GB2312" w:hAnsi="楷体_GB2312" w:eastAsia="楷体_GB2312"/>
          <w:b/>
          <w:sz w:val="32"/>
        </w:rPr>
        <w:t>（三）一般公共预算财政拨款支出决算具体情况</w:t>
      </w:r>
    </w:p>
    <w:p w14:paraId="64326B03">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1.社会保障和就业支出(类)行政事业单位养老支出(款)行政单位离退休(项):支出决算数为2.23万元，比上年决算减少0.25万元，下降10.08%,主要原因是：本单位于2024年8月合并到农业农村局，</w:t>
      </w:r>
      <w:r>
        <w:rPr>
          <w:rFonts w:hint="eastAsia" w:ascii="仿宋_GB2312" w:hAnsi="仿宋_GB2312" w:eastAsia="仿宋_GB2312"/>
          <w:b w:val="0"/>
          <w:sz w:val="32"/>
          <w:lang w:val="en-US" w:eastAsia="zh-CN"/>
        </w:rPr>
        <w:t>退休人员</w:t>
      </w:r>
      <w:r>
        <w:rPr>
          <w:rFonts w:ascii="仿宋_GB2312" w:hAnsi="仿宋_GB2312" w:eastAsia="仿宋_GB2312"/>
          <w:b w:val="0"/>
          <w:sz w:val="32"/>
        </w:rPr>
        <w:t>经费由农业农村局发放。</w:t>
      </w:r>
    </w:p>
    <w:p w14:paraId="78DA2142">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28.32万元，比上年决算减少18.56万元，下降39.59%,主要原因是：本年在职人员减少，单位基本养老保险缴费较上年减少。</w:t>
      </w:r>
    </w:p>
    <w:p w14:paraId="06BD06F7">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0.18万元，下降100.00%,主要原因是：本年无新增退休人员，职业年金缴费较上年减少。</w:t>
      </w:r>
    </w:p>
    <w:p w14:paraId="5A64B7B1">
      <w:pPr>
        <w:spacing w:line="580" w:lineRule="exact"/>
        <w:ind w:firstLine="640"/>
        <w:jc w:val="both"/>
      </w:pPr>
      <w:r>
        <w:rPr>
          <w:rFonts w:ascii="仿宋_GB2312" w:hAnsi="仿宋_GB2312" w:eastAsia="仿宋_GB2312"/>
          <w:b w:val="0"/>
          <w:sz w:val="32"/>
        </w:rPr>
        <w:t>4.卫生健康支出(类)行政事业单位医疗(款)行政单位医疗(项):支出决算数为12.04万元，比上年决算减少6.10万元，下降33.63%,主要原因是：本年在职人员减少，行政单位医疗支出较上年减少。</w:t>
      </w:r>
    </w:p>
    <w:p w14:paraId="41127B33">
      <w:pPr>
        <w:spacing w:line="580" w:lineRule="exact"/>
        <w:ind w:firstLine="640"/>
        <w:jc w:val="both"/>
      </w:pPr>
      <w:r>
        <w:rPr>
          <w:rFonts w:ascii="仿宋_GB2312" w:hAnsi="仿宋_GB2312" w:eastAsia="仿宋_GB2312"/>
          <w:b w:val="0"/>
          <w:sz w:val="32"/>
        </w:rPr>
        <w:t>5.卫生健康支出(类)行政事业单位医疗(款)公务员医疗补助(项):支出决算数为0.54万元，比上年决算减少0.49万元，下降47.57%,主要原因是：本年在职人员减少，公务员医疗补助较上年减少。</w:t>
      </w:r>
    </w:p>
    <w:p w14:paraId="6482199B">
      <w:pPr>
        <w:spacing w:line="580" w:lineRule="exact"/>
        <w:ind w:firstLine="640"/>
        <w:jc w:val="both"/>
      </w:pPr>
      <w:r>
        <w:rPr>
          <w:rFonts w:ascii="仿宋_GB2312" w:hAnsi="仿宋_GB2312" w:eastAsia="仿宋_GB2312"/>
          <w:b w:val="0"/>
          <w:sz w:val="32"/>
        </w:rPr>
        <w:t>6.节能环保支出(类)自然生态保护(款)农村环境保护(项):支出决算数为38.25万元，比上年决算减少13.99万元，下降26.78%,主要原因是：本年减少2023年麦盖提县希依提墩乡喀克夏勒村乡村振兴人居环境建设项目，导致相关经费减少。</w:t>
      </w:r>
    </w:p>
    <w:p w14:paraId="33C23604">
      <w:pPr>
        <w:spacing w:line="580" w:lineRule="exact"/>
        <w:ind w:firstLine="640"/>
        <w:jc w:val="both"/>
      </w:pPr>
      <w:r>
        <w:rPr>
          <w:rFonts w:ascii="仿宋_GB2312" w:hAnsi="仿宋_GB2312" w:eastAsia="仿宋_GB2312"/>
          <w:b w:val="0"/>
          <w:sz w:val="32"/>
        </w:rPr>
        <w:t>7.农林水支出(类)巩固脱贫攻坚成果衔接乡村振兴(款)行政运行(项):支出决算数为233.57万元，比上年决算减少146.43万元，下降38.53%,主要原因是：本单位于2024年8月合并到农业农村局，工资等相关人员经费由农业农村局发放。</w:t>
      </w:r>
    </w:p>
    <w:p w14:paraId="061654F6">
      <w:pPr>
        <w:spacing w:line="580" w:lineRule="exact"/>
        <w:ind w:firstLine="640"/>
        <w:jc w:val="both"/>
      </w:pPr>
      <w:r>
        <w:rPr>
          <w:rFonts w:ascii="仿宋_GB2312" w:hAnsi="仿宋_GB2312" w:eastAsia="仿宋_GB2312"/>
          <w:b w:val="0"/>
          <w:sz w:val="32"/>
        </w:rPr>
        <w:t>8.农林水支出(类)巩固脱贫攻坚成果衔接乡村振兴(款)生产发展(项):支出决算数为13.80万元，比上年决算增加13.80万元，增长100.00%,主要原因是：本年增加麦盖提县示范村美丽庭院建设补助资金项目，导致相关经费增加。</w:t>
      </w:r>
    </w:p>
    <w:p w14:paraId="5546B105">
      <w:pPr>
        <w:spacing w:line="580" w:lineRule="exact"/>
        <w:ind w:firstLine="640"/>
        <w:jc w:val="both"/>
      </w:pPr>
      <w:r>
        <w:rPr>
          <w:rFonts w:ascii="仿宋_GB2312" w:hAnsi="仿宋_GB2312" w:eastAsia="仿宋_GB2312"/>
          <w:b w:val="0"/>
          <w:sz w:val="32"/>
        </w:rPr>
        <w:t>9.农林水支出(类)巩固脱贫攻坚成果衔接乡村振兴(款)其他巩固脱贫攻坚成果衔接乡村振兴支出(项):支出决算数为99.16万元，比上年决算减少3.84万元，下降3.73%,主要原因是：本年减少乡村振兴考核保障项目，导致相关经费减少。</w:t>
      </w:r>
    </w:p>
    <w:p w14:paraId="391B56D0">
      <w:pPr>
        <w:spacing w:line="580" w:lineRule="exact"/>
        <w:ind w:firstLine="640"/>
        <w:jc w:val="both"/>
      </w:pPr>
      <w:r>
        <w:rPr>
          <w:rFonts w:ascii="仿宋_GB2312" w:hAnsi="仿宋_GB2312" w:eastAsia="仿宋_GB2312"/>
          <w:b w:val="0"/>
          <w:sz w:val="32"/>
        </w:rPr>
        <w:t>10.农林水支出(类)其他农林水支出(款)其他农林水支出(项):支出决算数为0.00万元，比上年决算减少568.38万元，下降100.00%,主要原因是：本年减少乡村振兴示范村村组道路硬化项目，导致相关经费减少。</w:t>
      </w:r>
    </w:p>
    <w:p w14:paraId="49B4D20C">
      <w:pPr>
        <w:spacing w:line="580" w:lineRule="exact"/>
        <w:ind w:firstLine="640"/>
        <w:jc w:val="both"/>
      </w:pPr>
      <w:r>
        <w:rPr>
          <w:rFonts w:ascii="仿宋_GB2312" w:hAnsi="仿宋_GB2312" w:eastAsia="仿宋_GB2312"/>
          <w:b w:val="0"/>
          <w:sz w:val="32"/>
        </w:rPr>
        <w:t>11.住房保障支出(类)住房改革支出(款)住房公积金(项):支出决算数为22.37万元，比上年决算减少11.06万元，下降33.08%,主要原因是：本单位于2024年8月合并到农业农村局，</w:t>
      </w:r>
      <w:r>
        <w:rPr>
          <w:rFonts w:hint="eastAsia" w:ascii="仿宋_GB2312" w:hAnsi="仿宋_GB2312" w:eastAsia="仿宋_GB2312"/>
          <w:b w:val="0"/>
          <w:sz w:val="32"/>
          <w:lang w:val="en-US" w:eastAsia="zh-CN"/>
        </w:rPr>
        <w:t>部分</w:t>
      </w:r>
      <w:r>
        <w:rPr>
          <w:rFonts w:ascii="仿宋_GB2312" w:hAnsi="仿宋_GB2312" w:eastAsia="仿宋_GB2312"/>
          <w:b w:val="0"/>
          <w:sz w:val="32"/>
        </w:rPr>
        <w:t>公积金由农业农村局发放。</w:t>
      </w:r>
    </w:p>
    <w:p w14:paraId="493F1BF9">
      <w:pPr>
        <w:spacing w:line="640" w:lineRule="exact"/>
        <w:ind w:firstLine="640"/>
        <w:jc w:val="both"/>
        <w:outlineLvl w:val="2"/>
      </w:pPr>
      <w:r>
        <w:rPr>
          <w:rFonts w:ascii="黑体" w:hAnsi="黑体" w:eastAsia="黑体"/>
          <w:sz w:val="32"/>
        </w:rPr>
        <w:t>六、一般公共预算财政拨款基本支出决算情况说明</w:t>
      </w:r>
    </w:p>
    <w:p w14:paraId="694F5A55">
      <w:pPr>
        <w:spacing w:line="580" w:lineRule="exact"/>
        <w:ind w:firstLine="640"/>
        <w:jc w:val="both"/>
      </w:pPr>
      <w:r>
        <w:rPr>
          <w:rFonts w:ascii="仿宋_GB2312" w:hAnsi="仿宋_GB2312" w:eastAsia="仿宋_GB2312"/>
          <w:b w:val="0"/>
          <w:sz w:val="32"/>
        </w:rPr>
        <w:t>2024年度一般公共预算财政拨款基本支出299.06万元，其中：</w:t>
      </w:r>
      <w:r>
        <w:rPr>
          <w:rFonts w:ascii="仿宋_GB2312" w:hAnsi="仿宋_GB2312" w:eastAsia="仿宋_GB2312"/>
          <w:b/>
          <w:sz w:val="32"/>
        </w:rPr>
        <w:t>人员经费283.29万元，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32DF733C">
      <w:pPr>
        <w:spacing w:line="580" w:lineRule="exact"/>
        <w:ind w:firstLine="640"/>
        <w:jc w:val="both"/>
      </w:pPr>
      <w:r>
        <w:rPr>
          <w:rFonts w:ascii="仿宋_GB2312" w:hAnsi="仿宋_GB2312" w:eastAsia="仿宋_GB2312"/>
          <w:b/>
          <w:sz w:val="32"/>
        </w:rPr>
        <w:t>公用经费15.78万元，</w:t>
      </w:r>
      <w:r>
        <w:rPr>
          <w:rFonts w:ascii="仿宋_GB2312" w:hAnsi="仿宋_GB2312" w:eastAsia="仿宋_GB2312"/>
          <w:b w:val="0"/>
          <w:sz w:val="32"/>
        </w:rPr>
        <w:t>包括：办公费、差旅费、公务用车运行维护费。</w:t>
      </w:r>
    </w:p>
    <w:p w14:paraId="47781BB0">
      <w:pPr>
        <w:spacing w:line="640" w:lineRule="exact"/>
        <w:ind w:firstLine="640"/>
        <w:jc w:val="both"/>
        <w:outlineLvl w:val="2"/>
      </w:pPr>
      <w:r>
        <w:rPr>
          <w:rFonts w:ascii="黑体" w:hAnsi="黑体" w:eastAsia="黑体"/>
          <w:sz w:val="32"/>
        </w:rPr>
        <w:t>七、政府性基金预算财政拨款收入支出决算情况说明</w:t>
      </w:r>
    </w:p>
    <w:p w14:paraId="4E0462C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1E2CFC0">
      <w:pPr>
        <w:spacing w:line="640" w:lineRule="exact"/>
        <w:ind w:firstLine="640"/>
        <w:jc w:val="both"/>
        <w:outlineLvl w:val="2"/>
      </w:pPr>
      <w:r>
        <w:rPr>
          <w:rFonts w:ascii="黑体" w:hAnsi="黑体" w:eastAsia="黑体"/>
          <w:sz w:val="32"/>
        </w:rPr>
        <w:t>八、国有资本经营预算财政拨款收入支出决算情况说明</w:t>
      </w:r>
    </w:p>
    <w:p w14:paraId="65A93F4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BBC81AC">
      <w:pPr>
        <w:spacing w:line="640" w:lineRule="exact"/>
        <w:ind w:firstLine="640"/>
        <w:jc w:val="both"/>
        <w:outlineLvl w:val="2"/>
      </w:pPr>
      <w:r>
        <w:rPr>
          <w:rFonts w:ascii="黑体" w:hAnsi="黑体" w:eastAsia="黑体"/>
          <w:sz w:val="32"/>
        </w:rPr>
        <w:t>九、财政拨款“三公”经费支出决算情况说明</w:t>
      </w:r>
    </w:p>
    <w:p w14:paraId="6757248B">
      <w:pPr>
        <w:spacing w:line="580" w:lineRule="exact"/>
        <w:ind w:firstLine="640"/>
        <w:jc w:val="both"/>
      </w:pPr>
      <w:r>
        <w:rPr>
          <w:rFonts w:ascii="仿宋_GB2312" w:hAnsi="仿宋_GB2312" w:eastAsia="仿宋_GB2312"/>
          <w:b/>
          <w:sz w:val="32"/>
        </w:rPr>
        <w:t>2024年度财政拨款“三公”经费支出3.05万元，</w:t>
      </w:r>
      <w:r>
        <w:rPr>
          <w:rFonts w:ascii="仿宋_GB2312" w:hAnsi="仿宋_GB2312" w:eastAsia="仿宋_GB2312"/>
          <w:b w:val="0"/>
          <w:sz w:val="32"/>
        </w:rPr>
        <w:t>比上年减少6.77万元，下降68.94%，主要原因是：严格落实中央八项规定精神，厉行节约，车辆维修次数减少，减少公务用车运行维护费。其中：因公出国（境）费支出0.00万元，占0.00%，比上年增加0.00万元，增长0.00%，主要原因是：2023年与2024年均未安排因公出国（境）费支出。公务用车购置及运行维护费支出3.05万元，占100.00%，比上年减少6.77万元，下降68.94%，主要原因是：严格落实中央八项规定精神，厉行节约，车辆维修次数减少，减少公务用车运行维护费。公务接待费支出0.00万元，占0.00%，比上年增加0.00万元，增长0.00%，主要原因是：2023年与2024年均未安排公务接待费支出。</w:t>
      </w:r>
    </w:p>
    <w:p w14:paraId="096FF31D">
      <w:pPr>
        <w:spacing w:line="580" w:lineRule="exact"/>
        <w:ind w:firstLine="640"/>
        <w:jc w:val="both"/>
      </w:pPr>
      <w:r>
        <w:rPr>
          <w:rFonts w:ascii="仿宋_GB2312" w:hAnsi="仿宋_GB2312" w:eastAsia="仿宋_GB2312"/>
          <w:b/>
          <w:sz w:val="32"/>
        </w:rPr>
        <w:t>具体情况如下：</w:t>
      </w:r>
    </w:p>
    <w:p w14:paraId="14F3563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6075141">
      <w:pPr>
        <w:spacing w:line="580" w:lineRule="exact"/>
        <w:ind w:firstLine="640"/>
        <w:jc w:val="both"/>
      </w:pPr>
      <w:r>
        <w:rPr>
          <w:rFonts w:ascii="仿宋_GB2312" w:hAnsi="仿宋_GB2312" w:eastAsia="仿宋_GB2312"/>
          <w:b w:val="0"/>
          <w:sz w:val="32"/>
        </w:rPr>
        <w:t>公务用车购置及运行维护费3.05万元，其中：公务用车购置费0.00万元，公务用车运行维护费3.05万元。公务用车运行维护费开支内容包括燃油费、保险费。公务用车购置数0辆，公务用车保有量2辆。国有资产占用情况中固定资产车辆2辆，与公务用车保有量差异原因是：本单位固定资产车辆与公务用车保有量一致无差异。</w:t>
      </w:r>
    </w:p>
    <w:p w14:paraId="1288C5B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EB3E0C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3.05万元，决算数3.05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3.05万元，决算数3.05万元，预决算差异率0.00%，主要原因是：严格按照预算执行，预决算无差异。公务接待费全年预算数0.00万元，决算数0.00万元，预决算差异率0.00%，主要原因是：本单位无公务接待费。</w:t>
      </w:r>
    </w:p>
    <w:p w14:paraId="370FBE36">
      <w:pPr>
        <w:spacing w:line="640" w:lineRule="exact"/>
        <w:ind w:firstLine="640"/>
        <w:jc w:val="both"/>
        <w:outlineLvl w:val="2"/>
      </w:pPr>
      <w:r>
        <w:rPr>
          <w:rFonts w:ascii="黑体" w:hAnsi="黑体" w:eastAsia="黑体"/>
          <w:sz w:val="32"/>
        </w:rPr>
        <w:t>十、其他重要事项的情况说明</w:t>
      </w:r>
    </w:p>
    <w:p w14:paraId="286B8332">
      <w:pPr>
        <w:spacing w:line="640" w:lineRule="exact"/>
        <w:ind w:firstLine="640"/>
        <w:jc w:val="both"/>
        <w:outlineLvl w:val="3"/>
      </w:pPr>
      <w:r>
        <w:rPr>
          <w:rFonts w:ascii="楷体_GB2312" w:hAnsi="楷体_GB2312" w:eastAsia="楷体_GB2312"/>
          <w:b/>
          <w:sz w:val="32"/>
        </w:rPr>
        <w:t>（一）机关运行经费及公用经费支出情况</w:t>
      </w:r>
    </w:p>
    <w:p w14:paraId="0F4BD6E0">
      <w:pPr>
        <w:spacing w:line="580" w:lineRule="exact"/>
        <w:ind w:firstLine="640"/>
        <w:jc w:val="both"/>
      </w:pPr>
      <w:r>
        <w:rPr>
          <w:rFonts w:ascii="仿宋_GB2312" w:hAnsi="仿宋_GB2312" w:eastAsia="仿宋_GB2312"/>
          <w:b w:val="0"/>
          <w:sz w:val="32"/>
        </w:rPr>
        <w:t>2024年度麦盖提县乡村振兴局（行政单位和参照公务员法管理事业单位）机关运行经费支出15.78万元，比上年减少1.14万元，下降6.74%，主要原因是：严控经费支出，减少车辆运行经费支出。</w:t>
      </w:r>
    </w:p>
    <w:p w14:paraId="2E87E1F5">
      <w:pPr>
        <w:spacing w:line="640" w:lineRule="exact"/>
        <w:ind w:firstLine="640"/>
        <w:jc w:val="both"/>
        <w:outlineLvl w:val="3"/>
      </w:pPr>
      <w:r>
        <w:rPr>
          <w:rFonts w:ascii="楷体_GB2312" w:hAnsi="楷体_GB2312" w:eastAsia="楷体_GB2312"/>
          <w:b/>
          <w:sz w:val="32"/>
        </w:rPr>
        <w:t>（二）政府采购情况</w:t>
      </w:r>
    </w:p>
    <w:p w14:paraId="14ADE0E9">
      <w:pPr>
        <w:spacing w:line="580" w:lineRule="exact"/>
        <w:ind w:firstLine="640"/>
        <w:jc w:val="both"/>
      </w:pPr>
      <w:r>
        <w:rPr>
          <w:rFonts w:ascii="仿宋_GB2312" w:hAnsi="仿宋_GB2312" w:eastAsia="仿宋_GB2312"/>
          <w:b w:val="0"/>
          <w:sz w:val="32"/>
        </w:rPr>
        <w:t>2024年度政府采购支出总额0.95万元，其中：政府采购货物支出0.41万元、政府采购工程支出0.00万元、政府采购服务支出0.55万元。</w:t>
      </w:r>
    </w:p>
    <w:p w14:paraId="0E98D98B">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6137BD0">
      <w:pPr>
        <w:spacing w:line="640" w:lineRule="exact"/>
        <w:ind w:firstLine="640"/>
        <w:jc w:val="both"/>
        <w:outlineLvl w:val="3"/>
      </w:pPr>
      <w:r>
        <w:rPr>
          <w:rFonts w:ascii="楷体_GB2312" w:hAnsi="楷体_GB2312" w:eastAsia="楷体_GB2312"/>
          <w:b/>
          <w:sz w:val="32"/>
        </w:rPr>
        <w:t>（三）国有资产占用情况说明</w:t>
      </w:r>
    </w:p>
    <w:p w14:paraId="721D147F">
      <w:pPr>
        <w:spacing w:line="580" w:lineRule="exact"/>
        <w:ind w:firstLine="640"/>
        <w:jc w:val="both"/>
      </w:pPr>
      <w:r>
        <w:rPr>
          <w:rFonts w:ascii="仿宋_GB2312" w:hAnsi="仿宋_GB2312" w:eastAsia="仿宋_GB2312"/>
          <w:b w:val="0"/>
          <w:sz w:val="32"/>
        </w:rPr>
        <w:t>截至2024年12月31日，房屋0.00平方米，价值0.00万元。车辆2辆，价值33.86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29E254AA">
      <w:pPr>
        <w:spacing w:line="640" w:lineRule="exact"/>
        <w:ind w:firstLine="640"/>
        <w:jc w:val="both"/>
        <w:outlineLvl w:val="2"/>
      </w:pPr>
      <w:r>
        <w:rPr>
          <w:rFonts w:ascii="黑体" w:hAnsi="黑体" w:eastAsia="黑体"/>
          <w:sz w:val="32"/>
        </w:rPr>
        <w:t>十一、预算绩效的情况说明</w:t>
      </w:r>
    </w:p>
    <w:p w14:paraId="3695E6B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451.67万元，实际执行总额451.17万元；预算绩效评价项目4个，全年预算数53.45万元，全年执行数52.95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作用。二是严格按照工作职责和相关文件依据，确保专款专用。三是严格控制资金的流出方向，确保资金的合规性。发现的问题及原因：一是预算绩效观念不深入。</w:t>
      </w:r>
      <w:r>
        <w:rPr>
          <w:rFonts w:hint="eastAsia" w:ascii="仿宋_GB2312" w:hAnsi="仿宋_GB2312" w:eastAsia="仿宋_GB2312"/>
          <w:b w:val="0"/>
          <w:sz w:val="32"/>
          <w:lang w:eastAsia="zh-CN"/>
        </w:rPr>
        <w:t>本单位</w:t>
      </w:r>
      <w:r>
        <w:rPr>
          <w:rFonts w:ascii="仿宋_GB2312" w:hAnsi="仿宋_GB2312" w:eastAsia="仿宋_GB2312"/>
          <w:b w:val="0"/>
          <w:sz w:val="32"/>
        </w:rPr>
        <w:t>在日常财务工作中存在着一定程度的“重分配、轻管理、重支出、轻绩效”的情况，造成该问题的主要原因是自身绩效理念较薄弱，在绩效目标指标编制上仍有缺失，需要进一步加强对绩效管理工作的重视程度。二是预算绩效规范管理有盲点。在县财政逐步加强绩效管理的情况下，</w:t>
      </w:r>
      <w:r>
        <w:rPr>
          <w:rFonts w:hint="eastAsia" w:ascii="仿宋_GB2312" w:hAnsi="仿宋_GB2312" w:eastAsia="仿宋_GB2312"/>
          <w:b w:val="0"/>
          <w:sz w:val="32"/>
          <w:lang w:eastAsia="zh-CN"/>
        </w:rPr>
        <w:t>本单位</w:t>
      </w:r>
      <w:r>
        <w:rPr>
          <w:rFonts w:ascii="仿宋_GB2312" w:hAnsi="仿宋_GB2312" w:eastAsia="仿宋_GB2312"/>
          <w:b w:val="0"/>
          <w:sz w:val="32"/>
        </w:rPr>
        <w:t>绩效专干人员面对当前绩效管理工作既没有现成的经验可供借鉴，又缺乏专业性很强的技能储备，只能是边工作、边学习、边积累，短期内部分工作只能停留在表面，难以做到程序规范、管理科学，难以满足当前绩效管理要求。下一步改进措施：一是预算绩效观念不深入。</w:t>
      </w:r>
      <w:r>
        <w:rPr>
          <w:rFonts w:hint="eastAsia" w:ascii="仿宋_GB2312" w:hAnsi="仿宋_GB2312" w:eastAsia="仿宋_GB2312"/>
          <w:b w:val="0"/>
          <w:sz w:val="32"/>
          <w:lang w:eastAsia="zh-CN"/>
        </w:rPr>
        <w:t>本单位</w:t>
      </w:r>
      <w:r>
        <w:rPr>
          <w:rFonts w:ascii="仿宋_GB2312" w:hAnsi="仿宋_GB2312" w:eastAsia="仿宋_GB2312"/>
          <w:b w:val="0"/>
          <w:sz w:val="32"/>
        </w:rPr>
        <w:t>在日常财务工作中存在着一定程度的“重分配、轻管理、重支出、轻绩效”的情况，造成该问题的主要原因是自身绩效理念较薄弱，在绩效目标指标编制上仍有缺失，需要进一步加强对绩效管理工作的重视程度。二是预算绩效规范管理有盲点。在县财政逐步加强绩效管理的情况下，</w:t>
      </w:r>
      <w:r>
        <w:rPr>
          <w:rFonts w:hint="eastAsia" w:ascii="仿宋_GB2312" w:hAnsi="仿宋_GB2312" w:eastAsia="仿宋_GB2312"/>
          <w:b w:val="0"/>
          <w:sz w:val="32"/>
          <w:lang w:eastAsia="zh-CN"/>
        </w:rPr>
        <w:t>本单位</w:t>
      </w:r>
      <w:r>
        <w:rPr>
          <w:rFonts w:ascii="仿宋_GB2312" w:hAnsi="仿宋_GB2312" w:eastAsia="仿宋_GB2312"/>
          <w:b w:val="0"/>
          <w:sz w:val="32"/>
        </w:rPr>
        <w:t>绩效专干人员面对当前绩效管理工作既没有现成的经验可供借鉴，又缺乏专业性很强的技能储备，只能是边工作、边学习、边积累，短期内部分工作只能停留在表面，难以做到程序规范、管理科学，难以满足当前绩效管理要求。具体附整体支出绩效自评表，项目支出绩效自评表和评价报告。</w:t>
      </w:r>
    </w:p>
    <w:p w14:paraId="4CDD29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029B9D">
        <w:tblPrEx>
          <w:tblCellMar>
            <w:top w:w="0" w:type="dxa"/>
            <w:left w:w="108" w:type="dxa"/>
            <w:bottom w:w="0" w:type="dxa"/>
            <w:right w:w="108" w:type="dxa"/>
          </w:tblCellMar>
        </w:tblPrEx>
        <w:tc>
          <w:tcPr>
            <w:tcW w:w="8847" w:type="dxa"/>
            <w:gridSpan w:val="9"/>
            <w:vAlign w:val="center"/>
          </w:tcPr>
          <w:p w14:paraId="2B56EB49">
            <w:pPr>
              <w:jc w:val="center"/>
            </w:pPr>
            <w:r>
              <w:rPr>
                <w:rFonts w:ascii="宋体" w:hAnsi="宋体" w:eastAsia="宋体"/>
                <w:sz w:val="24"/>
              </w:rPr>
              <w:t>单位整体支出绩效自评表</w:t>
            </w:r>
          </w:p>
        </w:tc>
      </w:tr>
      <w:tr w14:paraId="17DC3757">
        <w:tblPrEx>
          <w:tblCellMar>
            <w:top w:w="0" w:type="dxa"/>
            <w:left w:w="108" w:type="dxa"/>
            <w:bottom w:w="0" w:type="dxa"/>
            <w:right w:w="108" w:type="dxa"/>
          </w:tblCellMar>
        </w:tblPrEx>
        <w:tc>
          <w:tcPr>
            <w:tcW w:w="8847" w:type="dxa"/>
            <w:gridSpan w:val="9"/>
            <w:vAlign w:val="center"/>
          </w:tcPr>
          <w:p w14:paraId="2C2EA672">
            <w:pPr>
              <w:jc w:val="center"/>
            </w:pPr>
            <w:r>
              <w:rPr>
                <w:rFonts w:ascii="宋体" w:hAnsi="宋体" w:eastAsia="宋体"/>
                <w:sz w:val="24"/>
              </w:rPr>
              <w:t>（2024年度）</w:t>
            </w:r>
          </w:p>
        </w:tc>
      </w:tr>
      <w:tr w14:paraId="198CD4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F628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E4FBF2">
            <w:pPr>
              <w:jc w:val="center"/>
            </w:pPr>
            <w:r>
              <w:rPr>
                <w:rFonts w:ascii="宋体" w:hAnsi="宋体" w:eastAsia="宋体"/>
                <w:sz w:val="16"/>
              </w:rPr>
              <w:t>麦盖提县乡村振兴局</w:t>
            </w:r>
          </w:p>
        </w:tc>
      </w:tr>
      <w:tr w14:paraId="3E73A3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C32A3">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66FA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A28B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CD6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54FD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DC85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1989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FB1EF">
            <w:pPr>
              <w:jc w:val="center"/>
            </w:pPr>
            <w:r>
              <w:rPr>
                <w:rFonts w:ascii="宋体" w:hAnsi="宋体" w:eastAsia="宋体"/>
                <w:sz w:val="16"/>
              </w:rPr>
              <w:t>得分</w:t>
            </w:r>
          </w:p>
        </w:tc>
      </w:tr>
      <w:tr w14:paraId="418955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7DAD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88E0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42715">
            <w:pPr>
              <w:jc w:val="center"/>
            </w:pPr>
            <w:r>
              <w:rPr>
                <w:rFonts w:ascii="宋体" w:hAnsi="宋体" w:eastAsia="宋体"/>
                <w:sz w:val="16"/>
              </w:rPr>
              <w:t>26,898.37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1B643">
            <w:pPr>
              <w:jc w:val="center"/>
            </w:pPr>
            <w:r>
              <w:rPr>
                <w:rFonts w:ascii="宋体" w:hAnsi="宋体" w:eastAsia="宋体"/>
                <w:sz w:val="16"/>
              </w:rPr>
              <w:t>451.67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75E9C">
            <w:pPr>
              <w:jc w:val="center"/>
            </w:pPr>
            <w:r>
              <w:rPr>
                <w:rFonts w:ascii="宋体" w:hAnsi="宋体" w:eastAsia="宋体"/>
                <w:sz w:val="16"/>
              </w:rPr>
              <w:t>451.17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D75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71155">
            <w:pPr>
              <w:jc w:val="center"/>
            </w:pPr>
            <w:r>
              <w:rPr>
                <w:rFonts w:ascii="宋体" w:hAnsi="宋体" w:eastAsia="宋体"/>
                <w:sz w:val="16"/>
              </w:rPr>
              <w:t>99.89%</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7C706">
            <w:pPr>
              <w:jc w:val="center"/>
            </w:pPr>
            <w:r>
              <w:rPr>
                <w:rFonts w:ascii="宋体" w:hAnsi="宋体" w:eastAsia="宋体"/>
                <w:sz w:val="16"/>
              </w:rPr>
              <w:t>9.99</w:t>
            </w:r>
          </w:p>
        </w:tc>
      </w:tr>
      <w:tr w14:paraId="4BE9BF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7A4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F4BE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38B02">
            <w:pPr>
              <w:jc w:val="center"/>
            </w:pPr>
            <w:r>
              <w:rPr>
                <w:rFonts w:ascii="宋体" w:hAnsi="宋体" w:eastAsia="宋体"/>
                <w:sz w:val="16"/>
              </w:rPr>
              <w:t>26,325.20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315E3">
            <w:pPr>
              <w:jc w:val="center"/>
            </w:pPr>
            <w:r>
              <w:rPr>
                <w:rFonts w:ascii="宋体" w:hAnsi="宋体" w:eastAsia="宋体"/>
                <w:sz w:val="16"/>
              </w:rPr>
              <w:t>124.36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0C69D">
            <w:pPr>
              <w:jc w:val="center"/>
            </w:pPr>
            <w:r>
              <w:rPr>
                <w:rFonts w:ascii="宋体" w:hAnsi="宋体" w:eastAsia="宋体"/>
                <w:sz w:val="16"/>
              </w:rPr>
              <w:t>124.36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8C5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A723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D17A1">
            <w:pPr>
              <w:jc w:val="center"/>
            </w:pPr>
            <w:r>
              <w:rPr>
                <w:rFonts w:ascii="宋体" w:hAnsi="宋体" w:eastAsia="宋体"/>
                <w:sz w:val="16"/>
              </w:rPr>
              <w:t>—</w:t>
            </w:r>
          </w:p>
        </w:tc>
      </w:tr>
      <w:tr w14:paraId="354AE9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FDE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3EE0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D124C">
            <w:pPr>
              <w:jc w:val="center"/>
            </w:pPr>
            <w:r>
              <w:rPr>
                <w:rFonts w:ascii="宋体" w:hAnsi="宋体" w:eastAsia="宋体"/>
                <w:sz w:val="16"/>
              </w:rPr>
              <w:t>573.17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3866B">
            <w:pPr>
              <w:jc w:val="center"/>
            </w:pPr>
            <w:r>
              <w:rPr>
                <w:rFonts w:ascii="宋体" w:hAnsi="宋体" w:eastAsia="宋体"/>
                <w:sz w:val="16"/>
              </w:rPr>
              <w:t>326.41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543B1">
            <w:pPr>
              <w:jc w:val="center"/>
            </w:pPr>
            <w:r>
              <w:rPr>
                <w:rFonts w:ascii="宋体" w:hAnsi="宋体" w:eastAsia="宋体"/>
                <w:sz w:val="16"/>
              </w:rPr>
              <w:t>325.91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500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746F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38E5F">
            <w:pPr>
              <w:jc w:val="center"/>
            </w:pPr>
            <w:r>
              <w:rPr>
                <w:rFonts w:ascii="宋体" w:hAnsi="宋体" w:eastAsia="宋体"/>
                <w:sz w:val="16"/>
              </w:rPr>
              <w:t>—</w:t>
            </w:r>
          </w:p>
        </w:tc>
      </w:tr>
      <w:tr w14:paraId="6AB94C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2E6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45F8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1EC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3F325">
            <w:pPr>
              <w:jc w:val="center"/>
            </w:pPr>
            <w:r>
              <w:rPr>
                <w:rFonts w:ascii="宋体" w:hAnsi="宋体" w:eastAsia="宋体"/>
                <w:sz w:val="16"/>
              </w:rPr>
              <w:t>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1D707">
            <w:pPr>
              <w:jc w:val="center"/>
            </w:pPr>
            <w:r>
              <w:rPr>
                <w:rFonts w:ascii="宋体" w:hAnsi="宋体" w:eastAsia="宋体"/>
                <w:sz w:val="16"/>
              </w:rPr>
              <w:t>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68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8B1E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B7873">
            <w:pPr>
              <w:jc w:val="center"/>
            </w:pPr>
            <w:r>
              <w:rPr>
                <w:rFonts w:ascii="宋体" w:hAnsi="宋体" w:eastAsia="宋体"/>
                <w:sz w:val="16"/>
              </w:rPr>
              <w:t>—</w:t>
            </w:r>
          </w:p>
        </w:tc>
      </w:tr>
      <w:tr w14:paraId="0276DD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8202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D05C4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3D5E0">
            <w:pPr>
              <w:jc w:val="center"/>
              <w:rPr>
                <w:rFonts w:hint="eastAsia" w:eastAsia="宋体"/>
                <w:lang w:eastAsia="zh-CN"/>
              </w:rPr>
            </w:pPr>
            <w:r>
              <w:rPr>
                <w:rFonts w:hint="eastAsia" w:ascii="宋体" w:hAnsi="宋体"/>
                <w:sz w:val="16"/>
                <w:lang w:eastAsia="zh-CN"/>
              </w:rPr>
              <w:t>实际完成情况</w:t>
            </w:r>
          </w:p>
        </w:tc>
      </w:tr>
      <w:tr w14:paraId="1AC87C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B790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00BD6D">
            <w:pPr>
              <w:jc w:val="both"/>
            </w:pPr>
            <w:r>
              <w:rPr>
                <w:rFonts w:ascii="宋体" w:hAnsi="宋体" w:eastAsia="宋体"/>
                <w:sz w:val="16"/>
              </w:rPr>
              <w:t>1.贯彻执行国家、自治区、地区、县委巩固拓展脱贫攻坚成果同乡村振兴有效衔接工作的法律法规、方针政策，研究拟定麦盖提县巩固拓展脱贫攻坚成果同乡村振兴有效衔接工作战略规划和年度计划；</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2.制定全县</w:t>
            </w:r>
            <w:r>
              <w:rPr>
                <w:rFonts w:hint="eastAsia" w:ascii="宋体" w:hAnsi="宋体"/>
                <w:sz w:val="16"/>
                <w:lang w:eastAsia="zh-CN"/>
              </w:rPr>
              <w:t>巩固拓展脱贫攻坚成果同乡村振兴有效衔接</w:t>
            </w:r>
            <w:r>
              <w:rPr>
                <w:rFonts w:ascii="宋体" w:hAnsi="宋体" w:eastAsia="宋体"/>
                <w:sz w:val="16"/>
              </w:rPr>
              <w:t>项目规划和年度计划，指导项目实施，监督检查项目执行情况；</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3.编制并组织实施脱贫劳动力、乡村干部培训计划；组织乡村两级落实好巩固拓展脱贫攻坚成果同乡村振兴有效衔接重点工作；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4.拟定年度巩固拓展脱贫攻坚成果同乡村振兴有效衔接方案，组织对巩固拓展脱贫攻坚成果情况进行统计和动态监测，开展防返贫致贫信息的统计监测工作，负责脱贫户和监测对象管理；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5.指导全县巩固拓展脱贫攻坚成果同乡村振兴有效衔接领域问题整改工作，负责开展巩固拓展脱贫攻坚成果同乡村振兴有效衔接政策培训工作；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6.是负责制定年度</w:t>
            </w:r>
            <w:r>
              <w:rPr>
                <w:rFonts w:hint="eastAsia" w:ascii="宋体" w:hAnsi="宋体"/>
                <w:sz w:val="16"/>
                <w:lang w:eastAsia="zh-CN"/>
              </w:rPr>
              <w:t>巩固拓展脱贫攻坚成果</w:t>
            </w:r>
            <w:r>
              <w:rPr>
                <w:rFonts w:ascii="宋体" w:hAnsi="宋体" w:eastAsia="宋体"/>
                <w:sz w:val="16"/>
              </w:rPr>
              <w:t>同</w:t>
            </w:r>
            <w:r>
              <w:rPr>
                <w:rFonts w:hint="eastAsia" w:ascii="宋体" w:hAnsi="宋体"/>
                <w:sz w:val="16"/>
                <w:lang w:eastAsia="zh-CN"/>
              </w:rPr>
              <w:t>乡村振兴有效衔接</w:t>
            </w:r>
            <w:r>
              <w:rPr>
                <w:rFonts w:ascii="宋体" w:hAnsi="宋体" w:eastAsia="宋体"/>
                <w:sz w:val="16"/>
              </w:rPr>
              <w:t>考核，对各乡村、各行业部门</w:t>
            </w:r>
            <w:r>
              <w:rPr>
                <w:rFonts w:hint="eastAsia" w:ascii="宋体" w:hAnsi="宋体"/>
                <w:sz w:val="16"/>
                <w:lang w:eastAsia="zh-CN"/>
              </w:rPr>
              <w:t>巩固拓展脱贫攻坚成果</w:t>
            </w:r>
            <w:r>
              <w:rPr>
                <w:rFonts w:ascii="宋体" w:hAnsi="宋体" w:eastAsia="宋体"/>
                <w:sz w:val="16"/>
              </w:rPr>
              <w:t>进行考核，全面做好迎接地区、自治区和国家乡村振兴局组织的年度后评估考核等工作；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7.承办县委、县政府交办的</w:t>
            </w:r>
            <w:r>
              <w:rPr>
                <w:rFonts w:hint="eastAsia" w:ascii="宋体" w:hAnsi="宋体"/>
                <w:sz w:val="16"/>
                <w:lang w:eastAsia="zh-CN"/>
              </w:rPr>
              <w:t>其他</w:t>
            </w:r>
            <w:r>
              <w:rPr>
                <w:rFonts w:ascii="宋体" w:hAnsi="宋体" w:eastAsia="宋体"/>
                <w:sz w:val="16"/>
              </w:rPr>
              <w:t>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447C7E">
            <w:pPr>
              <w:jc w:val="both"/>
            </w:pPr>
            <w:r>
              <w:rPr>
                <w:rFonts w:ascii="宋体" w:hAnsi="宋体" w:eastAsia="宋体"/>
                <w:sz w:val="16"/>
              </w:rPr>
              <w:t>2024年度部门整体支出绩效自评综合得分99.99分，评价结果为“优”。今年，</w:t>
            </w:r>
            <w:r>
              <w:rPr>
                <w:rFonts w:hint="eastAsia" w:ascii="宋体" w:hAnsi="宋体"/>
                <w:sz w:val="16"/>
                <w:lang w:eastAsia="zh-CN"/>
              </w:rPr>
              <w:t>本单位</w:t>
            </w:r>
            <w:r>
              <w:rPr>
                <w:rFonts w:ascii="宋体" w:hAnsi="宋体" w:eastAsia="宋体"/>
                <w:sz w:val="16"/>
              </w:rPr>
              <w:t>严格遵循地委、行署以及自治区在财政资金管理、政策执行和工作任务落实等方面的要求，全面强化预算管理与成本控制，优化资源配置，高效推进各项工作任务。从整体支出绩效来看，成效显著，达成了年初设定的预期目标。2024年组织开展返 贫监测服务指导 19 次，扶贫（衔接）资产监督核查 5 次，户厕 整改服务指导 30 余次，美丽庭院建设指导 8 次，受益巩固脱贫检测覆盖率100%，衔接资金项目保障率和衔接资金项目问题整改完成率达到100%，义务教育阶段学龄少年儿童教育教学全覆盖率100%。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在预算执行上，严格把控支出进度与方向，确保每一笔资金都精准投入到关键业务领域，预算执行率达到99.9%，有力保障了日常工作的顺利开展与重点项目的稳步推进。在项目产出方面，项目管理费，2023年麦盖提县库尔玛乡塔木墩村乡村振兴人居环境整治建设项目和2023年麦盖提县希依提墩乡喀克夏勒村乡村振兴人居环境整治建设项目等项目提前完成,所有项目于2024年7月都已完成支付，质量远超预期标准，获得了上级部门的高度认可；</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综合评估，</w:t>
            </w:r>
            <w:r>
              <w:rPr>
                <w:rFonts w:hint="eastAsia" w:ascii="宋体" w:hAnsi="宋体"/>
                <w:sz w:val="16"/>
                <w:lang w:eastAsia="zh-CN"/>
              </w:rPr>
              <w:t>本单位</w:t>
            </w:r>
            <w:r>
              <w:rPr>
                <w:rFonts w:ascii="宋体" w:hAnsi="宋体" w:eastAsia="宋体"/>
                <w:sz w:val="16"/>
              </w:rPr>
              <w:t>在本年度部门整体支出绩效表现优秀，各项工作有序推进，资金使用效益显著，为地区发展和政策落实提供了有力支持 。</w:t>
            </w:r>
          </w:p>
        </w:tc>
      </w:tr>
      <w:tr w14:paraId="49E64D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4C05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E8B6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D42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BF68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53ED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BA95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0322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AE77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2E35A">
            <w:pPr>
              <w:jc w:val="center"/>
            </w:pPr>
            <w:r>
              <w:rPr>
                <w:rFonts w:ascii="宋体" w:hAnsi="宋体" w:eastAsia="宋体"/>
                <w:sz w:val="16"/>
              </w:rPr>
              <w:t>得分</w:t>
            </w:r>
          </w:p>
        </w:tc>
      </w:tr>
      <w:tr w14:paraId="194595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F742C">
            <w:pPr>
              <w:jc w:val="center"/>
            </w:pPr>
            <w:r>
              <w:rPr>
                <w:rFonts w:ascii="宋体" w:hAnsi="宋体" w:eastAsia="宋体"/>
                <w:sz w:val="16"/>
              </w:rPr>
              <w:t>履职效能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DB9E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6CCFD">
            <w:pPr>
              <w:jc w:val="center"/>
            </w:pPr>
            <w:r>
              <w:rPr>
                <w:rFonts w:ascii="宋体" w:hAnsi="宋体" w:eastAsia="宋体"/>
                <w:sz w:val="16"/>
              </w:rPr>
              <w:t>组织开展返贫监测服务指导次数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8DFDA">
            <w:pPr>
              <w:jc w:val="center"/>
            </w:pPr>
            <w:r>
              <w:rPr>
                <w:rFonts w:ascii="宋体" w:hAnsi="宋体" w:eastAsia="宋体"/>
                <w:sz w:val="16"/>
              </w:rPr>
              <w:t>&gt;=19次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0ABF3">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F3EA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9DFF0">
            <w:pPr>
              <w:jc w:val="center"/>
            </w:pPr>
            <w:r>
              <w:rPr>
                <w:rFonts w:ascii="宋体" w:hAnsi="宋体" w:eastAsia="宋体"/>
                <w:sz w:val="16"/>
              </w:rPr>
              <w:t>19次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318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E4A56">
            <w:pPr>
              <w:jc w:val="center"/>
            </w:pPr>
            <w:r>
              <w:rPr>
                <w:rFonts w:ascii="宋体" w:hAnsi="宋体" w:eastAsia="宋体"/>
                <w:sz w:val="16"/>
              </w:rPr>
              <w:t>18</w:t>
            </w:r>
          </w:p>
        </w:tc>
      </w:tr>
      <w:tr w14:paraId="250F88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C31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13B7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EFEF5">
            <w:pPr>
              <w:jc w:val="center"/>
            </w:pPr>
            <w:r>
              <w:rPr>
                <w:rFonts w:ascii="宋体" w:hAnsi="宋体" w:eastAsia="宋体"/>
                <w:sz w:val="16"/>
              </w:rPr>
              <w:t>衔接资金项目问题整改完成率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9BC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F3939">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828E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7F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75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E0A48">
            <w:pPr>
              <w:jc w:val="center"/>
            </w:pPr>
            <w:r>
              <w:rPr>
                <w:rFonts w:ascii="宋体" w:hAnsi="宋体" w:eastAsia="宋体"/>
                <w:sz w:val="16"/>
              </w:rPr>
              <w:t>18</w:t>
            </w:r>
          </w:p>
        </w:tc>
      </w:tr>
      <w:tr w14:paraId="36B6A0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B5D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5C7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92F5B">
            <w:pPr>
              <w:jc w:val="center"/>
            </w:pPr>
            <w:r>
              <w:rPr>
                <w:rFonts w:ascii="宋体" w:hAnsi="宋体" w:eastAsia="宋体"/>
                <w:sz w:val="16"/>
              </w:rPr>
              <w:t>衔接资金项目保障率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F51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08E03">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0C1C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1C0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E0D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5298D">
            <w:pPr>
              <w:jc w:val="center"/>
            </w:pPr>
            <w:r>
              <w:rPr>
                <w:rFonts w:ascii="宋体" w:hAnsi="宋体" w:eastAsia="宋体"/>
                <w:sz w:val="16"/>
              </w:rPr>
              <w:t>18</w:t>
            </w:r>
          </w:p>
        </w:tc>
      </w:tr>
      <w:tr w14:paraId="65F4BD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76F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726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20B3B">
            <w:pPr>
              <w:jc w:val="center"/>
            </w:pPr>
            <w:r>
              <w:rPr>
                <w:rFonts w:ascii="宋体" w:hAnsi="宋体" w:eastAsia="宋体"/>
                <w:sz w:val="16"/>
              </w:rPr>
              <w:t>义务教育阶段学龄少年儿童教育教学全覆盖率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A51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31E6A">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DD9E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98B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03A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6888B">
            <w:pPr>
              <w:jc w:val="center"/>
            </w:pPr>
            <w:r>
              <w:rPr>
                <w:rFonts w:ascii="宋体" w:hAnsi="宋体" w:eastAsia="宋体"/>
                <w:sz w:val="16"/>
              </w:rPr>
              <w:t>18</w:t>
            </w:r>
          </w:p>
        </w:tc>
      </w:tr>
      <w:tr w14:paraId="74902D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900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BBC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EB8CF">
            <w:pPr>
              <w:jc w:val="center"/>
            </w:pPr>
            <w:r>
              <w:rPr>
                <w:rFonts w:ascii="宋体" w:hAnsi="宋体" w:eastAsia="宋体"/>
                <w:sz w:val="16"/>
              </w:rPr>
              <w:t>受益巩固脱贫检测覆盖率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2BB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333C1">
            <w:pPr>
              <w:jc w:val="center"/>
            </w:pPr>
            <w:r>
              <w:rPr>
                <w:rFonts w:ascii="宋体" w:hAnsi="宋体" w:eastAsia="宋体"/>
                <w:sz w:val="16"/>
              </w:rPr>
              <w:t>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F8DD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9FF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0DE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8923B">
            <w:pPr>
              <w:jc w:val="center"/>
            </w:pPr>
            <w:r>
              <w:rPr>
                <w:rFonts w:ascii="宋体" w:hAnsi="宋体" w:eastAsia="宋体"/>
                <w:sz w:val="16"/>
              </w:rPr>
              <w:t>18</w:t>
            </w:r>
          </w:p>
        </w:tc>
      </w:tr>
    </w:tbl>
    <w:p w14:paraId="7EF1AC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4520C02">
        <w:tblPrEx>
          <w:tblCellMar>
            <w:top w:w="0" w:type="dxa"/>
            <w:left w:w="108" w:type="dxa"/>
            <w:bottom w:w="0" w:type="dxa"/>
            <w:right w:w="108" w:type="dxa"/>
          </w:tblCellMar>
        </w:tblPrEx>
        <w:tc>
          <w:tcPr>
            <w:tcW w:w="8848" w:type="dxa"/>
            <w:gridSpan w:val="14"/>
            <w:vAlign w:val="center"/>
          </w:tcPr>
          <w:p w14:paraId="2CD402A1">
            <w:pPr>
              <w:jc w:val="center"/>
            </w:pPr>
            <w:r>
              <w:rPr>
                <w:rFonts w:ascii="宋体" w:hAnsi="宋体" w:eastAsia="宋体"/>
                <w:sz w:val="24"/>
              </w:rPr>
              <w:t>项目支出绩效自评表</w:t>
            </w:r>
          </w:p>
        </w:tc>
      </w:tr>
      <w:tr w14:paraId="75AF231D">
        <w:tblPrEx>
          <w:tblCellMar>
            <w:top w:w="0" w:type="dxa"/>
            <w:left w:w="108" w:type="dxa"/>
            <w:bottom w:w="0" w:type="dxa"/>
            <w:right w:w="108" w:type="dxa"/>
          </w:tblCellMar>
        </w:tblPrEx>
        <w:tc>
          <w:tcPr>
            <w:tcW w:w="8848" w:type="dxa"/>
            <w:gridSpan w:val="14"/>
            <w:vAlign w:val="center"/>
          </w:tcPr>
          <w:p w14:paraId="2F8B0DC2">
            <w:pPr>
              <w:jc w:val="center"/>
            </w:pPr>
            <w:r>
              <w:rPr>
                <w:rFonts w:ascii="宋体" w:hAnsi="宋体" w:eastAsia="宋体"/>
                <w:sz w:val="24"/>
              </w:rPr>
              <w:t>(2024年度)</w:t>
            </w:r>
          </w:p>
        </w:tc>
      </w:tr>
      <w:tr w14:paraId="319A84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D6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D56AAC">
            <w:pPr>
              <w:jc w:val="center"/>
            </w:pPr>
            <w:r>
              <w:rPr>
                <w:rFonts w:ascii="宋体" w:hAnsi="宋体" w:eastAsia="宋体"/>
                <w:sz w:val="16"/>
              </w:rPr>
              <w:t>2023年麦盖提县库尔玛乡塔木墩村、希依提墩乡喀克夏勒村乡村振兴人居环境整治建设项目</w:t>
            </w:r>
          </w:p>
        </w:tc>
      </w:tr>
      <w:tr w14:paraId="18D586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B3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949500">
            <w:pPr>
              <w:jc w:val="center"/>
            </w:pPr>
            <w:r>
              <w:rPr>
                <w:rFonts w:ascii="宋体" w:hAnsi="宋体" w:eastAsia="宋体"/>
                <w:sz w:val="16"/>
              </w:rPr>
              <w:t>麦盖提县乡村振兴局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1F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45BFEC">
            <w:pPr>
              <w:jc w:val="center"/>
            </w:pPr>
            <w:r>
              <w:rPr>
                <w:rFonts w:ascii="宋体" w:hAnsi="宋体" w:eastAsia="宋体"/>
                <w:sz w:val="16"/>
              </w:rPr>
              <w:t>麦盖提县乡村振兴局</w:t>
            </w:r>
          </w:p>
        </w:tc>
      </w:tr>
      <w:tr w14:paraId="7C52F5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7FB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365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EC3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0C2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E55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699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36B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22BB">
            <w:pPr>
              <w:jc w:val="center"/>
            </w:pPr>
            <w:r>
              <w:rPr>
                <w:rFonts w:ascii="宋体" w:hAnsi="宋体" w:eastAsia="宋体"/>
                <w:sz w:val="16"/>
              </w:rPr>
              <w:t>得分</w:t>
            </w:r>
          </w:p>
        </w:tc>
      </w:tr>
      <w:tr w14:paraId="57254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92C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68D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66E10">
            <w:pPr>
              <w:jc w:val="center"/>
            </w:pPr>
            <w:r>
              <w:rPr>
                <w:rFonts w:ascii="宋体" w:hAnsi="宋体" w:eastAsia="宋体"/>
                <w:sz w:val="16"/>
              </w:rPr>
              <w:t>38.25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1752D">
            <w:pPr>
              <w:jc w:val="center"/>
            </w:pPr>
            <w:r>
              <w:rPr>
                <w:rFonts w:ascii="宋体" w:hAnsi="宋体" w:eastAsia="宋体"/>
                <w:sz w:val="16"/>
              </w:rPr>
              <w:t>38.25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4F792">
            <w:pPr>
              <w:jc w:val="center"/>
            </w:pPr>
            <w:r>
              <w:rPr>
                <w:rFonts w:ascii="宋体" w:hAnsi="宋体" w:eastAsia="宋体"/>
                <w:sz w:val="16"/>
              </w:rPr>
              <w:t>38.25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13B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E82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E46F">
            <w:pPr>
              <w:jc w:val="center"/>
            </w:pPr>
            <w:r>
              <w:rPr>
                <w:rFonts w:ascii="宋体" w:hAnsi="宋体" w:eastAsia="宋体"/>
                <w:sz w:val="16"/>
              </w:rPr>
              <w:t>10.00分</w:t>
            </w:r>
          </w:p>
        </w:tc>
      </w:tr>
      <w:tr w14:paraId="6B11D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B99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C13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316A8">
            <w:pPr>
              <w:jc w:val="center"/>
            </w:pPr>
            <w:r>
              <w:rPr>
                <w:rFonts w:ascii="宋体" w:hAnsi="宋体" w:eastAsia="宋体"/>
                <w:sz w:val="16"/>
              </w:rPr>
              <w:t>38.25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BF24C">
            <w:pPr>
              <w:jc w:val="center"/>
            </w:pPr>
            <w:r>
              <w:rPr>
                <w:rFonts w:ascii="宋体" w:hAnsi="宋体" w:eastAsia="宋体"/>
                <w:sz w:val="16"/>
              </w:rPr>
              <w:t>38.25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8076E">
            <w:pPr>
              <w:jc w:val="center"/>
            </w:pPr>
            <w:r>
              <w:rPr>
                <w:rFonts w:ascii="宋体" w:hAnsi="宋体" w:eastAsia="宋体"/>
                <w:sz w:val="16"/>
              </w:rPr>
              <w:t>38.25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808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5B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03B3">
            <w:pPr>
              <w:jc w:val="center"/>
            </w:pPr>
            <w:r>
              <w:rPr>
                <w:rFonts w:ascii="宋体" w:hAnsi="宋体" w:eastAsia="宋体"/>
                <w:sz w:val="16"/>
              </w:rPr>
              <w:t>—</w:t>
            </w:r>
          </w:p>
        </w:tc>
      </w:tr>
      <w:tr w14:paraId="7C92D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A1F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7D9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883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776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C47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656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122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3A6C">
            <w:pPr>
              <w:jc w:val="center"/>
            </w:pPr>
            <w:r>
              <w:rPr>
                <w:rFonts w:ascii="宋体" w:hAnsi="宋体" w:eastAsia="宋体"/>
                <w:sz w:val="16"/>
              </w:rPr>
              <w:t>—</w:t>
            </w:r>
          </w:p>
        </w:tc>
      </w:tr>
      <w:tr w14:paraId="5CACCB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B92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D1B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07C681">
            <w:pPr>
              <w:jc w:val="center"/>
            </w:pPr>
            <w:r>
              <w:rPr>
                <w:rFonts w:ascii="宋体" w:hAnsi="宋体" w:eastAsia="宋体"/>
                <w:sz w:val="16"/>
              </w:rPr>
              <w:t>实际完成情况</w:t>
            </w:r>
          </w:p>
        </w:tc>
      </w:tr>
      <w:tr w14:paraId="6347C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A65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2E57F1">
            <w:pPr>
              <w:jc w:val="both"/>
            </w:pPr>
            <w:r>
              <w:rPr>
                <w:rFonts w:ascii="宋体" w:hAnsi="宋体" w:eastAsia="宋体"/>
                <w:sz w:val="16"/>
              </w:rPr>
              <w:t>本项目资金38.25万元，主要用于2个村人居环境整治，有效提升村民生活环境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4BDDCE">
            <w:pPr>
              <w:jc w:val="both"/>
            </w:pPr>
            <w:r>
              <w:rPr>
                <w:rFonts w:ascii="宋体" w:hAnsi="宋体" w:eastAsia="宋体"/>
                <w:sz w:val="16"/>
              </w:rPr>
              <w:t>截至自评节点，本项目资金已支出38.25万元，完成用于2个村人居环境整治，有效提升了村民生活环境。</w:t>
            </w:r>
          </w:p>
        </w:tc>
      </w:tr>
      <w:tr w14:paraId="71E3BB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CF3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13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A6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9D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47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77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17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44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F6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0C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D4E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18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2047E">
            <w:pPr>
              <w:jc w:val="center"/>
            </w:pPr>
            <w:r>
              <w:rPr>
                <w:rFonts w:ascii="宋体" w:hAnsi="宋体" w:eastAsia="宋体"/>
                <w:sz w:val="16"/>
              </w:rPr>
              <w:t>偏差原因分析及改进措施</w:t>
            </w:r>
          </w:p>
        </w:tc>
      </w:tr>
      <w:tr w14:paraId="735567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23E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94F2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FB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31D4">
            <w:pPr>
              <w:jc w:val="center"/>
            </w:pPr>
            <w:r>
              <w:rPr>
                <w:rFonts w:ascii="宋体" w:hAnsi="宋体" w:eastAsia="宋体"/>
                <w:sz w:val="16"/>
              </w:rPr>
              <w:t>村级环境整治数量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2A7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8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82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43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1E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F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378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63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AF7B8">
            <w:pPr>
              <w:jc w:val="center"/>
            </w:pPr>
          </w:p>
        </w:tc>
      </w:tr>
      <w:tr w14:paraId="63395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B6A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F5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19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EE7A">
            <w:pPr>
              <w:jc w:val="center"/>
            </w:pPr>
            <w:r>
              <w:rPr>
                <w:rFonts w:ascii="宋体" w:hAnsi="宋体" w:eastAsia="宋体"/>
                <w:sz w:val="16"/>
              </w:rPr>
              <w:t>环境验收合格率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7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B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68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75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75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03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8F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FC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D5D24">
            <w:pPr>
              <w:jc w:val="center"/>
            </w:pPr>
          </w:p>
        </w:tc>
      </w:tr>
      <w:tr w14:paraId="6EAC7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65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163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D12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0C6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EB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BD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C3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46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D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1D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F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ED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2A501">
            <w:pPr>
              <w:jc w:val="center"/>
            </w:pPr>
          </w:p>
        </w:tc>
      </w:tr>
      <w:tr w14:paraId="46362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0F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3F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35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19FE">
            <w:pPr>
              <w:jc w:val="center"/>
            </w:pPr>
            <w:r>
              <w:rPr>
                <w:rFonts w:ascii="宋体" w:hAnsi="宋体" w:eastAsia="宋体"/>
                <w:sz w:val="16"/>
              </w:rPr>
              <w:t>资金尾款支付时间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706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8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8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9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5F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66E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74A0">
            <w:pPr>
              <w:jc w:val="center"/>
            </w:pPr>
            <w:r>
              <w:rPr>
                <w:rFonts w:ascii="宋体" w:hAnsi="宋体" w:eastAsia="宋体"/>
                <w:sz w:val="16"/>
              </w:rPr>
              <w:t>=2024年6月7日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A9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F162E">
            <w:pPr>
              <w:jc w:val="center"/>
            </w:pPr>
          </w:p>
        </w:tc>
      </w:tr>
      <w:tr w14:paraId="5D16C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0E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CC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27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37DA">
            <w:pPr>
              <w:jc w:val="center"/>
            </w:pPr>
            <w:r>
              <w:rPr>
                <w:rFonts w:ascii="宋体" w:hAnsi="宋体" w:eastAsia="宋体"/>
                <w:sz w:val="16"/>
              </w:rPr>
              <w:t>村级环境整治成本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DC0B">
            <w:pPr>
              <w:jc w:val="center"/>
            </w:pPr>
            <w:r>
              <w:rPr>
                <w:rFonts w:ascii="宋体" w:hAnsi="宋体" w:eastAsia="宋体"/>
                <w:sz w:val="16"/>
              </w:rPr>
              <w:t>&lt;=19.12万元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4F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D4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CA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B6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F4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EE13">
            <w:pPr>
              <w:jc w:val="center"/>
            </w:pPr>
            <w:r>
              <w:rPr>
                <w:rFonts w:ascii="宋体" w:hAnsi="宋体" w:eastAsia="宋体"/>
                <w:sz w:val="16"/>
              </w:rPr>
              <w:t>=19.12万元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99A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07B50">
            <w:pPr>
              <w:jc w:val="center"/>
            </w:pPr>
          </w:p>
        </w:tc>
      </w:tr>
      <w:tr w14:paraId="0CA80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6F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0F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CAF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88CD">
            <w:pPr>
              <w:jc w:val="center"/>
            </w:pPr>
            <w:r>
              <w:rPr>
                <w:rFonts w:ascii="宋体" w:hAnsi="宋体" w:eastAsia="宋体"/>
                <w:sz w:val="16"/>
              </w:rPr>
              <w:t>有效促进乡村环境整洁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A04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26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72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E3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FE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D47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346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EB0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2A9F8">
            <w:pPr>
              <w:jc w:val="center"/>
            </w:pPr>
          </w:p>
        </w:tc>
      </w:tr>
      <w:tr w14:paraId="4BDBB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DC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42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68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081E">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A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D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79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41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A1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57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F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40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6E87A">
            <w:pPr>
              <w:jc w:val="center"/>
            </w:pPr>
          </w:p>
        </w:tc>
      </w:tr>
      <w:tr w14:paraId="4F9B40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E63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B4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040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D43D28">
            <w:pPr>
              <w:jc w:val="center"/>
            </w:pPr>
            <w:r>
              <w:rPr>
                <w:rFonts w:ascii="宋体" w:hAnsi="宋体" w:eastAsia="宋体"/>
                <w:sz w:val="16"/>
              </w:rPr>
              <w:t>100分</w:t>
            </w:r>
          </w:p>
        </w:tc>
      </w:tr>
    </w:tbl>
    <w:p w14:paraId="7EC9F9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2092DAA">
        <w:tblPrEx>
          <w:tblCellMar>
            <w:top w:w="0" w:type="dxa"/>
            <w:left w:w="108" w:type="dxa"/>
            <w:bottom w:w="0" w:type="dxa"/>
            <w:right w:w="108" w:type="dxa"/>
          </w:tblCellMar>
        </w:tblPrEx>
        <w:tc>
          <w:tcPr>
            <w:tcW w:w="8848" w:type="dxa"/>
            <w:gridSpan w:val="14"/>
            <w:vAlign w:val="center"/>
          </w:tcPr>
          <w:p w14:paraId="12DD256F">
            <w:pPr>
              <w:jc w:val="center"/>
            </w:pPr>
            <w:r>
              <w:rPr>
                <w:rFonts w:ascii="宋体" w:hAnsi="宋体" w:eastAsia="宋体"/>
                <w:sz w:val="24"/>
              </w:rPr>
              <w:t>项目支出绩效自评表</w:t>
            </w:r>
          </w:p>
        </w:tc>
      </w:tr>
      <w:tr w14:paraId="6B26FC22">
        <w:tblPrEx>
          <w:tblCellMar>
            <w:top w:w="0" w:type="dxa"/>
            <w:left w:w="108" w:type="dxa"/>
            <w:bottom w:w="0" w:type="dxa"/>
            <w:right w:w="108" w:type="dxa"/>
          </w:tblCellMar>
        </w:tblPrEx>
        <w:tc>
          <w:tcPr>
            <w:tcW w:w="8848" w:type="dxa"/>
            <w:gridSpan w:val="14"/>
            <w:vAlign w:val="center"/>
          </w:tcPr>
          <w:p w14:paraId="5AFEAC97">
            <w:pPr>
              <w:jc w:val="center"/>
            </w:pPr>
            <w:r>
              <w:rPr>
                <w:rFonts w:ascii="宋体" w:hAnsi="宋体" w:eastAsia="宋体"/>
                <w:sz w:val="24"/>
              </w:rPr>
              <w:t>(2024年度)</w:t>
            </w:r>
          </w:p>
        </w:tc>
      </w:tr>
      <w:tr w14:paraId="175AAF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21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D98FFC">
            <w:pPr>
              <w:jc w:val="center"/>
            </w:pPr>
            <w:r>
              <w:rPr>
                <w:rFonts w:ascii="宋体" w:hAnsi="宋体" w:eastAsia="宋体"/>
                <w:sz w:val="16"/>
              </w:rPr>
              <w:t>库尔玛乡塔木墩村“积分制超市”捐赠资金项目</w:t>
            </w:r>
          </w:p>
        </w:tc>
      </w:tr>
      <w:tr w14:paraId="240A22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D9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3A2D83">
            <w:pPr>
              <w:jc w:val="center"/>
            </w:pPr>
            <w:r>
              <w:rPr>
                <w:rFonts w:ascii="宋体" w:hAnsi="宋体" w:eastAsia="宋体"/>
                <w:sz w:val="16"/>
              </w:rPr>
              <w:t>麦盖提县乡村振兴局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0F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22A491">
            <w:pPr>
              <w:jc w:val="center"/>
            </w:pPr>
            <w:r>
              <w:rPr>
                <w:rFonts w:ascii="宋体" w:hAnsi="宋体" w:eastAsia="宋体"/>
                <w:sz w:val="16"/>
              </w:rPr>
              <w:t>麦盖提县乡村振兴局</w:t>
            </w:r>
          </w:p>
        </w:tc>
      </w:tr>
      <w:tr w14:paraId="3EB3BA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EDF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3D6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93C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CAA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3C2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875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F2A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D3F4">
            <w:pPr>
              <w:jc w:val="center"/>
            </w:pPr>
            <w:r>
              <w:rPr>
                <w:rFonts w:ascii="宋体" w:hAnsi="宋体" w:eastAsia="宋体"/>
                <w:sz w:val="16"/>
              </w:rPr>
              <w:t>得分</w:t>
            </w:r>
          </w:p>
        </w:tc>
      </w:tr>
      <w:tr w14:paraId="42A3D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20B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DA7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8FE3C">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9730B">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B8C8F">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C1D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338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D877">
            <w:pPr>
              <w:jc w:val="center"/>
            </w:pPr>
            <w:r>
              <w:rPr>
                <w:rFonts w:ascii="宋体" w:hAnsi="宋体" w:eastAsia="宋体"/>
                <w:sz w:val="16"/>
              </w:rPr>
              <w:t>10.00分</w:t>
            </w:r>
          </w:p>
        </w:tc>
      </w:tr>
      <w:tr w14:paraId="292B4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81C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C09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36CAE">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FF6A4">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761B2">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86F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B2D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6423">
            <w:pPr>
              <w:jc w:val="center"/>
            </w:pPr>
            <w:r>
              <w:rPr>
                <w:rFonts w:ascii="宋体" w:hAnsi="宋体" w:eastAsia="宋体"/>
                <w:sz w:val="16"/>
              </w:rPr>
              <w:t>—</w:t>
            </w:r>
          </w:p>
        </w:tc>
      </w:tr>
      <w:tr w14:paraId="389C5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4F1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C09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7AC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1EC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1F9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F35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AFD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5169">
            <w:pPr>
              <w:jc w:val="center"/>
            </w:pPr>
            <w:r>
              <w:rPr>
                <w:rFonts w:ascii="宋体" w:hAnsi="宋体" w:eastAsia="宋体"/>
                <w:sz w:val="16"/>
              </w:rPr>
              <w:t>—</w:t>
            </w:r>
          </w:p>
        </w:tc>
      </w:tr>
      <w:tr w14:paraId="2BCAD7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BC43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8DA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6B73AF">
            <w:pPr>
              <w:jc w:val="center"/>
            </w:pPr>
            <w:r>
              <w:rPr>
                <w:rFonts w:ascii="宋体" w:hAnsi="宋体" w:eastAsia="宋体"/>
                <w:sz w:val="16"/>
              </w:rPr>
              <w:t>实际完成情况</w:t>
            </w:r>
          </w:p>
        </w:tc>
      </w:tr>
      <w:tr w14:paraId="742E8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27C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0E146">
            <w:pPr>
              <w:jc w:val="both"/>
            </w:pPr>
            <w:r>
              <w:rPr>
                <w:rFonts w:ascii="宋体" w:hAnsi="宋体" w:eastAsia="宋体"/>
                <w:sz w:val="16"/>
              </w:rPr>
              <w:t>本项目资金0.9w，主要用于1批“积分制超市”商品采购，有效提高村民积极参与村集体活动、保持村镇卫生、村民上学积极性。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0F3490">
            <w:pPr>
              <w:jc w:val="both"/>
            </w:pPr>
            <w:r>
              <w:rPr>
                <w:rFonts w:ascii="宋体" w:hAnsi="宋体" w:eastAsia="宋体"/>
                <w:sz w:val="16"/>
              </w:rPr>
              <w:t>截至自评节点，本项目实际支出0.9万元，已完成1批“积分制超市”商品采购，有效提高了村民参与村集体活动的积极性、保持了村镇卫生、村民上学积极性。</w:t>
            </w:r>
          </w:p>
        </w:tc>
      </w:tr>
      <w:tr w14:paraId="3583AF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D4A0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F2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4A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BB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3C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3F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BF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C0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F7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C2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2B7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245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4A188">
            <w:pPr>
              <w:jc w:val="center"/>
            </w:pPr>
            <w:r>
              <w:rPr>
                <w:rFonts w:ascii="宋体" w:hAnsi="宋体" w:eastAsia="宋体"/>
                <w:sz w:val="16"/>
              </w:rPr>
              <w:t>偏差原因分析及改进措施</w:t>
            </w:r>
          </w:p>
        </w:tc>
      </w:tr>
      <w:tr w14:paraId="45A665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3F7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49CE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3A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A2F8">
            <w:pPr>
              <w:jc w:val="center"/>
            </w:pPr>
            <w:r>
              <w:rPr>
                <w:rFonts w:ascii="宋体" w:hAnsi="宋体" w:eastAsia="宋体"/>
                <w:sz w:val="16"/>
              </w:rPr>
              <w:t>采购物品批次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9DE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33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28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45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59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FD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EED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D0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1828B">
            <w:pPr>
              <w:jc w:val="center"/>
            </w:pPr>
          </w:p>
        </w:tc>
      </w:tr>
      <w:tr w14:paraId="0DEC4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D1A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18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F4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4609">
            <w:pPr>
              <w:jc w:val="center"/>
            </w:pPr>
            <w:r>
              <w:rPr>
                <w:rFonts w:ascii="宋体" w:hAnsi="宋体" w:eastAsia="宋体"/>
                <w:sz w:val="16"/>
              </w:rPr>
              <w:t>产品质量合格率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5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F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E6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50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76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3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C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38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D6AEE">
            <w:pPr>
              <w:jc w:val="center"/>
            </w:pPr>
          </w:p>
        </w:tc>
      </w:tr>
      <w:tr w14:paraId="6C864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E2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C1E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579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37AF">
            <w:pPr>
              <w:jc w:val="center"/>
            </w:pPr>
            <w:r>
              <w:rPr>
                <w:rFonts w:ascii="宋体" w:hAnsi="宋体" w:eastAsia="宋体"/>
                <w:sz w:val="16"/>
              </w:rPr>
              <w:t>产品采购及时率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D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8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8D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DA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66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F2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96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5A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D82B5">
            <w:pPr>
              <w:jc w:val="center"/>
            </w:pPr>
          </w:p>
        </w:tc>
      </w:tr>
      <w:tr w14:paraId="0E98E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D2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0C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E9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E2DC">
            <w:pPr>
              <w:jc w:val="center"/>
            </w:pPr>
            <w:r>
              <w:rPr>
                <w:rFonts w:ascii="宋体" w:hAnsi="宋体" w:eastAsia="宋体"/>
                <w:sz w:val="16"/>
              </w:rPr>
              <w:t>尾款支付时间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992A">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4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EC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17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C8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E3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133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03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67D14">
            <w:pPr>
              <w:jc w:val="center"/>
            </w:pPr>
          </w:p>
        </w:tc>
      </w:tr>
      <w:tr w14:paraId="6A421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A7F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9D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69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7D24">
            <w:pPr>
              <w:jc w:val="center"/>
            </w:pPr>
            <w:r>
              <w:rPr>
                <w:rFonts w:ascii="宋体" w:hAnsi="宋体" w:eastAsia="宋体"/>
                <w:sz w:val="16"/>
              </w:rPr>
              <w:t>采购产品成本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177F">
            <w:pPr>
              <w:jc w:val="center"/>
            </w:pPr>
            <w:r>
              <w:rPr>
                <w:rFonts w:ascii="宋体" w:hAnsi="宋体" w:eastAsia="宋体"/>
                <w:sz w:val="16"/>
              </w:rPr>
              <w: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6D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5F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CF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1E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61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659C">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AA4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6AE4D">
            <w:pPr>
              <w:jc w:val="center"/>
            </w:pPr>
          </w:p>
        </w:tc>
      </w:tr>
      <w:tr w14:paraId="76392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FB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2A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84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0662">
            <w:pPr>
              <w:jc w:val="center"/>
            </w:pPr>
            <w:r>
              <w:rPr>
                <w:rFonts w:ascii="宋体" w:hAnsi="宋体" w:eastAsia="宋体"/>
                <w:sz w:val="16"/>
              </w:rPr>
              <w:t>有效促进村民积极性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529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1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BA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6B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FF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1DF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9A6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E5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2FD7C">
            <w:pPr>
              <w:jc w:val="center"/>
            </w:pPr>
          </w:p>
        </w:tc>
      </w:tr>
      <w:tr w14:paraId="516EC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FC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5E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E7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B43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0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B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FE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34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37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37D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61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57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3BCCC">
            <w:pPr>
              <w:jc w:val="center"/>
            </w:pPr>
          </w:p>
        </w:tc>
      </w:tr>
      <w:tr w14:paraId="0C579B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370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0D5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A32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1CDB84">
            <w:pPr>
              <w:jc w:val="center"/>
            </w:pPr>
            <w:r>
              <w:rPr>
                <w:rFonts w:ascii="宋体" w:hAnsi="宋体" w:eastAsia="宋体"/>
                <w:sz w:val="16"/>
              </w:rPr>
              <w:t>100分</w:t>
            </w:r>
          </w:p>
        </w:tc>
      </w:tr>
    </w:tbl>
    <w:p w14:paraId="43FD73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1FBC826">
        <w:tblPrEx>
          <w:tblCellMar>
            <w:top w:w="0" w:type="dxa"/>
            <w:left w:w="108" w:type="dxa"/>
            <w:bottom w:w="0" w:type="dxa"/>
            <w:right w:w="108" w:type="dxa"/>
          </w:tblCellMar>
        </w:tblPrEx>
        <w:tc>
          <w:tcPr>
            <w:tcW w:w="8848" w:type="dxa"/>
            <w:gridSpan w:val="14"/>
            <w:vAlign w:val="center"/>
          </w:tcPr>
          <w:p w14:paraId="66D080FE">
            <w:pPr>
              <w:jc w:val="center"/>
            </w:pPr>
            <w:r>
              <w:rPr>
                <w:rFonts w:ascii="宋体" w:hAnsi="宋体" w:eastAsia="宋体"/>
                <w:sz w:val="24"/>
              </w:rPr>
              <w:t>项目支出绩效自评表</w:t>
            </w:r>
          </w:p>
        </w:tc>
      </w:tr>
      <w:tr w14:paraId="3AD95EE1">
        <w:tblPrEx>
          <w:tblCellMar>
            <w:top w:w="0" w:type="dxa"/>
            <w:left w:w="108" w:type="dxa"/>
            <w:bottom w:w="0" w:type="dxa"/>
            <w:right w:w="108" w:type="dxa"/>
          </w:tblCellMar>
        </w:tblPrEx>
        <w:tc>
          <w:tcPr>
            <w:tcW w:w="8848" w:type="dxa"/>
            <w:gridSpan w:val="14"/>
            <w:vAlign w:val="center"/>
          </w:tcPr>
          <w:p w14:paraId="538A41C8">
            <w:pPr>
              <w:jc w:val="center"/>
            </w:pPr>
            <w:r>
              <w:rPr>
                <w:rFonts w:ascii="宋体" w:hAnsi="宋体" w:eastAsia="宋体"/>
                <w:sz w:val="24"/>
              </w:rPr>
              <w:t>(2024年度)</w:t>
            </w:r>
          </w:p>
        </w:tc>
      </w:tr>
      <w:tr w14:paraId="1F978A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CC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E8C557">
            <w:pPr>
              <w:jc w:val="center"/>
            </w:pPr>
            <w:r>
              <w:rPr>
                <w:rFonts w:ascii="宋体" w:hAnsi="宋体" w:eastAsia="宋体"/>
                <w:sz w:val="16"/>
              </w:rPr>
              <w:t>麦盖提县乡村振兴美丽庭院建设差的户补助资金项目</w:t>
            </w:r>
          </w:p>
        </w:tc>
      </w:tr>
      <w:tr w14:paraId="46A9F2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5D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D56B72">
            <w:pPr>
              <w:jc w:val="center"/>
            </w:pPr>
            <w:r>
              <w:rPr>
                <w:rFonts w:ascii="宋体" w:hAnsi="宋体" w:eastAsia="宋体"/>
                <w:sz w:val="16"/>
              </w:rPr>
              <w:t>麦盖提县乡村振兴局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80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E986DB">
            <w:pPr>
              <w:jc w:val="center"/>
            </w:pPr>
            <w:r>
              <w:rPr>
                <w:rFonts w:ascii="宋体" w:hAnsi="宋体" w:eastAsia="宋体"/>
                <w:sz w:val="16"/>
              </w:rPr>
              <w:t>麦盖提县乡村振兴局</w:t>
            </w:r>
          </w:p>
        </w:tc>
      </w:tr>
      <w:tr w14:paraId="1DAA2F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DBA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669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1AE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381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A85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BC3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4D9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CD26">
            <w:pPr>
              <w:jc w:val="center"/>
            </w:pPr>
            <w:r>
              <w:rPr>
                <w:rFonts w:ascii="宋体" w:hAnsi="宋体" w:eastAsia="宋体"/>
                <w:sz w:val="16"/>
              </w:rPr>
              <w:t>得分</w:t>
            </w:r>
          </w:p>
        </w:tc>
      </w:tr>
      <w:tr w14:paraId="6B6BD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3AB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BA8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0A857">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6F8A0">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8A9BC">
            <w:pPr>
              <w:jc w:val="center"/>
            </w:pPr>
            <w:r>
              <w:rPr>
                <w:rFonts w:ascii="宋体" w:hAnsi="宋体" w:eastAsia="宋体"/>
                <w:sz w:val="16"/>
              </w:rPr>
              <w:t>12.30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8F9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ECA3C">
            <w:pPr>
              <w:jc w:val="center"/>
            </w:pPr>
            <w:r>
              <w:rPr>
                <w:rFonts w:ascii="宋体" w:hAnsi="宋体" w:eastAsia="宋体"/>
                <w:sz w:val="16"/>
              </w:rPr>
              <w:t>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AFB3">
            <w:pPr>
              <w:jc w:val="center"/>
            </w:pPr>
            <w:r>
              <w:rPr>
                <w:rFonts w:hint="eastAsia" w:ascii="宋体" w:hAnsi="宋体"/>
                <w:sz w:val="16"/>
                <w:lang w:val="en-US" w:eastAsia="zh-CN"/>
              </w:rPr>
              <w:t>9.61</w:t>
            </w:r>
            <w:r>
              <w:rPr>
                <w:rFonts w:ascii="宋体" w:hAnsi="宋体" w:eastAsia="宋体"/>
                <w:sz w:val="16"/>
              </w:rPr>
              <w:t>分</w:t>
            </w:r>
          </w:p>
        </w:tc>
      </w:tr>
      <w:tr w14:paraId="3CCED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D12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B02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CFE50">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F4B86">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CFDDC">
            <w:pPr>
              <w:jc w:val="center"/>
            </w:pPr>
            <w:r>
              <w:rPr>
                <w:rFonts w:ascii="宋体" w:hAnsi="宋体" w:eastAsia="宋体"/>
                <w:sz w:val="16"/>
              </w:rPr>
              <w:t>12.30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43D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8E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809D">
            <w:pPr>
              <w:jc w:val="center"/>
            </w:pPr>
            <w:r>
              <w:rPr>
                <w:rFonts w:ascii="宋体" w:hAnsi="宋体" w:eastAsia="宋体"/>
                <w:sz w:val="16"/>
              </w:rPr>
              <w:t>—</w:t>
            </w:r>
          </w:p>
        </w:tc>
      </w:tr>
      <w:tr w14:paraId="29636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4B2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FBB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3F8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084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5E0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EA5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9F5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FF61">
            <w:pPr>
              <w:jc w:val="center"/>
            </w:pPr>
            <w:r>
              <w:rPr>
                <w:rFonts w:ascii="宋体" w:hAnsi="宋体" w:eastAsia="宋体"/>
                <w:sz w:val="16"/>
              </w:rPr>
              <w:t>—</w:t>
            </w:r>
          </w:p>
        </w:tc>
      </w:tr>
      <w:tr w14:paraId="7DF022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3DA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687D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A67EC8">
            <w:pPr>
              <w:jc w:val="center"/>
            </w:pPr>
            <w:r>
              <w:rPr>
                <w:rFonts w:ascii="宋体" w:hAnsi="宋体" w:eastAsia="宋体"/>
                <w:sz w:val="16"/>
              </w:rPr>
              <w:t>实际完成情况</w:t>
            </w:r>
          </w:p>
        </w:tc>
      </w:tr>
      <w:tr w14:paraId="735B9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C8C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BF60AE">
            <w:pPr>
              <w:jc w:val="both"/>
            </w:pPr>
            <w:r>
              <w:rPr>
                <w:rFonts w:ascii="宋体" w:hAnsi="宋体" w:eastAsia="宋体"/>
                <w:sz w:val="16"/>
              </w:rPr>
              <w:t>本项目资金12.8万元，主要用于乡村振兴56位差的户资金补助项目，为进一步改善“家庭年人均纯收入低于1万元以下,且房屋条件较差的 户”“家庭年人均纯收入高于1万元以上，但房屋条件较差的户”生产生活条件，乡村两级逐户摸排核实，全县家庭年人均纯收入低于1万元以下且房屋条件较差的户1018户家庭年人均纯收入高于1万元以上且房屋条件较差的户656户，政府按照家庭年人均纯收入低于1万元以下的户均5000元标准进行补助、家庭年人均纯收入高于1万元以上，但房屋条件较差的户均3000元标准进行补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37D489">
            <w:pPr>
              <w:jc w:val="both"/>
            </w:pPr>
            <w:r>
              <w:rPr>
                <w:rFonts w:ascii="宋体" w:hAnsi="宋体" w:eastAsia="宋体"/>
                <w:sz w:val="16"/>
              </w:rPr>
              <w:t>截至自评节点，本项目实际支出12.3万元，已完成用于乡村振兴56位差的户资金补助项目，已按照家庭年人均纯收入低于1万元以下的户均5000元标准进行补助、家庭年人均纯收入高于1万元以上，但房屋条件较差的户均3000元标准进行补助。项目的实施有效提升了农户生活环境。</w:t>
            </w:r>
          </w:p>
        </w:tc>
      </w:tr>
      <w:tr w14:paraId="15A127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336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F5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58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80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16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1E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EC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52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BF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2B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A6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FE7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2B8E1">
            <w:pPr>
              <w:jc w:val="center"/>
            </w:pPr>
            <w:r>
              <w:rPr>
                <w:rFonts w:ascii="宋体" w:hAnsi="宋体" w:eastAsia="宋体"/>
                <w:sz w:val="16"/>
              </w:rPr>
              <w:t>偏差原因分析及改进措施</w:t>
            </w:r>
          </w:p>
        </w:tc>
      </w:tr>
      <w:tr w14:paraId="0D5BC1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314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D49B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6B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8F03">
            <w:pPr>
              <w:jc w:val="center"/>
            </w:pPr>
            <w:r>
              <w:rPr>
                <w:rFonts w:ascii="宋体" w:hAnsi="宋体" w:eastAsia="宋体"/>
                <w:sz w:val="16"/>
              </w:rPr>
              <w:t>差的户资金补助数量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32CA">
            <w:pPr>
              <w:jc w:val="center"/>
            </w:pPr>
            <w:r>
              <w:rPr>
                <w:rFonts w:ascii="宋体" w:hAnsi="宋体" w:eastAsia="宋体"/>
                <w:sz w:val="16"/>
              </w:rPr>
              <w:t>&gt;=56户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3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C3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22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C4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2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1F65">
            <w:pPr>
              <w:jc w:val="center"/>
            </w:pPr>
            <w:r>
              <w:rPr>
                <w:rFonts w:ascii="宋体" w:hAnsi="宋体" w:eastAsia="宋体"/>
                <w:sz w:val="16"/>
              </w:rPr>
              <w:t>=56户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96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E8FA">
            <w:pPr>
              <w:jc w:val="center"/>
            </w:pPr>
          </w:p>
        </w:tc>
      </w:tr>
      <w:tr w14:paraId="176B7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30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9B9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ED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EA3A">
            <w:pPr>
              <w:jc w:val="center"/>
            </w:pPr>
            <w:r>
              <w:rPr>
                <w:rFonts w:ascii="宋体" w:hAnsi="宋体" w:eastAsia="宋体"/>
                <w:sz w:val="16"/>
              </w:rPr>
              <w:t>到账及时率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8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5A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3E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40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3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2F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4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39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F56C0">
            <w:pPr>
              <w:jc w:val="center"/>
            </w:pPr>
          </w:p>
        </w:tc>
      </w:tr>
      <w:tr w14:paraId="49A59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EF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6B2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3D7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51C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3F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6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18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97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1E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02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F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91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A9EAE">
            <w:pPr>
              <w:jc w:val="center"/>
            </w:pPr>
          </w:p>
        </w:tc>
      </w:tr>
      <w:tr w14:paraId="04CAB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BB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A9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39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C0D2">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5E6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9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6D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D1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3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F5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C2A4">
            <w:pPr>
              <w:jc w:val="center"/>
            </w:pPr>
            <w:r>
              <w:rPr>
                <w:rFonts w:ascii="宋体" w:hAnsi="宋体" w:eastAsia="宋体"/>
                <w:sz w:val="16"/>
              </w:rPr>
              <w:t>2024年9月24日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E6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F888C">
            <w:pPr>
              <w:jc w:val="center"/>
            </w:pPr>
          </w:p>
        </w:tc>
      </w:tr>
      <w:tr w14:paraId="2F56C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0D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8E5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6C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CED8">
            <w:pPr>
              <w:jc w:val="center"/>
            </w:pPr>
            <w:r>
              <w:rPr>
                <w:rFonts w:ascii="宋体" w:hAnsi="宋体" w:eastAsia="宋体"/>
                <w:sz w:val="16"/>
              </w:rPr>
              <w:t>差的户每人资金支付成本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30AD">
            <w:pPr>
              <w:jc w:val="center"/>
            </w:pPr>
            <w:r>
              <w:rPr>
                <w:rFonts w:ascii="宋体" w:hAnsi="宋体" w:eastAsia="宋体"/>
                <w:sz w:val="16"/>
              </w:rPr>
              <w:t>&lt;=0.22万元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4C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7E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63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2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76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8DAD">
            <w:pPr>
              <w:jc w:val="center"/>
            </w:pPr>
            <w:r>
              <w:rPr>
                <w:rFonts w:ascii="宋体" w:hAnsi="宋体" w:eastAsia="宋体"/>
                <w:sz w:val="16"/>
              </w:rPr>
              <w: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521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98865">
            <w:pPr>
              <w:jc w:val="center"/>
            </w:pPr>
          </w:p>
        </w:tc>
      </w:tr>
      <w:tr w14:paraId="26CBC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FC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9B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2B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357A">
            <w:pPr>
              <w:jc w:val="center"/>
            </w:pPr>
            <w:r>
              <w:rPr>
                <w:rFonts w:ascii="宋体" w:hAnsi="宋体" w:eastAsia="宋体"/>
                <w:sz w:val="16"/>
              </w:rPr>
              <w:t>有效提升农户生活环境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9AF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F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2E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34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C2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BBD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5BE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42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1E754">
            <w:pPr>
              <w:jc w:val="center"/>
            </w:pPr>
          </w:p>
        </w:tc>
      </w:tr>
      <w:tr w14:paraId="5B009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16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30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40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36D9">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D8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8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89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4A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B7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19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5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27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68F7D">
            <w:pPr>
              <w:jc w:val="center"/>
            </w:pPr>
          </w:p>
        </w:tc>
      </w:tr>
      <w:tr w14:paraId="5C36E4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A4A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D74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874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E27E99">
            <w:pPr>
              <w:jc w:val="center"/>
            </w:pPr>
            <w:r>
              <w:rPr>
                <w:rFonts w:ascii="宋体" w:hAnsi="宋体" w:eastAsia="宋体"/>
                <w:sz w:val="16"/>
              </w:rPr>
              <w:t>100分</w:t>
            </w:r>
          </w:p>
        </w:tc>
      </w:tr>
    </w:tbl>
    <w:p w14:paraId="14FA6D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BBC161E">
        <w:tblPrEx>
          <w:tblCellMar>
            <w:top w:w="0" w:type="dxa"/>
            <w:left w:w="108" w:type="dxa"/>
            <w:bottom w:w="0" w:type="dxa"/>
            <w:right w:w="108" w:type="dxa"/>
          </w:tblCellMar>
        </w:tblPrEx>
        <w:tc>
          <w:tcPr>
            <w:tcW w:w="8848" w:type="dxa"/>
            <w:gridSpan w:val="14"/>
            <w:vAlign w:val="center"/>
          </w:tcPr>
          <w:p w14:paraId="7A34CB9D">
            <w:pPr>
              <w:jc w:val="center"/>
            </w:pPr>
            <w:r>
              <w:rPr>
                <w:rFonts w:ascii="宋体" w:hAnsi="宋体" w:eastAsia="宋体"/>
                <w:sz w:val="24"/>
              </w:rPr>
              <w:t>项目支出绩效自评表</w:t>
            </w:r>
          </w:p>
        </w:tc>
      </w:tr>
      <w:tr w14:paraId="54CEED68">
        <w:tblPrEx>
          <w:tblCellMar>
            <w:top w:w="0" w:type="dxa"/>
            <w:left w:w="108" w:type="dxa"/>
            <w:bottom w:w="0" w:type="dxa"/>
            <w:right w:w="108" w:type="dxa"/>
          </w:tblCellMar>
        </w:tblPrEx>
        <w:tc>
          <w:tcPr>
            <w:tcW w:w="8848" w:type="dxa"/>
            <w:gridSpan w:val="14"/>
            <w:vAlign w:val="center"/>
          </w:tcPr>
          <w:p w14:paraId="39786B1A">
            <w:pPr>
              <w:jc w:val="center"/>
            </w:pPr>
            <w:r>
              <w:rPr>
                <w:rFonts w:ascii="宋体" w:hAnsi="宋体" w:eastAsia="宋体"/>
                <w:sz w:val="24"/>
              </w:rPr>
              <w:t>(2024年度)</w:t>
            </w:r>
          </w:p>
        </w:tc>
      </w:tr>
      <w:tr w14:paraId="1349A2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A8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ED06BE">
            <w:pPr>
              <w:jc w:val="center"/>
            </w:pPr>
            <w:r>
              <w:rPr>
                <w:rFonts w:ascii="宋体" w:hAnsi="宋体" w:eastAsia="宋体"/>
                <w:sz w:val="16"/>
              </w:rPr>
              <w:t>麦盖提县示范村美丽庭院建设补助资金项目</w:t>
            </w:r>
          </w:p>
        </w:tc>
      </w:tr>
      <w:tr w14:paraId="4EC59D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15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08046">
            <w:pPr>
              <w:jc w:val="center"/>
            </w:pPr>
            <w:r>
              <w:rPr>
                <w:rFonts w:ascii="宋体" w:hAnsi="宋体" w:eastAsia="宋体"/>
                <w:sz w:val="16"/>
              </w:rPr>
              <w:t>麦盖提县乡村振兴局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06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0E7196">
            <w:pPr>
              <w:jc w:val="center"/>
            </w:pPr>
            <w:r>
              <w:rPr>
                <w:rFonts w:ascii="宋体" w:hAnsi="宋体" w:eastAsia="宋体"/>
                <w:sz w:val="16"/>
              </w:rPr>
              <w:t>麦盖提县乡村振兴局</w:t>
            </w:r>
          </w:p>
        </w:tc>
      </w:tr>
      <w:tr w14:paraId="770970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070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834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5D9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04B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468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1D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259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AE02">
            <w:pPr>
              <w:jc w:val="center"/>
            </w:pPr>
            <w:r>
              <w:rPr>
                <w:rFonts w:ascii="宋体" w:hAnsi="宋体" w:eastAsia="宋体"/>
                <w:sz w:val="16"/>
              </w:rPr>
              <w:t>得分</w:t>
            </w:r>
          </w:p>
        </w:tc>
      </w:tr>
      <w:tr w14:paraId="53C67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E24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3F2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DDCF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3963C">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76E81">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DC1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F8DB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6497">
            <w:pPr>
              <w:jc w:val="center"/>
            </w:pPr>
            <w:r>
              <w:rPr>
                <w:rFonts w:ascii="宋体" w:hAnsi="宋体" w:eastAsia="宋体"/>
                <w:sz w:val="16"/>
              </w:rPr>
              <w:t>10.00分</w:t>
            </w:r>
          </w:p>
        </w:tc>
      </w:tr>
      <w:tr w14:paraId="18460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A5A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BDF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4AAB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CB1BB">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28AA6">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619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B6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F7E2">
            <w:pPr>
              <w:jc w:val="center"/>
            </w:pPr>
            <w:r>
              <w:rPr>
                <w:rFonts w:ascii="宋体" w:hAnsi="宋体" w:eastAsia="宋体"/>
                <w:sz w:val="16"/>
              </w:rPr>
              <w:t>—</w:t>
            </w:r>
          </w:p>
        </w:tc>
      </w:tr>
      <w:tr w14:paraId="0E09D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EA6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C4A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D33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1F4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2F2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311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592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F419">
            <w:pPr>
              <w:jc w:val="center"/>
            </w:pPr>
            <w:r>
              <w:rPr>
                <w:rFonts w:ascii="宋体" w:hAnsi="宋体" w:eastAsia="宋体"/>
                <w:sz w:val="16"/>
              </w:rPr>
              <w:t>—</w:t>
            </w:r>
          </w:p>
        </w:tc>
      </w:tr>
      <w:tr w14:paraId="68A9AE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DD49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78C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2239D3">
            <w:pPr>
              <w:jc w:val="center"/>
            </w:pPr>
            <w:r>
              <w:rPr>
                <w:rFonts w:ascii="宋体" w:hAnsi="宋体" w:eastAsia="宋体"/>
                <w:sz w:val="16"/>
              </w:rPr>
              <w:t>实际完成情况</w:t>
            </w:r>
          </w:p>
        </w:tc>
      </w:tr>
      <w:tr w14:paraId="4ED2B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C67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CAC352">
            <w:pPr>
              <w:jc w:val="both"/>
            </w:pPr>
            <w:r>
              <w:rPr>
                <w:rFonts w:ascii="宋体" w:hAnsi="宋体" w:eastAsia="宋体"/>
                <w:sz w:val="16"/>
              </w:rPr>
              <w:t>本项目资金1.5w，主要用于示范村6位差的户美丽庭院建设资金支付。贯彻落实陈强书记对乡村振兴示范村创建工作安排部署,乡村振兴局组织各乡镇按照示范村美丽庭院建设全覆盖的思路，对标“院内院外13件事”全面梳理摸排10个示范村需美丽庭院建设4121户，按照“缺什么补什么”的原则，对10个示范村4121户“美丽庭院”建设分为富裕户、中等户、一般户三个类别，按 1000 元、2000 元、3000元、(4000-6000元)4个档6个标准进行补助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63FD0B">
            <w:pPr>
              <w:jc w:val="both"/>
            </w:pPr>
            <w:r>
              <w:rPr>
                <w:rFonts w:ascii="宋体" w:hAnsi="宋体" w:eastAsia="宋体"/>
                <w:sz w:val="16"/>
              </w:rPr>
              <w:t>截至自评节点，本项目实际支出1.5w，已完成用于示范村6位差的户美丽庭院建设资金支付，已按照“缺什么补什么”的原则，对10个示范村4121户“美丽庭院”建设分为富裕户、中等户、一般户三个类别，按 1000 元、2000 元、3000元、(4000-6000元)4个档6个标准进行补助。项目的实施提升了居民幸福感。</w:t>
            </w:r>
          </w:p>
        </w:tc>
      </w:tr>
      <w:tr w14:paraId="4D2252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464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E4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E2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9E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4FC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50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F7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5E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63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66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D6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1E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08D96">
            <w:pPr>
              <w:jc w:val="center"/>
            </w:pPr>
            <w:r>
              <w:rPr>
                <w:rFonts w:ascii="宋体" w:hAnsi="宋体" w:eastAsia="宋体"/>
                <w:sz w:val="16"/>
              </w:rPr>
              <w:t>偏差原因分析及改进措施</w:t>
            </w:r>
          </w:p>
        </w:tc>
      </w:tr>
      <w:tr w14:paraId="5D95BE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49A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5C0A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4B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0597">
            <w:pPr>
              <w:jc w:val="center"/>
            </w:pPr>
            <w:r>
              <w:rPr>
                <w:rFonts w:ascii="宋体" w:hAnsi="宋体" w:eastAsia="宋体"/>
                <w:sz w:val="16"/>
              </w:rPr>
              <w:t>示范村农户补助数量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8474">
            <w:pPr>
              <w:jc w:val="center"/>
            </w:pPr>
            <w:r>
              <w:rPr>
                <w:rFonts w:ascii="宋体" w:hAnsi="宋体" w:eastAsia="宋体"/>
                <w:sz w:val="16"/>
              </w:rPr>
              <w:t>&gt;=6户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5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8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33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E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8E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3BE5">
            <w:pPr>
              <w:jc w:val="center"/>
            </w:pPr>
            <w:r>
              <w:rPr>
                <w:rFonts w:ascii="宋体" w:hAnsi="宋体" w:eastAsia="宋体"/>
                <w:sz w:val="16"/>
              </w:rPr>
              <w:t>=6户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28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1A148">
            <w:pPr>
              <w:jc w:val="center"/>
            </w:pPr>
          </w:p>
        </w:tc>
      </w:tr>
      <w:tr w14:paraId="0C224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BD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8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BC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9CDD">
            <w:pPr>
              <w:jc w:val="center"/>
            </w:pPr>
            <w:r>
              <w:rPr>
                <w:rFonts w:ascii="宋体" w:hAnsi="宋体" w:eastAsia="宋体"/>
                <w:sz w:val="16"/>
              </w:rPr>
              <w:t>示范村农户环境验收合格率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4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A3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96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7B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B1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3D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D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45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765E5">
            <w:pPr>
              <w:jc w:val="center"/>
            </w:pPr>
          </w:p>
        </w:tc>
      </w:tr>
      <w:tr w14:paraId="22474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A9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3AE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19B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D20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E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9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F1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57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6A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CA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0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8B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014F8">
            <w:pPr>
              <w:jc w:val="center"/>
            </w:pPr>
          </w:p>
        </w:tc>
      </w:tr>
      <w:tr w14:paraId="38E08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05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68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52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1387">
            <w:pPr>
              <w:jc w:val="center"/>
            </w:pPr>
            <w:r>
              <w:rPr>
                <w:rFonts w:ascii="宋体" w:hAnsi="宋体" w:eastAsia="宋体"/>
                <w:sz w:val="16"/>
              </w:rPr>
              <w:t>资金尾款支付时间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EFE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2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F7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6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D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D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D07E">
            <w:pPr>
              <w:jc w:val="center"/>
            </w:pPr>
            <w:r>
              <w:rPr>
                <w:rFonts w:ascii="宋体" w:hAnsi="宋体" w:eastAsia="宋体"/>
                <w:sz w:val="16"/>
              </w:rPr>
              <w:t>=2024年9月24日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F8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BB3C7">
            <w:pPr>
              <w:jc w:val="center"/>
            </w:pPr>
          </w:p>
        </w:tc>
      </w:tr>
      <w:tr w14:paraId="64D04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E93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84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61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C84F">
            <w:pPr>
              <w:jc w:val="center"/>
            </w:pPr>
            <w:r>
              <w:rPr>
                <w:rFonts w:ascii="宋体" w:hAnsi="宋体" w:eastAsia="宋体"/>
                <w:sz w:val="16"/>
              </w:rPr>
              <w:t>每户示范村农户补助成本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1DD4">
            <w:pPr>
              <w:jc w:val="center"/>
            </w:pPr>
            <w:r>
              <w:rPr>
                <w:rFonts w:ascii="宋体" w:hAnsi="宋体" w:eastAsia="宋体"/>
                <w:sz w:val="16"/>
              </w:rPr>
              <w:t>&lt;=0.25万元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38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1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9A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FA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2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661F">
            <w:pPr>
              <w:jc w:val="center"/>
            </w:pPr>
            <w:r>
              <w:rPr>
                <w:rFonts w:ascii="宋体" w:hAnsi="宋体" w:eastAsia="宋体"/>
                <w:sz w:val="16"/>
              </w:rPr>
              <w:t>=0.25万元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76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D3106">
            <w:pPr>
              <w:jc w:val="center"/>
            </w:pPr>
          </w:p>
        </w:tc>
      </w:tr>
      <w:tr w14:paraId="23ABD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A78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0F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85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5BA5">
            <w:pPr>
              <w:jc w:val="center"/>
            </w:pPr>
            <w:r>
              <w:rPr>
                <w:rFonts w:ascii="宋体" w:hAnsi="宋体" w:eastAsia="宋体"/>
                <w:sz w:val="16"/>
              </w:rPr>
              <w:t>提升居民幸福感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A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9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C0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B3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A5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4DC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4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14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26D44">
            <w:pPr>
              <w:jc w:val="center"/>
            </w:pPr>
          </w:p>
        </w:tc>
      </w:tr>
      <w:tr w14:paraId="186A5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1C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E4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4E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09A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0B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69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C9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90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92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9DB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C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70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232CB">
            <w:pPr>
              <w:jc w:val="center"/>
            </w:pPr>
          </w:p>
        </w:tc>
      </w:tr>
      <w:tr w14:paraId="4091A6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E41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912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885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BC30AE">
            <w:pPr>
              <w:jc w:val="center"/>
            </w:pPr>
            <w:r>
              <w:rPr>
                <w:rFonts w:ascii="宋体" w:hAnsi="宋体" w:eastAsia="宋体"/>
                <w:sz w:val="16"/>
              </w:rPr>
              <w:t>100分</w:t>
            </w:r>
          </w:p>
        </w:tc>
      </w:tr>
    </w:tbl>
    <w:p w14:paraId="595410E0">
      <w:r>
        <w:br w:type="page"/>
      </w:r>
    </w:p>
    <w:p w14:paraId="180EA3F5">
      <w:pPr>
        <w:spacing w:line="640" w:lineRule="exact"/>
        <w:ind w:firstLine="640"/>
        <w:jc w:val="both"/>
        <w:outlineLvl w:val="2"/>
      </w:pPr>
      <w:r>
        <w:rPr>
          <w:rFonts w:ascii="黑体" w:hAnsi="黑体" w:eastAsia="黑体"/>
          <w:sz w:val="32"/>
        </w:rPr>
        <w:t>十二、其他需说明的事项</w:t>
      </w:r>
    </w:p>
    <w:p w14:paraId="0F19B0A2">
      <w:pPr>
        <w:spacing w:line="580" w:lineRule="exact"/>
        <w:ind w:firstLine="640"/>
        <w:jc w:val="both"/>
      </w:pPr>
      <w:r>
        <w:rPr>
          <w:rFonts w:ascii="仿宋_GB2312" w:hAnsi="仿宋_GB2312" w:eastAsia="仿宋_GB2312"/>
          <w:b w:val="0"/>
          <w:sz w:val="32"/>
        </w:rPr>
        <w:t>本年度本单位政府采购为大型企业采购，故授予中小企业合同金额为0.00万元。</w:t>
      </w:r>
    </w:p>
    <w:p w14:paraId="1601C2F3">
      <w:r>
        <w:br w:type="page"/>
      </w:r>
    </w:p>
    <w:p w14:paraId="66302A0D">
      <w:pPr>
        <w:spacing w:line="240" w:lineRule="auto"/>
        <w:jc w:val="center"/>
        <w:outlineLvl w:val="1"/>
      </w:pPr>
      <w:r>
        <w:rPr>
          <w:rFonts w:ascii="黑体" w:hAnsi="黑体" w:eastAsia="黑体"/>
          <w:sz w:val="32"/>
        </w:rPr>
        <w:t>第三部分 专业名词解释</w:t>
      </w:r>
    </w:p>
    <w:p w14:paraId="21C61A2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E2ECAA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A5751E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52AA9F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EF0E9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940049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4DC758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6FFF8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4874E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09FAC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2B5769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BD21E7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31587D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A1EEE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6D6D0D8">
      <w:r>
        <w:br w:type="page"/>
      </w:r>
    </w:p>
    <w:p w14:paraId="7CBFEABF">
      <w:pPr>
        <w:spacing w:line="240" w:lineRule="auto"/>
        <w:jc w:val="center"/>
        <w:outlineLvl w:val="1"/>
      </w:pPr>
      <w:r>
        <w:rPr>
          <w:rFonts w:ascii="黑体" w:hAnsi="黑体" w:eastAsia="黑体"/>
          <w:sz w:val="32"/>
        </w:rPr>
        <w:t>第四部分 部门决算报表（见附表）</w:t>
      </w:r>
    </w:p>
    <w:p w14:paraId="1CD79DF2">
      <w:pPr>
        <w:spacing w:line="240" w:lineRule="auto"/>
        <w:ind w:firstLine="640"/>
        <w:jc w:val="both"/>
      </w:pPr>
      <w:r>
        <w:rPr>
          <w:rFonts w:ascii="仿宋_GB2312" w:hAnsi="仿宋_GB2312" w:eastAsia="仿宋_GB2312"/>
          <w:b w:val="0"/>
          <w:sz w:val="32"/>
        </w:rPr>
        <w:t>一、《收入支出决算总表》</w:t>
      </w:r>
    </w:p>
    <w:p w14:paraId="2249F437">
      <w:pPr>
        <w:spacing w:line="240" w:lineRule="auto"/>
        <w:ind w:firstLine="640"/>
        <w:jc w:val="both"/>
      </w:pPr>
      <w:r>
        <w:rPr>
          <w:rFonts w:ascii="仿宋_GB2312" w:hAnsi="仿宋_GB2312" w:eastAsia="仿宋_GB2312"/>
          <w:b w:val="0"/>
          <w:sz w:val="32"/>
        </w:rPr>
        <w:t>二、《收入决算表》</w:t>
      </w:r>
    </w:p>
    <w:p w14:paraId="28BA45F8">
      <w:pPr>
        <w:spacing w:line="240" w:lineRule="auto"/>
        <w:ind w:firstLine="640"/>
        <w:jc w:val="both"/>
      </w:pPr>
      <w:r>
        <w:rPr>
          <w:rFonts w:ascii="仿宋_GB2312" w:hAnsi="仿宋_GB2312" w:eastAsia="仿宋_GB2312"/>
          <w:b w:val="0"/>
          <w:sz w:val="32"/>
        </w:rPr>
        <w:t>三、《支出决算表》</w:t>
      </w:r>
    </w:p>
    <w:p w14:paraId="74477F6B">
      <w:pPr>
        <w:spacing w:line="240" w:lineRule="auto"/>
        <w:ind w:firstLine="640"/>
        <w:jc w:val="both"/>
      </w:pPr>
      <w:r>
        <w:rPr>
          <w:rFonts w:ascii="仿宋_GB2312" w:hAnsi="仿宋_GB2312" w:eastAsia="仿宋_GB2312"/>
          <w:b w:val="0"/>
          <w:sz w:val="32"/>
        </w:rPr>
        <w:t>四、《财政拨款收入支出决算总表》</w:t>
      </w:r>
    </w:p>
    <w:p w14:paraId="1F6360DE">
      <w:pPr>
        <w:spacing w:line="240" w:lineRule="auto"/>
        <w:ind w:firstLine="640"/>
        <w:jc w:val="both"/>
      </w:pPr>
      <w:r>
        <w:rPr>
          <w:rFonts w:ascii="仿宋_GB2312" w:hAnsi="仿宋_GB2312" w:eastAsia="仿宋_GB2312"/>
          <w:b w:val="0"/>
          <w:sz w:val="32"/>
        </w:rPr>
        <w:t>五、《一般公共预算财政拨款支出决算表》</w:t>
      </w:r>
    </w:p>
    <w:p w14:paraId="6DD8F312">
      <w:pPr>
        <w:spacing w:line="240" w:lineRule="auto"/>
        <w:ind w:firstLine="640"/>
        <w:jc w:val="both"/>
      </w:pPr>
      <w:r>
        <w:rPr>
          <w:rFonts w:ascii="仿宋_GB2312" w:hAnsi="仿宋_GB2312" w:eastAsia="仿宋_GB2312"/>
          <w:b w:val="0"/>
          <w:sz w:val="32"/>
        </w:rPr>
        <w:t>六、《一般公共预算财政拨款基本支出决算表》</w:t>
      </w:r>
    </w:p>
    <w:p w14:paraId="4B8CD86D">
      <w:pPr>
        <w:spacing w:line="240" w:lineRule="auto"/>
        <w:ind w:firstLine="640"/>
        <w:jc w:val="both"/>
      </w:pPr>
      <w:r>
        <w:rPr>
          <w:rFonts w:ascii="仿宋_GB2312" w:hAnsi="仿宋_GB2312" w:eastAsia="仿宋_GB2312"/>
          <w:b w:val="0"/>
          <w:sz w:val="32"/>
        </w:rPr>
        <w:t>七、《政府性基金预算财政拨款收入支出决算表》</w:t>
      </w:r>
    </w:p>
    <w:p w14:paraId="2A8C2052">
      <w:pPr>
        <w:spacing w:line="240" w:lineRule="auto"/>
        <w:ind w:firstLine="640"/>
        <w:jc w:val="both"/>
      </w:pPr>
      <w:r>
        <w:rPr>
          <w:rFonts w:ascii="仿宋_GB2312" w:hAnsi="仿宋_GB2312" w:eastAsia="仿宋_GB2312"/>
          <w:b w:val="0"/>
          <w:sz w:val="32"/>
        </w:rPr>
        <w:t>八、《国有资本经营预算财政拨款收入支出决算表》</w:t>
      </w:r>
    </w:p>
    <w:p w14:paraId="3D2300A5">
      <w:pPr>
        <w:spacing w:line="240" w:lineRule="auto"/>
        <w:ind w:firstLine="640"/>
        <w:jc w:val="both"/>
      </w:pPr>
      <w:r>
        <w:rPr>
          <w:rFonts w:ascii="仿宋_GB2312" w:hAnsi="仿宋_GB2312" w:eastAsia="仿宋_GB2312"/>
          <w:b w:val="0"/>
          <w:sz w:val="32"/>
        </w:rPr>
        <w:t>九、《财政拨款“三公”经费支出决算表》</w:t>
      </w:r>
    </w:p>
    <w:p w14:paraId="3823E805">
      <w:pPr>
        <w:spacing w:line="240" w:lineRule="auto"/>
        <w:ind w:firstLine="640"/>
        <w:jc w:val="both"/>
      </w:pPr>
    </w:p>
    <w:p w14:paraId="0E808072">
      <w:pPr>
        <w:spacing w:line="240" w:lineRule="auto"/>
        <w:ind w:firstLine="640"/>
        <w:jc w:val="both"/>
      </w:pPr>
    </w:p>
    <w:p w14:paraId="000530FA">
      <w:pPr>
        <w:spacing w:line="240" w:lineRule="auto"/>
        <w:ind w:firstLine="640"/>
        <w:jc w:val="both"/>
      </w:pPr>
    </w:p>
    <w:p w14:paraId="5C228782">
      <w:pPr>
        <w:spacing w:line="240" w:lineRule="auto"/>
        <w:ind w:firstLine="640"/>
        <w:jc w:val="both"/>
      </w:pPr>
    </w:p>
    <w:p w14:paraId="2B45C7C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4C5C66"/>
    <w:rsid w:val="0C7227A7"/>
    <w:rsid w:val="0DCA6EF7"/>
    <w:rsid w:val="0E4B1576"/>
    <w:rsid w:val="0EA04331"/>
    <w:rsid w:val="0F9811B3"/>
    <w:rsid w:val="11E15093"/>
    <w:rsid w:val="120E0809"/>
    <w:rsid w:val="15871416"/>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61708F"/>
    <w:rsid w:val="65D97752"/>
    <w:rsid w:val="664C500C"/>
    <w:rsid w:val="67D111AB"/>
    <w:rsid w:val="68DB0208"/>
    <w:rsid w:val="68DF36D5"/>
    <w:rsid w:val="69846A0E"/>
    <w:rsid w:val="69AD798C"/>
    <w:rsid w:val="6B68175F"/>
    <w:rsid w:val="6B8B5C99"/>
    <w:rsid w:val="6CA7198F"/>
    <w:rsid w:val="6D8919A8"/>
    <w:rsid w:val="6E0F7A08"/>
    <w:rsid w:val="6E801ABC"/>
    <w:rsid w:val="703773D8"/>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5680</Words>
  <Characters>6441</Characters>
  <Lines>0</Lines>
  <Paragraphs>0</Paragraphs>
  <TotalTime>10</TotalTime>
  <ScaleCrop>false</ScaleCrop>
  <LinksUpToDate>false</LinksUpToDate>
  <CharactersWithSpaces>6449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2025-09-04T03:45:01Z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eyJoZGlkIjoiNDg4ZTU2ZTRlNTdiNzJkNDA1YTllMzlkYTg4N2RlNjgiLCJ1c2VySWQiOiIyNTk4NTcxMjUifQ==</vt:lpwstr>
  </property>
</Properties>
</file>