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2024年麦盖提县社区组织管理项目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徐磊</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2025年02月19日</w:t>
      </w:r>
    </w:p>
    <w:p>
      <w:pPr>
        <w:rPr>
          <w:rStyle w:val="17"/>
          <w:rFonts w:hint="eastAsia" w:ascii="仿宋" w:hAnsi="仿宋" w:eastAsia="仿宋" w:cs="仿宋"/>
          <w:b w:val="0"/>
          <w:bCs w:val="0"/>
          <w:spacing w:val="-4"/>
          <w:sz w:val="32"/>
          <w:szCs w:val="32"/>
        </w:rPr>
      </w:pPr>
      <w: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w:t>
      </w:r>
      <w:bookmarkStart w:id="0" w:name="_GoBack"/>
      <w:bookmarkEnd w:id="0"/>
      <w:r>
        <w:rPr>
          <w:rStyle w:val="17"/>
          <w:rFonts w:hint="eastAsia" w:ascii="仿宋" w:hAnsi="仿宋" w:eastAsia="仿宋" w:cs="仿宋"/>
          <w:b w:val="0"/>
          <w:bCs w:val="0"/>
          <w:spacing w:val="-4"/>
          <w:sz w:val="32"/>
          <w:szCs w:val="32"/>
          <w:lang w:eastAsia="zh-CN"/>
        </w:rPr>
        <w:t>《中华人民共和国城市居民委员会组织法》</w:t>
      </w:r>
      <w:r>
        <w:rPr>
          <w:rStyle w:val="17"/>
          <w:rFonts w:hint="eastAsia" w:ascii="仿宋" w:hAnsi="仿宋" w:eastAsia="仿宋" w:cs="仿宋"/>
          <w:b w:val="0"/>
          <w:bCs w:val="0"/>
          <w:spacing w:val="-4"/>
          <w:sz w:val="32"/>
          <w:szCs w:val="32"/>
        </w:rPr>
        <w:t>规定了居民委员会的组成、职权、工作方式等内容，明确了社区居委会的基本职责和权力范围。社区居委会应依法选举产生，由居民自行管理，并协助社会主义协商民主、法律和法规的实施。其主要任务包括维护社区秩序、协调解决居民之间的纠纷、组织开展社区活动等。其次，还有《社区治理法》作为社区居委会管理和运作的基本法律依据。通过2024年麦盖提县社区组织管理项目的实施助于促进社会和谐稳固。社区是社会的基层单元，社区组织的良好运作可以有效预防和化解社会矛盾，维护社会稳固。同时，项目还能推动社区文化的传承和创新，增强社区居民的归属感和认同感，促进社会的和谐共处。本项目遵循财政部《项目支出绩效评价管理办法》（财预〔2020〕10号）和自治区财政厅《自治区财政支出绩效评价管理暂行办法》（新财预〔2018〕189号）等相关政策文件与规定，旨在评价2024年麦盖提县社区组织管理项目实施前期、过程及效果，评价财政预算资金使用的效率及效益。通过该项目的实施，保障社区各项工作正常运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本项目投资664.94万元，用于发放民兵和社区工作人员工资及社会保障费，人数为131人，坚持政治上激励、工作上支持、待遇上保障、心理上关怀社区工作人员、让他们在维护社会稳定、推动脱贫攻坚、促进乡村振兴中发挥作用，推动社区各项工作顺利开展，</w:t>
      </w:r>
      <w:r>
        <w:rPr>
          <w:rStyle w:val="17"/>
          <w:rFonts w:hint="eastAsia" w:ascii="仿宋" w:hAnsi="仿宋" w:eastAsia="仿宋" w:cs="仿宋"/>
          <w:b w:val="0"/>
          <w:bCs w:val="0"/>
          <w:spacing w:val="-4"/>
          <w:sz w:val="32"/>
          <w:szCs w:val="32"/>
          <w:lang w:eastAsia="zh-CN"/>
        </w:rPr>
        <w:t>多措并举</w:t>
      </w:r>
      <w:r>
        <w:rPr>
          <w:rStyle w:val="17"/>
          <w:rFonts w:hint="eastAsia" w:ascii="仿宋" w:hAnsi="仿宋" w:eastAsia="仿宋" w:cs="仿宋"/>
          <w:b w:val="0"/>
          <w:bCs w:val="0"/>
          <w:spacing w:val="-4"/>
          <w:sz w:val="32"/>
          <w:szCs w:val="32"/>
        </w:rPr>
        <w:t>保障社区各项工作正常运转。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镇人民政府为行政单位，纳入2024年部门决算编制范围的有5个办公室，内设股室为：党政综合办公室、党建工作办公室、经济发展和财政办公室、社会事务办公室（退役军人服务站）、综合执法办公室；5个中心，内设股室为：党群服务中心、公共文化服务中心、城镇建设发展中心、综治和网格化服务中心、便民服务中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编制人数157人，其中：行政人员编制86人、工勤2人、事业编制69人。实有在职人数185人，其中：行政在职93人、工勤1人、参公24人、事业在职67人。离退休人员37人，其中：行政退休人员31人、事业退休6人。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财预【2024】1号文共安排下达资金664.94万元，为县财力保障资金，最终确定项目资金总数为664.94万元。截至2024年12月31日，实际支出664.94万元，预算执行率100%。主要用于社区聘用人员工资及社会保障费用588.12万元，公益性岗位人员绩效费用72.88万元，民兵工资及社会保障费3.94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用于发放民兵和社区工作人员工资及社会保障费，人数为131人，坚持政治上激励、工作上支持、待遇上保障、心理上关怀社区工作人员、让他们在维护社会稳固、推动脱贫攻坚、促进乡村振兴中发挥作用，推动社区各项工作顺利开展，</w:t>
      </w:r>
      <w:r>
        <w:rPr>
          <w:rStyle w:val="17"/>
          <w:rFonts w:hint="eastAsia" w:ascii="仿宋" w:hAnsi="仿宋" w:eastAsia="仿宋" w:cs="仿宋"/>
          <w:b w:val="0"/>
          <w:bCs w:val="0"/>
          <w:spacing w:val="-4"/>
          <w:sz w:val="32"/>
          <w:szCs w:val="32"/>
          <w:lang w:eastAsia="zh-CN"/>
        </w:rPr>
        <w:t>多措并举</w:t>
      </w:r>
      <w:r>
        <w:rPr>
          <w:rStyle w:val="17"/>
          <w:rFonts w:hint="eastAsia" w:ascii="仿宋" w:hAnsi="仿宋" w:eastAsia="仿宋" w:cs="仿宋"/>
          <w:b w:val="0"/>
          <w:bCs w:val="0"/>
          <w:spacing w:val="-4"/>
          <w:sz w:val="32"/>
          <w:szCs w:val="32"/>
        </w:rPr>
        <w:t>保障社区各项工作正常运转。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前期准备工作：一是上会深入研究和分析相关政策，根据实际情况制定详细的工资发放方案；二是精准测算补贴所需的资金，向县财经委员会提交资金申请报告，确保资金及时到位。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具体实施工作：首先对社区聘用人员，公益性岗位人员，民兵人数、人员信息进行摸排统计，形成信息台账公开至公示栏中，确保人员信息的准确性；二是将信息台账报至麦盖提镇人民政府，镇政府对人员数量和人员情况进行核查、汇总，形成补贴发放汇总表，资金拨付到单位代发户发放。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事后跟踪情况：持续跟踪打卡失败情况，工作人员及时反馈正确打卡信息进行二次打卡，确保工资及时到卡。</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产出指标、成本指标、效益指标、满意度指标4个一级指标，其中：产出指标下设数量指标、质量指标、时效指标3个二级指标；成本指标下设经济成本指标1个二级指标；效益指标下社会效益1个二级指标；满意度指标下设满意度指标1个二级指标。项目绩效评价体系详见附件1。</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2024年麦盖提县社区组织管理项目综合评分表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权重分值：100分                     总得分      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王祺铭任评价组组长，绩效评价工作职责为负责全盘工作。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徐磊任评价组副组长，绩效评价工作职责为为对项目实施情况进行实地调查。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莫玲霞任评价组成员，绩效评价工作职责为负责资料审核等工作。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通过实施2024年麦盖提县社区组织管理项目推动社区各项工作顺利开展，</w:t>
      </w:r>
      <w:r>
        <w:rPr>
          <w:rStyle w:val="17"/>
          <w:rFonts w:hint="eastAsia" w:ascii="仿宋" w:hAnsi="仿宋" w:eastAsia="仿宋" w:cs="仿宋"/>
          <w:b w:val="0"/>
          <w:bCs w:val="0"/>
          <w:spacing w:val="-4"/>
          <w:sz w:val="32"/>
          <w:szCs w:val="32"/>
          <w:lang w:eastAsia="zh-CN"/>
        </w:rPr>
        <w:t>多措并举</w:t>
      </w:r>
      <w:r>
        <w:rPr>
          <w:rStyle w:val="17"/>
          <w:rFonts w:hint="eastAsia" w:ascii="仿宋" w:hAnsi="仿宋" w:eastAsia="仿宋" w:cs="仿宋"/>
          <w:b w:val="0"/>
          <w:bCs w:val="0"/>
          <w:spacing w:val="-4"/>
          <w:sz w:val="32"/>
          <w:szCs w:val="32"/>
        </w:rPr>
        <w:t>保障社区各项工作正常运转。项目实施主要通过项目决策、项目过程、项目产出以及项目效益等方面进行评价，其中：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项目过程：2024年麦盖提县社区组织管理项目预算安排 644.94万元，实际支出644.94万元，预算执行率100%。项目资金使用合规，项目财务管理制度健全，财务监控到位，所有资金支付均按照国库集中支付制度严格执行，现有项目管理制度执行情况良好。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社区聘用人员人数94人，公益性岗位人员人数28人，民兵人数9人，资金使用合规率100%，项目结束时间2024年12月20日，社区聘用人员工资及社会保障费用588.12万元，公益性岗位人员绩效费用72.88万元，民兵工资及社会保障费3.94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项目效益：通过项目的实施推动了脱贫攻坚、促进了乡村振兴中发挥作用，推动了社区各项工作顺利开展，</w:t>
      </w:r>
      <w:r>
        <w:rPr>
          <w:rStyle w:val="17"/>
          <w:rFonts w:hint="eastAsia" w:ascii="仿宋" w:hAnsi="仿宋" w:eastAsia="仿宋" w:cs="仿宋"/>
          <w:b w:val="0"/>
          <w:bCs w:val="0"/>
          <w:spacing w:val="-4"/>
          <w:sz w:val="32"/>
          <w:szCs w:val="32"/>
          <w:lang w:eastAsia="zh-CN"/>
        </w:rPr>
        <w:t>多措并举</w:t>
      </w:r>
      <w:r>
        <w:rPr>
          <w:rStyle w:val="17"/>
          <w:rFonts w:hint="eastAsia" w:ascii="仿宋" w:hAnsi="仿宋" w:eastAsia="仿宋" w:cs="仿宋"/>
          <w:b w:val="0"/>
          <w:bCs w:val="0"/>
          <w:spacing w:val="-4"/>
          <w:sz w:val="32"/>
          <w:szCs w:val="32"/>
        </w:rPr>
        <w:t>保障社区各项工作正常运转。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麦盖提县社区组织管理项目进行客观评价，最终评分结果：评价总分100分，绩效等级为“优”。</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2024年麦盖提县社区组织管理项目得分情况表</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       权重     得分率 实际得分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 20 100%   20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         100 100%  100</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本项目立项符合中共中央印发的《中国共产党党和国家机关基层组织工作条例》中：“党务工作人员队伍建设”；本项目立项符合《麦盖提县国民经济和社会发展第十四个五年规划和二〇三五年远景目标纲要》中：“加强社区组织管理”内容，符合行业发展规划和政策要求；本项目立项符合《麦盖提县镇人民政府单位配置内设机构和人员编制规定》中职责范围中的“领导组织社区各项工作”，属于我单位履职所需；根据《财政资金直接支付申请书》，本项目资金性质为“公共财政预算”功能分类为“行政运行”经济分类为“其他工资福利支出”属于公共财政支持范围，符合中央、地方事权支出责任划分原则；经检查我单位财政管理一体化信息系统，本项目不存在重复。结合负责制定并组织实施城镇及社区建设规划、居民区道路建设和公共设施建设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2024年麦盖提县社区组织管理项目分管领导进行沟通、筛选确定项目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①该项目已设置年度绩效目标，具体内容为“2024年本项目投资664.94万元，用于发放民兵和社区工作人员工资及社会保障费，人数为131人，坚持政治上激励、工作上支持、待遇上保障、心理上关怀社区工作人员、让他们在维护社会稳定、推动脱贫攻坚、促进乡村振兴中发挥作用，推动社区各项工作顺利开展，</w:t>
      </w:r>
      <w:r>
        <w:rPr>
          <w:rStyle w:val="17"/>
          <w:rFonts w:hint="eastAsia" w:ascii="仿宋" w:hAnsi="仿宋" w:eastAsia="仿宋" w:cs="仿宋"/>
          <w:b w:val="0"/>
          <w:bCs w:val="0"/>
          <w:spacing w:val="-4"/>
          <w:sz w:val="32"/>
          <w:szCs w:val="32"/>
          <w:lang w:eastAsia="zh-CN"/>
        </w:rPr>
        <w:t>多措并举</w:t>
      </w:r>
      <w:r>
        <w:rPr>
          <w:rStyle w:val="17"/>
          <w:rFonts w:hint="eastAsia" w:ascii="仿宋" w:hAnsi="仿宋" w:eastAsia="仿宋" w:cs="仿宋"/>
          <w:b w:val="0"/>
          <w:bCs w:val="0"/>
          <w:spacing w:val="-4"/>
          <w:sz w:val="32"/>
          <w:szCs w:val="32"/>
        </w:rPr>
        <w:t>保障社区各项工作正常运转。”。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②该项目实际工作内容为：支付社区聘用人员工资及社会保障费用、公益性岗位人员绩效费用、民兵工资及社会保障费。绩效目标与实际工作内容一致，两者具有相关性。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③该项目按照绩效目标完成数量指标、质量指标、时效指标、成本指标，完成了131名工作人员工资及社会保障费发放工作，保障社区各项工作正常运转。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④该项目批复的预算金额为664.94万元，《项目支出绩效目标表》中预算金额为664.94万元，预算确定的项目资金与预算确定的项目投资额相匹配。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10个，定量指标8个，定性指标2个，指标量化率为80%，量化率达70.0%以上，将项目绩效目标细化分解为具体的绩效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绩效目标申报表》中，数量指标指标值为社区聘用人员人数≥94人、公益性岗位人员人数≥28人、民兵人数≥9人，三级指标的年度指标值与年度绩效目标中任务数一致，已设置时效指标“项目结束时间”。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本项目2024年麦盖提县社区组织管理项目，即预算编制较科学且经过论证；</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预算申请内容为社区聘用人员工资及社会保障费用588.12万元、公益性岗位人员绩效费用72.88万元、民兵工资及社会保障费3.94万元，项目实际内容为社区聘用人员工资及社会保障费用588.12万元、公益性岗位人员绩效费用72.88万元、民兵工资及社会保障费3.94万元，预算申请与《2024年麦盖提县社区组织管理项目实施方案》中涉及的项目内容匹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申请资金664.94万元，我单位在预算申请中严格按照项目实施内容及测算标准进行核算，其中：社区聘用人员工资及社会保障费用588.12万元、公益性岗位人员绩效费用72.88万元、民兵工资及社会保障费3.94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本项目实际分配资金以《关于申请2024年麦盖提县社区组织管理项目资金的请示》和《2024年麦盖提县社区组织管理项目实施方案》为依据进行资金分配，预算资金分配依据充分。根据麦财预【2024】1号文，本项目实际到位资金664.94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本项目预算资金为664.94万元，其中：财政安排资金664.94万元，其他资金0万元，实际到位资金664.94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实际支出资金664.94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麦盖提县镇人民政府单位资金管理办法》《麦盖提县镇人民政府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我单位已制定《麦盖提县镇人民政府资金管理办法》《麦盖提县镇人民政府收支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①该项目的实施符合《中国共产党党和国家机关基层组织工作条例》《麦盖提县镇人民政府单位资金管理办法》《麦盖提县镇人民政府专项资金管理办法》等相关法律法规及管理规定，项目具备完整规范的立项程序；经查证项目实施过程资料，项目实施等过程均按照《麦盖提县镇人民政府专项资金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②经现场查证财务支付凭证等资料齐全并及时归档。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麦盖提县社区组织管理项目工作领导小组，由徐磊任组长，负责项目的组织工作；莫玲霞任副组长，负责项目的实施工作；组员包括：王平和徐晓红，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社区聘用人员人数指标，预期指标值为大于等于94人，实际完成值为94人，指标完成率为100%，与预期目标一致，根据评分标准，该指标不扣分，得4分。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公益性岗位人员人数指标，预期指标值为大于等于28人，实际完成值为28人，指标完成率为100%，与预期目标一致，根据评分标准，该指标不扣分，得4分。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民兵人数指标，预期指标值为大于等于9人，实际完成值为9人，指标完成率为100%，与预期目标一致，根据评分标准，该指标不扣分，得2分。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合计得10分。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合计得10分。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项目结束时间指标，预期指标值为2024年12月20日前，实际完成值为2024年12月20日，指标完成率为100%，与预期目标一致，根据评分标准，该指标不扣分，得10分。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社区聘用人员工资及社会保障费用指标预期值为小于等于588.12万元，实际完成值为588.12万元，成本控制在预算范围内，根据评分标准，此项指标不扣分，实际得分5分。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公益性岗位人员绩效费用指标预期值为小于等于72.88万元，实际完成值为72.88万元，成本控制在预算范围内，根据评分标准，此项指标不扣分，实际得分5分。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民兵工资及社会保障费指标预期值为小于等于3.94万元，实际完成值为3.94万元，成本控制在预算范围内，根据评分标准，此项指标不扣分，实际得分5分。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项目效益类指标包括项目效益1个方面的内容，权重分为20分，实际得分20分，得分率为100%。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保障社区各项工作正常运转指标，该指标预期指标值为保障，实际完成值为保障，指标完成率为100%，与预期指标一致，根据评分标准，该指标不扣分，得10分。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民兵及社区工作人员满意度，该指标预期指标值为100%，实际完成值为100%，指标完成率为100%，与预期目标一致，根据评分标准，该指标不扣分,得10分。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2024年麦盖提县社区组织管理项目预算664.94万元，到位664.94万元，实际支出664.94万元，预算执行率为100%，项目绩效指标总体完成率为100%，此项目无偏差。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1.强化党组织领导核心地位？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各社区将党组织建设作为社区组织管理的龙头，充分发挥党组织在统筹协调、资源整合、引领方向等方面的关键作用。在社区重大事项决策中，严格落实党组织前置研究讨论制度，确保社区发展方向与党的方针政策高度一致。例如，在社区公共设施建设规划、民生项目推进等工作上，党组织牵头广泛征求党员、居民代表意见，经过充分讨论后形成科学合理的决策方案，保障项目顺利推进。？</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2.推动党建与社区服务深度融合？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以党建为引领，创新开展各类社区服务活动，将党的关怀切实送到居民身边。打造 “红色服务圈”，组织党员志愿者开展定期上门帮扶、义务维修、政策宣传等服务。像英巴扎社区设立党员先锋岗，党员带头参与社区环境整治、矛盾调解等工作，带动其他居民积极参与社区建设，形成了良好的示范带动效应，提升了社区服务质量和效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很多社区缺乏有效的参与机制，居民们往往觉得自己的意见和需求没有被充分倾听，导致他们对社区的发展缺乏主动性和参与感。其次，部分社区工作人员的专业素质有待提升，他们在处理居民事务和应对危机时可能会显得力不从心。再者，社区管理机构与居民之间的信息沟通渠道不畅通，这导致了很多政策和重大事件居民们并不了解，同时他们的问题也难以得到及时回应。最后，财务透明度不高也是一个普遍存在的问题，这使得居民对社区经费的使用情况感到疑虑。</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原因分析：首先，社区参与机制的缺乏可以归结为传统管理模式的影响。在过去的社区管理中，往往是由社区管理机构单方面决策，居民们的参与机会有限。这种管理模式导致了居民们对社区事务的漠不关心，也限制了他们参与社区发展的积极性。其次，社区工作人员专业素质不高的问题，一方面与招聘机制有关，可能没有吸引到足够多具备相关专业知识的人才；另一方面也与培训机制不完善有关，社区工作人员缺乏必要的培训和学习机会，难以提升自己的专业素质。再次，信息沟通渠道不畅通的问题，主要源于社区管理机构与居民之间缺乏有效的沟通机制。社区管理机构可能没有建立起有效的信息发布平台，也没有定期与居民进行面对面的沟通交流，导致信息无法及时传递和反馈。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下一步改进措施：加强社区自治建设，让居民们有更多机会参与到社区决策中来，提高他们的主动性和参与感。其次，提升社区工作人员的专业素质，通过培训和实践让他们更好地为居民服务。同时，建立畅通的信息沟通渠道，确保政策和重大事件能够及时传达给居民，同时他们的反馈也能得到及时回应。最后，加强财务透明度，定期公布财务报告和资金使用细节，让居民们对社区经费的使用情况有更清晰的了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针对社区存在的问题，建议如下：建立居民参与平台，定期收集意见，确保居民声音被听到，增强参与感。加强社区工作人员培训，提升处理事务和应对危机的能力。畅通信息渠道，及时发布政策和事件，回应居民疑问。提高财务透明度，定期公开经费使用情况，消除居民疑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EAD681B"/>
    <w:rsid w:val="719C0AE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table" w:styleId="2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1">
    <w:name w:val="标题 1 字符"/>
    <w:basedOn w:val="16"/>
    <w:link w:val="2"/>
    <w:qFormat/>
    <w:uiPriority w:val="9"/>
    <w:rPr>
      <w:rFonts w:asciiTheme="majorHAnsi" w:hAnsiTheme="majorHAnsi" w:eastAsiaTheme="majorEastAsia"/>
      <w:b/>
      <w:bCs/>
      <w:kern w:val="32"/>
      <w:sz w:val="32"/>
      <w:szCs w:val="32"/>
    </w:rPr>
  </w:style>
  <w:style w:type="character" w:customStyle="1" w:styleId="22">
    <w:name w:val="标题 2 字符"/>
    <w:basedOn w:val="16"/>
    <w:link w:val="3"/>
    <w:semiHidden/>
    <w:qFormat/>
    <w:uiPriority w:val="9"/>
    <w:rPr>
      <w:rFonts w:asciiTheme="majorHAnsi" w:hAnsiTheme="majorHAnsi" w:eastAsiaTheme="majorEastAsia"/>
      <w:b/>
      <w:bCs/>
      <w:i/>
      <w:iCs/>
      <w:sz w:val="28"/>
      <w:szCs w:val="28"/>
    </w:rPr>
  </w:style>
  <w:style w:type="character" w:customStyle="1" w:styleId="23">
    <w:name w:val="标题 3 字符"/>
    <w:basedOn w:val="16"/>
    <w:link w:val="4"/>
    <w:semiHidden/>
    <w:qFormat/>
    <w:uiPriority w:val="9"/>
    <w:rPr>
      <w:rFonts w:asciiTheme="majorHAnsi" w:hAnsiTheme="majorHAnsi" w:eastAsiaTheme="majorEastAsia"/>
      <w:b/>
      <w:bCs/>
      <w:sz w:val="26"/>
      <w:szCs w:val="26"/>
    </w:rPr>
  </w:style>
  <w:style w:type="character" w:customStyle="1" w:styleId="24">
    <w:name w:val="标题 4 字符"/>
    <w:basedOn w:val="16"/>
    <w:link w:val="5"/>
    <w:qFormat/>
    <w:uiPriority w:val="9"/>
    <w:rPr>
      <w:b/>
      <w:bCs/>
      <w:sz w:val="28"/>
      <w:szCs w:val="28"/>
    </w:rPr>
  </w:style>
  <w:style w:type="character" w:customStyle="1" w:styleId="25">
    <w:name w:val="标题 5 字符"/>
    <w:basedOn w:val="16"/>
    <w:link w:val="6"/>
    <w:semiHidden/>
    <w:qFormat/>
    <w:uiPriority w:val="9"/>
    <w:rPr>
      <w:b/>
      <w:bCs/>
      <w:i/>
      <w:iCs/>
      <w:sz w:val="26"/>
      <w:szCs w:val="26"/>
    </w:rPr>
  </w:style>
  <w:style w:type="character" w:customStyle="1" w:styleId="26">
    <w:name w:val="标题 6 字符"/>
    <w:basedOn w:val="16"/>
    <w:link w:val="7"/>
    <w:semiHidden/>
    <w:qFormat/>
    <w:uiPriority w:val="9"/>
    <w:rPr>
      <w:b/>
      <w:bCs/>
    </w:rPr>
  </w:style>
  <w:style w:type="character" w:customStyle="1" w:styleId="27">
    <w:name w:val="标题 7 字符"/>
    <w:basedOn w:val="16"/>
    <w:link w:val="8"/>
    <w:semiHidden/>
    <w:qFormat/>
    <w:uiPriority w:val="9"/>
    <w:rPr>
      <w:sz w:val="24"/>
      <w:szCs w:val="24"/>
    </w:rPr>
  </w:style>
  <w:style w:type="character" w:customStyle="1" w:styleId="28">
    <w:name w:val="标题 8 字符"/>
    <w:basedOn w:val="16"/>
    <w:link w:val="9"/>
    <w:semiHidden/>
    <w:qFormat/>
    <w:uiPriority w:val="9"/>
    <w:rPr>
      <w:i/>
      <w:iCs/>
      <w:sz w:val="24"/>
      <w:szCs w:val="24"/>
    </w:rPr>
  </w:style>
  <w:style w:type="character" w:customStyle="1" w:styleId="29">
    <w:name w:val="标题 9 字符"/>
    <w:basedOn w:val="16"/>
    <w:link w:val="10"/>
    <w:semiHidden/>
    <w:qFormat/>
    <w:uiPriority w:val="9"/>
    <w:rPr>
      <w:rFonts w:asciiTheme="majorHAnsi" w:hAnsiTheme="majorHAnsi" w:eastAsiaTheme="majorEastAsia"/>
    </w:rPr>
  </w:style>
  <w:style w:type="character" w:customStyle="1" w:styleId="30">
    <w:name w:val="标题 字符"/>
    <w:basedOn w:val="16"/>
    <w:link w:val="15"/>
    <w:qFormat/>
    <w:uiPriority w:val="10"/>
    <w:rPr>
      <w:rFonts w:asciiTheme="majorHAnsi" w:hAnsiTheme="majorHAnsi" w:eastAsiaTheme="majorEastAsia"/>
      <w:b/>
      <w:bCs/>
      <w:kern w:val="28"/>
      <w:sz w:val="32"/>
      <w:szCs w:val="32"/>
    </w:rPr>
  </w:style>
  <w:style w:type="character" w:customStyle="1" w:styleId="31">
    <w:name w:val="副标题 字符"/>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6"/>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6"/>
    <w:link w:val="13"/>
    <w:qFormat/>
    <w:uiPriority w:val="99"/>
    <w:rPr>
      <w:rFonts w:ascii="Calibri" w:hAnsi="Calibri" w:eastAsia="宋体"/>
      <w:kern w:val="2"/>
      <w:sz w:val="18"/>
      <w:szCs w:val="18"/>
    </w:rPr>
  </w:style>
  <w:style w:type="character" w:customStyle="1" w:styleId="45">
    <w:name w:val="页脚 字符"/>
    <w:basedOn w:val="16"/>
    <w:link w:val="12"/>
    <w:qFormat/>
    <w:uiPriority w:val="99"/>
    <w:rPr>
      <w:rFonts w:ascii="Calibri" w:hAnsi="Calibri" w:eastAsia="宋体"/>
      <w:kern w:val="2"/>
      <w:sz w:val="18"/>
      <w:szCs w:val="18"/>
    </w:rPr>
  </w:style>
  <w:style w:type="character" w:customStyle="1" w:styleId="46">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cec5e-4d83-4d47-9993-ba58f97b18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Administrator</cp:lastModifiedBy>
  <cp:lastPrinted>2018-12-31T10:56:00Z</cp:lastPrinted>
  <dcterms:modified xsi:type="dcterms:W3CDTF">2025-09-06T03:37:52Z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299A846E7742483FADE25949A45A48D3_12</vt:lpwstr>
  </property>
</Properties>
</file>