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麦盖提县五一林场2024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F5C88E">
      <w:r>
        <w:br w:type="page"/>
      </w:r>
    </w:p>
    <w:p w14:paraId="380C432A">
      <w:pPr>
        <w:spacing w:line="640" w:lineRule="exact"/>
        <w:jc w:val="center"/>
        <w:outlineLvl w:val="1"/>
      </w:pPr>
      <w:r>
        <w:rPr>
          <w:rFonts w:ascii="黑体" w:hAnsi="黑体" w:eastAsia="黑体"/>
          <w:sz w:val="32"/>
        </w:rPr>
        <w:t>第一部分 单位概况</w:t>
      </w:r>
    </w:p>
    <w:p w14:paraId="4E040C15">
      <w:pPr>
        <w:spacing w:line="640" w:lineRule="exact"/>
        <w:ind w:firstLine="640"/>
        <w:jc w:val="both"/>
        <w:outlineLvl w:val="2"/>
      </w:pPr>
      <w:r>
        <w:rPr>
          <w:rFonts w:ascii="黑体" w:hAnsi="黑体" w:eastAsia="黑体"/>
          <w:sz w:val="32"/>
        </w:rPr>
        <w:t>一、主要职能</w:t>
      </w:r>
    </w:p>
    <w:p w14:paraId="14F7D0EF">
      <w:pPr>
        <w:spacing w:line="580" w:lineRule="exact"/>
        <w:ind w:firstLine="640"/>
        <w:jc w:val="both"/>
      </w:pPr>
      <w:r>
        <w:rPr>
          <w:rFonts w:ascii="仿宋_GB2312" w:hAnsi="仿宋_GB2312" w:eastAsia="仿宋_GB2312"/>
          <w:sz w:val="32"/>
        </w:rPr>
        <w:t>（1）贯彻执行党的路线方针政策和上级党组织及本场党员代表大会（党员大会）的决议。</w:t>
      </w:r>
    </w:p>
    <w:p w14:paraId="50A8F7F4">
      <w:pPr>
        <w:spacing w:line="580" w:lineRule="exact"/>
        <w:ind w:firstLine="640"/>
        <w:jc w:val="both"/>
      </w:pPr>
      <w:r>
        <w:rPr>
          <w:rFonts w:ascii="仿宋_GB2312" w:hAnsi="仿宋_GB2312" w:eastAsia="仿宋_GB2312"/>
          <w:sz w:val="32"/>
        </w:rPr>
        <w:t>（2）讨论决定本场经济建设和社会发展中的重大问题。</w:t>
      </w:r>
    </w:p>
    <w:p w14:paraId="19B1AE33">
      <w:pPr>
        <w:spacing w:line="580" w:lineRule="exact"/>
        <w:ind w:firstLine="640"/>
        <w:jc w:val="both"/>
      </w:pPr>
      <w:r>
        <w:rPr>
          <w:rFonts w:ascii="仿宋_GB2312" w:hAnsi="仿宋_GB2312" w:eastAsia="仿宋_GB2312"/>
          <w:sz w:val="32"/>
        </w:rPr>
        <w:t>（3）领导场部政权机关和群众组织，支持和保证这些机关和组织依照国家法律及各自章程充分行使职权。</w:t>
      </w:r>
    </w:p>
    <w:p w14:paraId="40525890">
      <w:pPr>
        <w:spacing w:line="580" w:lineRule="exact"/>
        <w:ind w:firstLine="640"/>
        <w:jc w:val="both"/>
      </w:pPr>
      <w:r>
        <w:rPr>
          <w:rFonts w:ascii="仿宋_GB2312" w:hAnsi="仿宋_GB2312" w:eastAsia="仿宋_GB2312"/>
          <w:sz w:val="32"/>
        </w:rPr>
        <w:t>（4）加强场部党委自身建设和以党支部为核心的村级组织建设。</w:t>
      </w:r>
    </w:p>
    <w:p w14:paraId="51F2C91A">
      <w:pPr>
        <w:spacing w:line="580" w:lineRule="exact"/>
        <w:ind w:firstLine="640"/>
        <w:jc w:val="both"/>
      </w:pPr>
      <w:r>
        <w:rPr>
          <w:rFonts w:ascii="仿宋_GB2312" w:hAnsi="仿宋_GB2312" w:eastAsia="仿宋_GB2312"/>
          <w:sz w:val="32"/>
        </w:rPr>
        <w:t>（5）按照干部管理权限，负责对干部的教育、培养、选拔和监督工作。协助管理上级有关部门驻本乡镇单位的干部。</w:t>
      </w:r>
    </w:p>
    <w:p w14:paraId="0A416526">
      <w:pPr>
        <w:spacing w:line="580" w:lineRule="exact"/>
        <w:ind w:firstLine="640"/>
        <w:jc w:val="both"/>
      </w:pPr>
      <w:r>
        <w:rPr>
          <w:rFonts w:ascii="仿宋_GB2312" w:hAnsi="仿宋_GB2312" w:eastAsia="仿宋_GB2312"/>
          <w:sz w:val="32"/>
        </w:rPr>
        <w:t>（6）领导场部的社会主义民主法制建设和精神文明建设，做好社会治安综合治理及相关工作。</w:t>
      </w:r>
    </w:p>
    <w:p w14:paraId="001E25A2">
      <w:pPr>
        <w:spacing w:line="640" w:lineRule="exact"/>
        <w:ind w:firstLine="640"/>
        <w:jc w:val="both"/>
        <w:outlineLvl w:val="2"/>
      </w:pPr>
      <w:r>
        <w:rPr>
          <w:rFonts w:ascii="黑体" w:hAnsi="黑体" w:eastAsia="黑体"/>
          <w:sz w:val="32"/>
        </w:rPr>
        <w:t>二、机构设置及人员情况</w:t>
      </w:r>
    </w:p>
    <w:p w14:paraId="2C5F04A7">
      <w:pPr>
        <w:spacing w:line="580" w:lineRule="exact"/>
        <w:ind w:firstLine="640"/>
        <w:jc w:val="both"/>
      </w:pPr>
      <w:r>
        <w:rPr>
          <w:rFonts w:ascii="仿宋_GB2312" w:hAnsi="仿宋_GB2312" w:eastAsia="仿宋_GB2312"/>
          <w:sz w:val="32"/>
        </w:rPr>
        <w:t>麦盖提县五一林场2024年度，实有人数8人，其中：在职人员6人，减少1人；离休人员0人，增加0人；退休人员2人,增加1人。</w:t>
      </w:r>
    </w:p>
    <w:p w14:paraId="52452A19">
      <w:pPr>
        <w:spacing w:line="580" w:lineRule="exact"/>
        <w:ind w:firstLine="640"/>
        <w:jc w:val="both"/>
      </w:pPr>
      <w:r>
        <w:rPr>
          <w:rFonts w:ascii="仿宋_GB2312" w:hAnsi="仿宋_GB2312" w:eastAsia="仿宋_GB2312"/>
          <w:sz w:val="32"/>
        </w:rPr>
        <w:t>麦盖提县五一林场无下属预算单位，下设5个科室，分别是：党建工作办公室、经济发展和财务办公室、社会事务办公室、综合执法办公室、党政办公室。</w:t>
      </w:r>
    </w:p>
    <w:p w14:paraId="095FAF51">
      <w:r>
        <w:br w:type="page"/>
      </w:r>
    </w:p>
    <w:p w14:paraId="247F3B2B">
      <w:pPr>
        <w:spacing w:line="240" w:lineRule="auto"/>
        <w:jc w:val="center"/>
        <w:outlineLvl w:val="1"/>
      </w:pPr>
      <w:r>
        <w:rPr>
          <w:rFonts w:ascii="黑体" w:hAnsi="黑体" w:eastAsia="黑体"/>
          <w:sz w:val="32"/>
        </w:rPr>
        <w:t>第二部分 部门决算情况说明</w:t>
      </w:r>
    </w:p>
    <w:p w14:paraId="5D97E842">
      <w:pPr>
        <w:spacing w:line="640" w:lineRule="exact"/>
        <w:ind w:firstLine="640"/>
        <w:jc w:val="both"/>
        <w:outlineLvl w:val="2"/>
      </w:pPr>
      <w:r>
        <w:rPr>
          <w:rFonts w:ascii="黑体" w:hAnsi="黑体" w:eastAsia="黑体"/>
          <w:sz w:val="32"/>
        </w:rPr>
        <w:t>一、收入支出决算总体情况说明</w:t>
      </w:r>
    </w:p>
    <w:p w14:paraId="5AB0BAA5">
      <w:pPr>
        <w:spacing w:line="580" w:lineRule="exact"/>
        <w:ind w:firstLine="640"/>
        <w:jc w:val="both"/>
      </w:pPr>
      <w:r>
        <w:rPr>
          <w:rFonts w:ascii="仿宋_GB2312" w:hAnsi="仿宋_GB2312" w:eastAsia="仿宋_GB2312"/>
          <w:b/>
          <w:sz w:val="32"/>
        </w:rPr>
        <w:t>2024年度收入总计632.19万元，</w:t>
      </w:r>
      <w:r>
        <w:rPr>
          <w:rFonts w:ascii="仿宋_GB2312" w:hAnsi="仿宋_GB2312" w:eastAsia="仿宋_GB2312"/>
          <w:b w:val="0"/>
          <w:sz w:val="32"/>
        </w:rPr>
        <w:t>其中：本年收入合计632.19万元，使用非财政拨款结余（含专用结余）0.00万元，年初结转和结余0.00万元。</w:t>
      </w:r>
    </w:p>
    <w:p w14:paraId="138421F6">
      <w:pPr>
        <w:spacing w:line="580" w:lineRule="exact"/>
        <w:ind w:firstLine="640"/>
        <w:jc w:val="both"/>
      </w:pPr>
      <w:r>
        <w:rPr>
          <w:rFonts w:ascii="仿宋_GB2312" w:hAnsi="仿宋_GB2312" w:eastAsia="仿宋_GB2312"/>
          <w:b/>
          <w:sz w:val="32"/>
        </w:rPr>
        <w:t>2024年度支出总计632.19万元，</w:t>
      </w:r>
      <w:r>
        <w:rPr>
          <w:rFonts w:ascii="仿宋_GB2312" w:hAnsi="仿宋_GB2312" w:eastAsia="仿宋_GB2312"/>
          <w:b w:val="0"/>
          <w:sz w:val="32"/>
        </w:rPr>
        <w:t>其中：本年支出合计632.19万元，结余分配0.00万元，年末结转和结余0.00万元。</w:t>
      </w:r>
    </w:p>
    <w:p w14:paraId="6F51109B">
      <w:pPr>
        <w:spacing w:line="580" w:lineRule="exact"/>
        <w:ind w:firstLine="640"/>
        <w:jc w:val="both"/>
      </w:pPr>
      <w:r>
        <w:rPr>
          <w:rFonts w:ascii="仿宋_GB2312" w:hAnsi="仿宋_GB2312" w:eastAsia="仿宋_GB2312"/>
          <w:b w:val="0"/>
          <w:sz w:val="32"/>
        </w:rPr>
        <w:t>收入支出总体与上年相比，增加96.37万元，增长17.99%，主要原因是：本年增加比尔艾格孜实训基地建设项目，乡村特色桃花小镇建设项目等项目，导致相关经费增加。</w:t>
      </w:r>
    </w:p>
    <w:p w14:paraId="18F4B9FD">
      <w:pPr>
        <w:spacing w:line="640" w:lineRule="exact"/>
        <w:ind w:firstLine="640"/>
        <w:jc w:val="both"/>
        <w:outlineLvl w:val="2"/>
      </w:pPr>
      <w:r>
        <w:rPr>
          <w:rFonts w:ascii="黑体" w:hAnsi="黑体" w:eastAsia="黑体"/>
          <w:sz w:val="32"/>
        </w:rPr>
        <w:t>二、收入决算情况说明</w:t>
      </w:r>
    </w:p>
    <w:p w14:paraId="6C17CEC3">
      <w:pPr>
        <w:spacing w:line="580" w:lineRule="exact"/>
        <w:ind w:firstLine="640"/>
        <w:jc w:val="both"/>
      </w:pPr>
      <w:r>
        <w:rPr>
          <w:rFonts w:ascii="仿宋_GB2312" w:hAnsi="仿宋_GB2312" w:eastAsia="仿宋_GB2312"/>
          <w:b/>
          <w:sz w:val="32"/>
        </w:rPr>
        <w:t>本年收入632.19万元，</w:t>
      </w:r>
      <w:r>
        <w:rPr>
          <w:rFonts w:ascii="仿宋_GB2312" w:hAnsi="仿宋_GB2312" w:eastAsia="仿宋_GB2312"/>
          <w:b w:val="0"/>
          <w:sz w:val="32"/>
        </w:rPr>
        <w:t>其中：财政拨款收入632.19万元，占100.00%；上级补助收入0.00万元，占0.00%；事业收入0.00万元，占0.00%；经营收入0.00万元，占0.00%；附属单位上缴收入0.00万元，占0.00%；其他收入0.00万元，占0.00%。</w:t>
      </w:r>
    </w:p>
    <w:p w14:paraId="0A4CB507">
      <w:pPr>
        <w:spacing w:line="640" w:lineRule="exact"/>
        <w:ind w:firstLine="640"/>
        <w:jc w:val="both"/>
        <w:outlineLvl w:val="2"/>
      </w:pPr>
      <w:r>
        <w:rPr>
          <w:rFonts w:ascii="黑体" w:hAnsi="黑体" w:eastAsia="黑体"/>
          <w:sz w:val="32"/>
        </w:rPr>
        <w:t>三、支出决算情况说明</w:t>
      </w:r>
    </w:p>
    <w:p w14:paraId="28BB7136">
      <w:pPr>
        <w:spacing w:line="580" w:lineRule="exact"/>
        <w:ind w:firstLine="640"/>
        <w:jc w:val="both"/>
      </w:pPr>
      <w:r>
        <w:rPr>
          <w:rFonts w:ascii="仿宋_GB2312" w:hAnsi="仿宋_GB2312" w:eastAsia="仿宋_GB2312"/>
          <w:b/>
          <w:sz w:val="32"/>
        </w:rPr>
        <w:t>本年支出632.19万元，</w:t>
      </w:r>
      <w:r>
        <w:rPr>
          <w:rFonts w:ascii="仿宋_GB2312" w:hAnsi="仿宋_GB2312" w:eastAsia="仿宋_GB2312"/>
          <w:b w:val="0"/>
          <w:sz w:val="32"/>
        </w:rPr>
        <w:t>其中：基本支出318.82万元，占50.43%；项目支出313.37万元，占49.57%；上缴上级支出0.00万元，占0.00%；经营支出0.00万元，占0.00%；对附属单位补助支出0.00万元，占0.00%。</w:t>
      </w:r>
    </w:p>
    <w:p w14:paraId="13593166">
      <w:pPr>
        <w:spacing w:line="640" w:lineRule="exact"/>
        <w:ind w:firstLine="640"/>
        <w:jc w:val="both"/>
        <w:outlineLvl w:val="2"/>
      </w:pPr>
      <w:r>
        <w:rPr>
          <w:rFonts w:ascii="黑体" w:hAnsi="黑体" w:eastAsia="黑体"/>
          <w:sz w:val="32"/>
        </w:rPr>
        <w:t>四、财政拨款收入支出决算总体情况说明</w:t>
      </w:r>
    </w:p>
    <w:p w14:paraId="21CCFB14">
      <w:pPr>
        <w:spacing w:line="580" w:lineRule="exact"/>
        <w:ind w:firstLine="640"/>
        <w:jc w:val="both"/>
      </w:pPr>
      <w:r>
        <w:rPr>
          <w:rFonts w:ascii="仿宋_GB2312" w:hAnsi="仿宋_GB2312" w:eastAsia="仿宋_GB2312"/>
          <w:b/>
          <w:sz w:val="32"/>
        </w:rPr>
        <w:t>2024年度财政拨款收入总计632.19万元，</w:t>
      </w:r>
      <w:r>
        <w:rPr>
          <w:rFonts w:ascii="仿宋_GB2312" w:hAnsi="仿宋_GB2312" w:eastAsia="仿宋_GB2312"/>
          <w:b w:val="0"/>
          <w:sz w:val="32"/>
        </w:rPr>
        <w:t>其中：年初财政拨款结转和结余0.00万元，本年财政拨款收入632.19万元。</w:t>
      </w:r>
      <w:r>
        <w:rPr>
          <w:rFonts w:ascii="仿宋_GB2312" w:hAnsi="仿宋_GB2312" w:eastAsia="仿宋_GB2312"/>
          <w:b/>
          <w:sz w:val="32"/>
        </w:rPr>
        <w:t>财政拨款支出总计632.19万元，</w:t>
      </w:r>
      <w:r>
        <w:rPr>
          <w:rFonts w:ascii="仿宋_GB2312" w:hAnsi="仿宋_GB2312" w:eastAsia="仿宋_GB2312"/>
          <w:b w:val="0"/>
          <w:sz w:val="32"/>
        </w:rPr>
        <w:t>其中：年末财政拨款结转和结余0.00万元，本年财政拨款支出632.19万元。</w:t>
      </w:r>
    </w:p>
    <w:p w14:paraId="0BFC0F1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增加126.36万元，增长24.98%，主要原因是：本年增加比尔艾格孜实训基地建设项目，乡村特色桃花小镇建设项目等项目，导致相关经费增加。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330.54万元，决算数632.19万元，预决算差异率91.26%，主要原因是：本年在职人员工资调薪，工资、社保、公积金等相关人员经费增加，年中追加人员经费。年中追加比尔艾格孜实训基地建设项目，乡村特色桃花小镇建设项目经费，导致预决算存在差异。</w:t>
      </w:r>
    </w:p>
    <w:p w14:paraId="7032EBF9">
      <w:pPr>
        <w:spacing w:line="640" w:lineRule="exact"/>
        <w:ind w:firstLine="640"/>
        <w:jc w:val="both"/>
        <w:outlineLvl w:val="2"/>
      </w:pPr>
      <w:r>
        <w:rPr>
          <w:rFonts w:ascii="黑体" w:hAnsi="黑体" w:eastAsia="黑体"/>
          <w:sz w:val="32"/>
        </w:rPr>
        <w:t>五、一般公共预算财政拨款支出决算情况说明</w:t>
      </w:r>
    </w:p>
    <w:p w14:paraId="2CA14EDF">
      <w:pPr>
        <w:spacing w:line="640" w:lineRule="exact"/>
        <w:ind w:firstLine="640"/>
        <w:jc w:val="both"/>
        <w:outlineLvl w:val="3"/>
      </w:pPr>
      <w:r>
        <w:rPr>
          <w:rFonts w:ascii="楷体_GB2312" w:hAnsi="楷体_GB2312" w:eastAsia="楷体_GB2312"/>
          <w:b/>
          <w:sz w:val="32"/>
        </w:rPr>
        <w:t>（一）一般公共预算财政拨款支出决算总体情况</w:t>
      </w:r>
    </w:p>
    <w:p w14:paraId="06D42B18">
      <w:pPr>
        <w:spacing w:line="580" w:lineRule="exact"/>
        <w:ind w:firstLine="640"/>
        <w:jc w:val="both"/>
      </w:pPr>
      <w:r>
        <w:rPr>
          <w:rFonts w:ascii="仿宋_GB2312" w:hAnsi="仿宋_GB2312" w:eastAsia="仿宋_GB2312"/>
          <w:b/>
          <w:sz w:val="32"/>
        </w:rPr>
        <w:t>2024年度一般公共预算财政拨款支出632.19万元，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增加126.36万元，增长24.98%，主要原因是：本年增加比尔艾格孜实训基地建设项目，乡村特色桃花小镇建设项目经费，导致相关经费增加。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330.54万元，决算数632.19万元，预决算差异率91.26%，主要原因是：本年在职人员工资调薪，工资、社保、公积金等相关人员经费增加，年中追加人员经费。年中追加比尔艾格孜实训基地建设项目，乡村特色桃花小镇建设项目经费，导致预决算存在差异。</w:t>
      </w:r>
    </w:p>
    <w:p w14:paraId="1052527D">
      <w:pPr>
        <w:spacing w:line="640" w:lineRule="exact"/>
        <w:ind w:firstLine="640"/>
        <w:jc w:val="both"/>
        <w:outlineLvl w:val="3"/>
      </w:pPr>
      <w:r>
        <w:rPr>
          <w:rFonts w:ascii="楷体_GB2312" w:hAnsi="楷体_GB2312" w:eastAsia="楷体_GB2312"/>
          <w:b/>
          <w:sz w:val="32"/>
        </w:rPr>
        <w:t>（二）一般公共预算财政拨款支出决算结构情况</w:t>
      </w:r>
    </w:p>
    <w:p w14:paraId="06062DF7">
      <w:pPr>
        <w:spacing w:line="580" w:lineRule="exact"/>
        <w:ind w:firstLine="640"/>
        <w:jc w:val="both"/>
      </w:pPr>
      <w:r>
        <w:rPr>
          <w:rFonts w:ascii="仿宋_GB2312" w:hAnsi="仿宋_GB2312" w:eastAsia="仿宋_GB2312"/>
          <w:b w:val="0"/>
          <w:sz w:val="32"/>
        </w:rPr>
        <w:t>1.社会保障和就业支出(类)11.41万元,占1.80%。</w:t>
      </w:r>
    </w:p>
    <w:p w14:paraId="15E81B17">
      <w:pPr>
        <w:spacing w:line="580" w:lineRule="exact"/>
        <w:ind w:firstLine="640"/>
        <w:jc w:val="both"/>
      </w:pPr>
      <w:r>
        <w:rPr>
          <w:rFonts w:ascii="仿宋_GB2312" w:hAnsi="仿宋_GB2312" w:eastAsia="仿宋_GB2312"/>
          <w:b w:val="0"/>
          <w:sz w:val="32"/>
        </w:rPr>
        <w:t>2.卫生健康支出(类)4.12万元,占0.65%。</w:t>
      </w:r>
    </w:p>
    <w:p w14:paraId="0B841D61">
      <w:pPr>
        <w:spacing w:line="580" w:lineRule="exact"/>
        <w:ind w:firstLine="640"/>
        <w:jc w:val="both"/>
      </w:pPr>
      <w:r>
        <w:rPr>
          <w:rFonts w:ascii="仿宋_GB2312" w:hAnsi="仿宋_GB2312" w:eastAsia="仿宋_GB2312"/>
          <w:b w:val="0"/>
          <w:sz w:val="32"/>
        </w:rPr>
        <w:t>3.农林水支出(类)604.41万元,占95.61%。</w:t>
      </w:r>
    </w:p>
    <w:p w14:paraId="764DAFC5">
      <w:pPr>
        <w:spacing w:line="580" w:lineRule="exact"/>
        <w:ind w:firstLine="640"/>
        <w:jc w:val="both"/>
      </w:pPr>
      <w:r>
        <w:rPr>
          <w:rFonts w:ascii="仿宋_GB2312" w:hAnsi="仿宋_GB2312" w:eastAsia="仿宋_GB2312"/>
          <w:b w:val="0"/>
          <w:sz w:val="32"/>
        </w:rPr>
        <w:t>4.住房保障支出(类)7.26万元,占1.15%。</w:t>
      </w:r>
    </w:p>
    <w:p w14:paraId="27CACDC8">
      <w:pPr>
        <w:spacing w:line="580" w:lineRule="exact"/>
        <w:ind w:firstLine="640"/>
        <w:jc w:val="both"/>
      </w:pPr>
      <w:r>
        <w:rPr>
          <w:rFonts w:ascii="仿宋_GB2312" w:hAnsi="仿宋_GB2312" w:eastAsia="仿宋_GB2312"/>
          <w:b w:val="0"/>
          <w:sz w:val="32"/>
        </w:rPr>
        <w:t>5.其他支出(类)5.00万元,占0.79%。</w:t>
      </w:r>
    </w:p>
    <w:p w14:paraId="459D6DF8">
      <w:pPr>
        <w:spacing w:line="640" w:lineRule="exact"/>
        <w:ind w:firstLine="640"/>
        <w:jc w:val="both"/>
        <w:outlineLvl w:val="3"/>
      </w:pPr>
      <w:r>
        <w:rPr>
          <w:rFonts w:ascii="楷体_GB2312" w:hAnsi="楷体_GB2312" w:eastAsia="楷体_GB2312"/>
          <w:b/>
          <w:sz w:val="32"/>
        </w:rPr>
        <w:t>（三）一般公共预算财政拨款支出决算具体情况</w:t>
      </w:r>
    </w:p>
    <w:p w14:paraId="193683E0">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1.社会保障和就业支出(类)行政事业单位养老支出(款)事业单位离退休(项):支出决算数为1.73万元，比上年决算增加1.12万元，增长183.61%,主要原因是：本年增加退休人员基础绩效奖，退休费支出增加。</w:t>
      </w:r>
    </w:p>
    <w:p w14:paraId="4B80818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2.社会保障和就业支出(类)行政事业单位养老支出(款)机关事业单位基本养老保险缴费支出(项):支出决算数为9.68万元，比上年决算增加1.38万元，增长16.63%,主要原因是：本年在职人员调薪，养老保险缴费增加。</w:t>
      </w:r>
    </w:p>
    <w:p w14:paraId="24C1989C">
      <w:pPr>
        <w:spacing w:line="580" w:lineRule="exact"/>
        <w:ind w:firstLine="640"/>
        <w:jc w:val="both"/>
      </w:pPr>
      <w:r>
        <w:rPr>
          <w:rFonts w:ascii="仿宋_GB2312" w:hAnsi="仿宋_GB2312" w:eastAsia="仿宋_GB2312"/>
          <w:b w:val="0"/>
          <w:sz w:val="32"/>
        </w:rPr>
        <w:t>3.社会保障和就业支出(类)临时救助(款)临时救助支出(项):支出决算数为0.00万元，比上年决算减少5.00万元，下降100.00%,主要原因是：本年减少临时救助项目，导致相关经费减少。</w:t>
      </w:r>
    </w:p>
    <w:p w14:paraId="06C37446">
      <w:pPr>
        <w:spacing w:line="580" w:lineRule="exact"/>
        <w:ind w:firstLine="640"/>
        <w:jc w:val="both"/>
      </w:pPr>
      <w:r>
        <w:rPr>
          <w:rFonts w:ascii="仿宋_GB2312" w:hAnsi="仿宋_GB2312" w:eastAsia="仿宋_GB2312"/>
          <w:b w:val="0"/>
          <w:sz w:val="32"/>
        </w:rPr>
        <w:t>4.卫生健康支出(类)行政事业单位医疗(款)事业单位医疗(项):支出决算数为4.12万元，比上年决算增加0.15万元，增长3.78%,主要原因是：本年度在职人员调薪，医疗保险缴费增加。</w:t>
      </w:r>
    </w:p>
    <w:p w14:paraId="356C3713">
      <w:pPr>
        <w:spacing w:line="580" w:lineRule="exact"/>
        <w:ind w:firstLine="640"/>
        <w:jc w:val="both"/>
      </w:pPr>
      <w:r>
        <w:rPr>
          <w:rFonts w:ascii="仿宋_GB2312" w:hAnsi="仿宋_GB2312" w:eastAsia="仿宋_GB2312"/>
          <w:b w:val="0"/>
          <w:sz w:val="32"/>
        </w:rPr>
        <w:t>5.农林水支出(类)林业和草原(款)事业机构(项):支出决算数为296.04万元，比上年决算增加14.45万元，增长5.13%,主要原因是：本年度业务活动经费增加，办公费等公用经费增加。</w:t>
      </w:r>
    </w:p>
    <w:p w14:paraId="52E6EB49">
      <w:pPr>
        <w:spacing w:line="580" w:lineRule="exact"/>
        <w:ind w:firstLine="640"/>
        <w:jc w:val="both"/>
      </w:pPr>
      <w:r>
        <w:rPr>
          <w:rFonts w:ascii="仿宋_GB2312" w:hAnsi="仿宋_GB2312" w:eastAsia="仿宋_GB2312"/>
          <w:b w:val="0"/>
          <w:sz w:val="32"/>
        </w:rPr>
        <w:t>6.农林水支出(类)巩固脱贫攻坚成果衔接乡村振兴(款)生产发展(项):支出决算数为0.00万元，比上年决算减少199.84万元，下降100.00%,主要原因是：本年减少五一林场乡村旅游建设项目，导致相关经费减少。</w:t>
      </w:r>
    </w:p>
    <w:p w14:paraId="1CEB13B5">
      <w:pPr>
        <w:spacing w:line="580" w:lineRule="exact"/>
        <w:ind w:firstLine="640"/>
        <w:jc w:val="both"/>
      </w:pPr>
      <w:r>
        <w:rPr>
          <w:rFonts w:ascii="仿宋_GB2312" w:hAnsi="仿宋_GB2312" w:eastAsia="仿宋_GB2312"/>
          <w:b w:val="0"/>
          <w:sz w:val="32"/>
        </w:rPr>
        <w:t>7.农林水支出(类)其他农林水支出(款)其他农林水支出(项):支出决算数为308.37万元，比上年决算增加308.37万元，增长100.00%,主要原因是：本年增加比尔艾格孜实训基地建设项目，乡村特色桃花小镇建设项目经费，导致相关经费增加。</w:t>
      </w:r>
    </w:p>
    <w:p w14:paraId="74E45B68">
      <w:pPr>
        <w:spacing w:line="580" w:lineRule="exact"/>
        <w:ind w:firstLine="640"/>
        <w:jc w:val="both"/>
      </w:pPr>
      <w:r>
        <w:rPr>
          <w:rFonts w:ascii="仿宋_GB2312" w:hAnsi="仿宋_GB2312" w:eastAsia="仿宋_GB2312"/>
          <w:b w:val="0"/>
          <w:sz w:val="32"/>
        </w:rPr>
        <w:t>8.住房保障支出(类)住房改革支出(款)住房公积金(项):支出决算数为7.26万元，比上年决算增加0.73万元，增长11.18%,主要原因是：本年在职人员工资基数调增，公积金缴费基数上涨，相应支出增加。</w:t>
      </w:r>
    </w:p>
    <w:p w14:paraId="0E74F476">
      <w:pPr>
        <w:spacing w:line="580" w:lineRule="exact"/>
        <w:ind w:firstLine="640"/>
        <w:jc w:val="both"/>
      </w:pPr>
      <w:r>
        <w:rPr>
          <w:rFonts w:ascii="仿宋_GB2312" w:hAnsi="仿宋_GB2312" w:eastAsia="仿宋_GB2312"/>
          <w:b w:val="0"/>
          <w:sz w:val="32"/>
        </w:rPr>
        <w:t>9.其他支出(类)其他支出(款)其他支出(项):支出决算数为5.00万元，比上年决算增加5.00万元，增长100.00%,主要原因是：本年增加2024年地区为民办实事工作经费，导致相关经费增加。</w:t>
      </w:r>
    </w:p>
    <w:p w14:paraId="31ACEB80">
      <w:pPr>
        <w:spacing w:line="640" w:lineRule="exact"/>
        <w:ind w:firstLine="640"/>
        <w:jc w:val="both"/>
        <w:outlineLvl w:val="2"/>
      </w:pPr>
      <w:r>
        <w:rPr>
          <w:rFonts w:ascii="黑体" w:hAnsi="黑体" w:eastAsia="黑体"/>
          <w:sz w:val="32"/>
        </w:rPr>
        <w:t>六、一般公共预算财政拨款基本支出决算情况说明</w:t>
      </w:r>
    </w:p>
    <w:p w14:paraId="2C8BD50A">
      <w:pPr>
        <w:spacing w:line="580" w:lineRule="exact"/>
        <w:ind w:firstLine="640"/>
        <w:jc w:val="both"/>
      </w:pPr>
      <w:r>
        <w:rPr>
          <w:rFonts w:ascii="仿宋_GB2312" w:hAnsi="仿宋_GB2312" w:eastAsia="仿宋_GB2312"/>
          <w:b w:val="0"/>
          <w:sz w:val="32"/>
        </w:rPr>
        <w:t>2024年度一般公共预算财政拨款基本支出318.82万元，其中：</w:t>
      </w:r>
      <w:r>
        <w:rPr>
          <w:rFonts w:ascii="仿宋_GB2312" w:hAnsi="仿宋_GB2312" w:eastAsia="仿宋_GB2312"/>
          <w:b/>
          <w:sz w:val="32"/>
        </w:rPr>
        <w:t>人员经费224.43万元，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0D1C5ED3">
      <w:pPr>
        <w:spacing w:line="580" w:lineRule="exact"/>
        <w:ind w:firstLine="640"/>
        <w:jc w:val="both"/>
      </w:pPr>
      <w:r>
        <w:rPr>
          <w:rFonts w:ascii="仿宋_GB2312" w:hAnsi="仿宋_GB2312" w:eastAsia="仿宋_GB2312"/>
          <w:b/>
          <w:sz w:val="32"/>
        </w:rPr>
        <w:t>公用经费94.39万元，</w:t>
      </w:r>
      <w:r>
        <w:rPr>
          <w:rFonts w:ascii="仿宋_GB2312" w:hAnsi="仿宋_GB2312" w:eastAsia="仿宋_GB2312"/>
          <w:b w:val="0"/>
          <w:sz w:val="32"/>
        </w:rPr>
        <w:t>包括：办公费、水费、电费、邮电费、取暖费、维修（护）费、公务用车运行维护费、办公设备购置。</w:t>
      </w:r>
    </w:p>
    <w:p w14:paraId="181B8511">
      <w:pPr>
        <w:spacing w:line="640" w:lineRule="exact"/>
        <w:ind w:firstLine="640"/>
        <w:jc w:val="both"/>
        <w:outlineLvl w:val="2"/>
      </w:pPr>
      <w:r>
        <w:rPr>
          <w:rFonts w:ascii="黑体" w:hAnsi="黑体" w:eastAsia="黑体"/>
          <w:sz w:val="32"/>
        </w:rPr>
        <w:t>七、政府性基金预算财政拨款收入支出决算情况说明</w:t>
      </w:r>
    </w:p>
    <w:p w14:paraId="5E57A35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D69C015">
      <w:pPr>
        <w:spacing w:line="640" w:lineRule="exact"/>
        <w:ind w:firstLine="640"/>
        <w:jc w:val="both"/>
        <w:outlineLvl w:val="2"/>
      </w:pPr>
      <w:r>
        <w:rPr>
          <w:rFonts w:ascii="黑体" w:hAnsi="黑体" w:eastAsia="黑体"/>
          <w:sz w:val="32"/>
        </w:rPr>
        <w:t>八、国有资本经营预算财政拨款收入支出决算情况说明</w:t>
      </w:r>
    </w:p>
    <w:p w14:paraId="245F6E5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08A55F">
      <w:pPr>
        <w:spacing w:line="640" w:lineRule="exact"/>
        <w:ind w:firstLine="640"/>
        <w:jc w:val="both"/>
        <w:outlineLvl w:val="2"/>
      </w:pPr>
      <w:r>
        <w:rPr>
          <w:rFonts w:ascii="黑体" w:hAnsi="黑体" w:eastAsia="黑体"/>
          <w:sz w:val="32"/>
        </w:rPr>
        <w:t>九、财政拨款“三公”经费支出决算情况说明</w:t>
      </w:r>
    </w:p>
    <w:p w14:paraId="4B011505">
      <w:pPr>
        <w:spacing w:line="580" w:lineRule="exact"/>
        <w:ind w:firstLine="640"/>
        <w:jc w:val="both"/>
      </w:pPr>
      <w:r>
        <w:rPr>
          <w:rFonts w:ascii="仿宋_GB2312" w:hAnsi="仿宋_GB2312" w:eastAsia="仿宋_GB2312"/>
          <w:b/>
          <w:sz w:val="32"/>
        </w:rPr>
        <w:t>2024年度财政拨款“三公”经费支出6.65万元，</w:t>
      </w:r>
      <w:r>
        <w:rPr>
          <w:rFonts w:ascii="仿宋_GB2312" w:hAnsi="仿宋_GB2312" w:eastAsia="仿宋_GB2312"/>
          <w:b w:val="0"/>
          <w:sz w:val="32"/>
        </w:rPr>
        <w:t>比上年增加2.67万元，增长67.09%，主要原因是：本年车辆使用次数增加，车辆老化，导致燃油费、维修维护费等增加。其中：因公出国（境）费支出0.00万元，占0.00%，比上年增加0.00万元，增长0.00%，主要原因是：2023年与2024年均未安排因公出国（境）费支出。公务用车购置及运行维护费支出6.65万元，占100.00%，比上年增加2.67万元，增长67.09%，主要原因是：本年车辆使用次数增加，车辆老化，导致燃油费、维修维护费等增加。公务接待费支出0.00万元，占0.00%，比上年增加0.00万元，增长0.00%，主要原因是：2023年与2024年均未安排公务接待费支出。</w:t>
      </w:r>
    </w:p>
    <w:p w14:paraId="607803D4">
      <w:pPr>
        <w:spacing w:line="580" w:lineRule="exact"/>
        <w:ind w:firstLine="640"/>
        <w:jc w:val="both"/>
      </w:pPr>
      <w:r>
        <w:rPr>
          <w:rFonts w:ascii="仿宋_GB2312" w:hAnsi="仿宋_GB2312" w:eastAsia="仿宋_GB2312"/>
          <w:b/>
          <w:sz w:val="32"/>
        </w:rPr>
        <w:t>具体情况如下：</w:t>
      </w:r>
    </w:p>
    <w:p w14:paraId="75DFC45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CA37D0B">
      <w:pPr>
        <w:spacing w:line="580" w:lineRule="exact"/>
        <w:ind w:firstLine="640"/>
        <w:jc w:val="both"/>
      </w:pPr>
      <w:r>
        <w:rPr>
          <w:rFonts w:ascii="仿宋_GB2312" w:hAnsi="仿宋_GB2312" w:eastAsia="仿宋_GB2312"/>
          <w:b w:val="0"/>
          <w:sz w:val="32"/>
        </w:rPr>
        <w:t>公务用车购置及运行维护费6.65万元，其中：公务用车购置费0.00万元，公务用车运行维护费6.65万元。公务用车运行维护费开支内容包括车辆燃油费、保险费、维修维护费等。公务用车购置数0辆，公务用车保有量2辆。国有资产占用情况中固定资产车辆2辆，与公务用车保有量差异原因是：本单位固定资产车辆与公务用车保有量一致无差异。</w:t>
      </w:r>
    </w:p>
    <w:p w14:paraId="741220B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239F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6.65万元，决算数6.65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6.65万元，决算数6.65万元，预决算差异率0.00%，主要原因是：严格按照预算执行，预决算无差异。公务接待费全年预算数0.00万元，决算数0.00万元，预决算差异率0.00%，主要原因是：本单位无公务接待费。</w:t>
      </w:r>
    </w:p>
    <w:p w14:paraId="563703B3">
      <w:pPr>
        <w:spacing w:line="640" w:lineRule="exact"/>
        <w:ind w:firstLine="640"/>
        <w:jc w:val="both"/>
        <w:outlineLvl w:val="2"/>
      </w:pPr>
      <w:r>
        <w:rPr>
          <w:rFonts w:ascii="黑体" w:hAnsi="黑体" w:eastAsia="黑体"/>
          <w:sz w:val="32"/>
        </w:rPr>
        <w:t>十、其他重要事项的情况说明</w:t>
      </w:r>
    </w:p>
    <w:p w14:paraId="5F19B1C0">
      <w:pPr>
        <w:spacing w:line="640" w:lineRule="exact"/>
        <w:ind w:firstLine="640"/>
        <w:jc w:val="both"/>
        <w:outlineLvl w:val="3"/>
      </w:pPr>
      <w:r>
        <w:rPr>
          <w:rFonts w:ascii="楷体_GB2312" w:hAnsi="楷体_GB2312" w:eastAsia="楷体_GB2312"/>
          <w:b/>
          <w:sz w:val="32"/>
        </w:rPr>
        <w:t>（一）机关运行经费及公用经费支出情况</w:t>
      </w:r>
    </w:p>
    <w:p w14:paraId="24844749">
      <w:pPr>
        <w:spacing w:line="580" w:lineRule="exact"/>
        <w:ind w:firstLine="640"/>
        <w:jc w:val="both"/>
      </w:pPr>
      <w:r>
        <w:rPr>
          <w:rFonts w:ascii="仿宋_GB2312" w:hAnsi="仿宋_GB2312" w:eastAsia="仿宋_GB2312"/>
          <w:b w:val="0"/>
          <w:sz w:val="32"/>
        </w:rPr>
        <w:t>2024年度麦盖提县五一林场（事业单位）公用经费支出94.39万元，比上年增加47.76万元，增长102.42%，主要原因是：本年度业务活动经费、办公费等增加，导致机关运行经费支出增加。</w:t>
      </w:r>
    </w:p>
    <w:p w14:paraId="7BA5442D">
      <w:pPr>
        <w:spacing w:line="640" w:lineRule="exact"/>
        <w:ind w:firstLine="640"/>
        <w:jc w:val="both"/>
        <w:outlineLvl w:val="3"/>
      </w:pPr>
      <w:r>
        <w:rPr>
          <w:rFonts w:ascii="楷体_GB2312" w:hAnsi="楷体_GB2312" w:eastAsia="楷体_GB2312"/>
          <w:b/>
          <w:sz w:val="32"/>
        </w:rPr>
        <w:t>（二）政府采购情况</w:t>
      </w:r>
    </w:p>
    <w:p w14:paraId="19B7C69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2B8E22C">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59D3182">
      <w:pPr>
        <w:spacing w:line="640" w:lineRule="exact"/>
        <w:ind w:firstLine="640"/>
        <w:jc w:val="both"/>
        <w:outlineLvl w:val="3"/>
      </w:pPr>
      <w:r>
        <w:rPr>
          <w:rFonts w:ascii="楷体_GB2312" w:hAnsi="楷体_GB2312" w:eastAsia="楷体_GB2312"/>
          <w:b/>
          <w:sz w:val="32"/>
        </w:rPr>
        <w:t>（三）国有资产占用情况说明</w:t>
      </w:r>
    </w:p>
    <w:p w14:paraId="7420EC76">
      <w:pPr>
        <w:spacing w:line="580" w:lineRule="exact"/>
        <w:ind w:firstLine="640"/>
        <w:jc w:val="both"/>
      </w:pPr>
      <w:r>
        <w:rPr>
          <w:rFonts w:ascii="仿宋_GB2312" w:hAnsi="仿宋_GB2312" w:eastAsia="仿宋_GB2312"/>
          <w:b w:val="0"/>
          <w:sz w:val="32"/>
        </w:rPr>
        <w:t>截至2024年12月31日，房屋2,447.22平方米，价值203.75万元。车辆2辆，价值16.66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491AEE41">
      <w:pPr>
        <w:spacing w:line="640" w:lineRule="exact"/>
        <w:ind w:firstLine="640"/>
        <w:jc w:val="both"/>
        <w:outlineLvl w:val="2"/>
      </w:pPr>
      <w:r>
        <w:rPr>
          <w:rFonts w:ascii="黑体" w:hAnsi="黑体" w:eastAsia="黑体"/>
          <w:sz w:val="32"/>
        </w:rPr>
        <w:t>十一、预算绩效的情况说明</w:t>
      </w:r>
    </w:p>
    <w:p w14:paraId="21C6FA1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645.14万元，实际执行总额632.19万元；预算绩效评价项目4个，全年预算数534.25万元，全年执行数534.25万元。预算绩效管理取得的成效：一是确保资金的高效使用，切实发挥财政资金的使用。二是严格按照工作职责和相关文件依据，确保专款专用。三是严格控制资金的流出方向，确保资金的合规性。一是确保资金的高效使用，切实发挥财政资金的使用。二是严格按照工作职责和相关文件依据，确保专款专用。三是严格控制资金的流出方向，确保资金的合规性。发现的问题及原因：一是预算绩效观念不深入。我单位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我单位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进一步增强绩效管理理念。在管理和使用预算资金的过程中，我单位将更加突出资金使用效益，做到“花钱必问效，无效必问责”。加强与县财政绩效评价股和第三方之间的沟通，严格按照绩效评价原则，开展资金安全性、规范性的监督，确保专项资金的使用符合绩效管理要求。具体附整体支出绩效自评表，项目支出绩效自评表和评价报告。</w:t>
      </w:r>
    </w:p>
    <w:p w14:paraId="47948EF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E81627">
        <w:tblPrEx>
          <w:tblCellMar>
            <w:top w:w="0" w:type="dxa"/>
            <w:left w:w="108" w:type="dxa"/>
            <w:bottom w:w="0" w:type="dxa"/>
            <w:right w:w="108" w:type="dxa"/>
          </w:tblCellMar>
        </w:tblPrEx>
        <w:tc>
          <w:tcPr>
            <w:tcW w:w="8847" w:type="dxa"/>
            <w:gridSpan w:val="9"/>
            <w:vAlign w:val="center"/>
          </w:tcPr>
          <w:p w14:paraId="4078C3B1">
            <w:pPr>
              <w:jc w:val="center"/>
            </w:pPr>
            <w:r>
              <w:rPr>
                <w:rFonts w:ascii="宋体" w:hAnsi="宋体" w:eastAsia="宋体"/>
                <w:sz w:val="24"/>
              </w:rPr>
              <w:t>单位整体支出绩效自评表</w:t>
            </w:r>
          </w:p>
        </w:tc>
      </w:tr>
      <w:tr w14:paraId="3E470958">
        <w:tblPrEx>
          <w:tblCellMar>
            <w:top w:w="0" w:type="dxa"/>
            <w:left w:w="108" w:type="dxa"/>
            <w:bottom w:w="0" w:type="dxa"/>
            <w:right w:w="108" w:type="dxa"/>
          </w:tblCellMar>
        </w:tblPrEx>
        <w:tc>
          <w:tcPr>
            <w:tcW w:w="8847" w:type="dxa"/>
            <w:gridSpan w:val="9"/>
            <w:vAlign w:val="center"/>
          </w:tcPr>
          <w:p w14:paraId="70AE14ED">
            <w:pPr>
              <w:jc w:val="center"/>
            </w:pPr>
            <w:r>
              <w:rPr>
                <w:rFonts w:ascii="宋体" w:hAnsi="宋体" w:eastAsia="宋体"/>
                <w:sz w:val="24"/>
              </w:rPr>
              <w:t>（2024年度）</w:t>
            </w:r>
          </w:p>
        </w:tc>
      </w:tr>
      <w:tr w14:paraId="513810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4459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9796052">
            <w:pPr>
              <w:jc w:val="center"/>
            </w:pPr>
            <w:r>
              <w:rPr>
                <w:rFonts w:ascii="宋体" w:hAnsi="宋体" w:eastAsia="宋体"/>
                <w:sz w:val="16"/>
              </w:rPr>
              <w:t>麦盖提县五一林场</w:t>
            </w:r>
          </w:p>
        </w:tc>
      </w:tr>
      <w:tr w14:paraId="3787C9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C770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BD31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F746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EFF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19CA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FC0D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411C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A80F8">
            <w:pPr>
              <w:jc w:val="center"/>
            </w:pPr>
            <w:r>
              <w:rPr>
                <w:rFonts w:ascii="宋体" w:hAnsi="宋体" w:eastAsia="宋体"/>
                <w:sz w:val="16"/>
              </w:rPr>
              <w:t>得分</w:t>
            </w:r>
          </w:p>
        </w:tc>
      </w:tr>
      <w:tr w14:paraId="6AE653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CDE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12C0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D70DB">
            <w:pPr>
              <w:jc w:val="center"/>
            </w:pPr>
            <w:r>
              <w:rPr>
                <w:rFonts w:ascii="宋体" w:hAnsi="宋体" w:eastAsia="宋体"/>
                <w:sz w:val="16"/>
              </w:rPr>
              <w:t>330.54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965CB">
            <w:pPr>
              <w:jc w:val="center"/>
            </w:pPr>
            <w:r>
              <w:rPr>
                <w:rFonts w:ascii="宋体" w:hAnsi="宋体" w:eastAsia="宋体"/>
                <w:sz w:val="16"/>
              </w:rPr>
              <w:t>645.14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71941">
            <w:pPr>
              <w:jc w:val="center"/>
            </w:pPr>
            <w:r>
              <w:rPr>
                <w:rFonts w:ascii="宋体" w:hAnsi="宋体" w:eastAsia="宋体"/>
                <w:sz w:val="16"/>
              </w:rPr>
              <w:t>632.19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31B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BB607">
            <w:pPr>
              <w:jc w:val="center"/>
            </w:pPr>
            <w:r>
              <w:rPr>
                <w:rFonts w:ascii="宋体" w:hAnsi="宋体" w:eastAsia="宋体"/>
                <w:sz w:val="16"/>
              </w:rPr>
              <w:t>97.99%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5CAD1">
            <w:pPr>
              <w:jc w:val="center"/>
            </w:pPr>
            <w:r>
              <w:rPr>
                <w:rFonts w:ascii="宋体" w:hAnsi="宋体" w:eastAsia="宋体"/>
                <w:sz w:val="16"/>
              </w:rPr>
              <w:t>9.8</w:t>
            </w:r>
          </w:p>
        </w:tc>
      </w:tr>
      <w:tr w14:paraId="78699B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66C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25EC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33879">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66A8B">
            <w:pPr>
              <w:jc w:val="center"/>
            </w:pPr>
            <w:r>
              <w:rPr>
                <w:rFonts w:ascii="宋体" w:hAnsi="宋体" w:eastAsia="宋体"/>
                <w:sz w:val="16"/>
              </w:rPr>
              <w:t>315.85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62E80">
            <w:pPr>
              <w:jc w:val="center"/>
            </w:pPr>
            <w:r>
              <w:rPr>
                <w:rFonts w:ascii="宋体" w:hAnsi="宋体" w:eastAsia="宋体"/>
                <w:sz w:val="16"/>
              </w:rPr>
              <w:t>313.37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F4B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5CBD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E0DBF">
            <w:pPr>
              <w:jc w:val="center"/>
            </w:pPr>
            <w:r>
              <w:rPr>
                <w:rFonts w:ascii="宋体" w:hAnsi="宋体" w:eastAsia="宋体"/>
                <w:sz w:val="16"/>
              </w:rPr>
              <w:t>—</w:t>
            </w:r>
          </w:p>
        </w:tc>
      </w:tr>
      <w:tr w14:paraId="2DE943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0CB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FA79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5EDB5">
            <w:pPr>
              <w:jc w:val="center"/>
            </w:pPr>
            <w:r>
              <w:rPr>
                <w:rFonts w:ascii="宋体" w:hAnsi="宋体" w:eastAsia="宋体"/>
                <w:sz w:val="16"/>
              </w:rPr>
              <w:t>325.54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D49A6">
            <w:pPr>
              <w:jc w:val="center"/>
            </w:pPr>
            <w:r>
              <w:rPr>
                <w:rFonts w:ascii="宋体" w:hAnsi="宋体" w:eastAsia="宋体"/>
                <w:sz w:val="16"/>
              </w:rPr>
              <w:t>329.29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567FD">
            <w:pPr>
              <w:jc w:val="center"/>
            </w:pPr>
            <w:r>
              <w:rPr>
                <w:rFonts w:ascii="宋体" w:hAnsi="宋体" w:eastAsia="宋体"/>
                <w:sz w:val="16"/>
              </w:rPr>
              <w:t>318.82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538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6DE8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A185B">
            <w:pPr>
              <w:jc w:val="center"/>
            </w:pPr>
            <w:r>
              <w:rPr>
                <w:rFonts w:ascii="宋体" w:hAnsi="宋体" w:eastAsia="宋体"/>
                <w:sz w:val="16"/>
              </w:rPr>
              <w:t>—</w:t>
            </w:r>
          </w:p>
        </w:tc>
      </w:tr>
      <w:tr w14:paraId="0ED08F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BA0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32D3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335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C31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D40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054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5355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21722">
            <w:pPr>
              <w:jc w:val="center"/>
            </w:pPr>
            <w:r>
              <w:rPr>
                <w:rFonts w:ascii="宋体" w:hAnsi="宋体" w:eastAsia="宋体"/>
                <w:sz w:val="16"/>
              </w:rPr>
              <w:t>—</w:t>
            </w:r>
          </w:p>
        </w:tc>
      </w:tr>
      <w:tr w14:paraId="296032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145F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A424B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2234D6">
            <w:pPr>
              <w:jc w:val="center"/>
              <w:rPr>
                <w:rFonts w:hint="eastAsia" w:eastAsia="宋体"/>
                <w:lang w:eastAsia="zh-CN"/>
              </w:rPr>
            </w:pPr>
            <w:r>
              <w:rPr>
                <w:rFonts w:hint="eastAsia" w:ascii="宋体" w:hAnsi="宋体"/>
                <w:sz w:val="16"/>
                <w:lang w:eastAsia="zh-CN"/>
              </w:rPr>
              <w:t>实际完成情况</w:t>
            </w:r>
          </w:p>
        </w:tc>
      </w:tr>
      <w:tr w14:paraId="6EAED1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64DB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980ADE">
            <w:pPr>
              <w:jc w:val="both"/>
            </w:pPr>
            <w:r>
              <w:rPr>
                <w:rFonts w:ascii="宋体" w:hAnsi="宋体" w:eastAsia="宋体"/>
                <w:sz w:val="16"/>
              </w:rPr>
              <w:t>1.负责辖区群众工作,做好群众生产、生活及困难诉求妥善解决；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2.领导场部政权机关和群众组织，支持和保证这些机关和组织依照国家法律及各自章程充分行使职权；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3.按照干部管理权限，负责对干部的教育、培养、选拔和监督工作。协助管理上级有关部门驻本乡镇单位的干部；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4.领导场部的社会主义民主法制建设和精神文明建设，做好社会治安综合治理及相关工作；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47EAC">
            <w:pPr>
              <w:jc w:val="both"/>
            </w:pPr>
            <w:r>
              <w:rPr>
                <w:rFonts w:ascii="宋体" w:hAnsi="宋体" w:eastAsia="宋体"/>
                <w:sz w:val="16"/>
              </w:rPr>
              <w:t>2024年度部门整体支出绩效自评综合得分99.8分，评价结果为“优”。2024 年，麦盖提五一林场在上级部门的坚强领导下，深入贯彻落实习近平新时代中国特色社会主义思想，紧紧围绕生态建设、产业发展、乡村振兴等重点工作，砥砺奋进，开拓创新，各项事业取得显著成效。全面压实各级林长工作责任，加强日常巡护和监测。以国土绿化、林果业提质增效、野生动植物保护等为抓手，建立健全森林资源保护长效机制。加大对森林火灾、林业有害生物的防控力度，全年未发生重大森林火灾和林业有害生物灾害，确保了林业资源的安全与稳定。以习近平新时代中国特色社会主义思想为指导，全面贯彻党的二十大精神，认真落实县人民政府关于政务公开工作的决策部署。2024年共开展集中宣传教育活动12次，加强对流动人口管理， 流动人口清查率100%，规范生产知识宣讲覆盖率和森林防火安全检查覆盖率达到100%，发展特色产业，劳动力就业率100%，解决困难群众经济负担 、 防止返贫发生 ，体现党的关怀和温暖，群众困难诉求解决完成率100% 。</w:t>
            </w:r>
          </w:p>
        </w:tc>
      </w:tr>
      <w:tr w14:paraId="64C215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7E0B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3EC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1AF3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79B6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A4D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BD1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3A1B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590B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DE65F">
            <w:pPr>
              <w:jc w:val="center"/>
            </w:pPr>
            <w:r>
              <w:rPr>
                <w:rFonts w:ascii="宋体" w:hAnsi="宋体" w:eastAsia="宋体"/>
                <w:sz w:val="16"/>
              </w:rPr>
              <w:t>得分</w:t>
            </w:r>
          </w:p>
        </w:tc>
      </w:tr>
      <w:tr w14:paraId="1F608C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98A5C">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E945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BD134">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B7EB0">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74A2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2174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9216A">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FC8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C2E8A">
            <w:pPr>
              <w:jc w:val="center"/>
            </w:pPr>
            <w:r>
              <w:rPr>
                <w:rFonts w:ascii="宋体" w:hAnsi="宋体" w:eastAsia="宋体"/>
                <w:sz w:val="16"/>
              </w:rPr>
              <w:t>15</w:t>
            </w:r>
          </w:p>
        </w:tc>
      </w:tr>
      <w:tr w14:paraId="00D470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CAFC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9DD5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4B488">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BC7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9C02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8230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045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B12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BCC68">
            <w:pPr>
              <w:jc w:val="center"/>
            </w:pPr>
            <w:r>
              <w:rPr>
                <w:rFonts w:ascii="宋体" w:hAnsi="宋体" w:eastAsia="宋体"/>
                <w:sz w:val="16"/>
              </w:rPr>
              <w:t>15</w:t>
            </w:r>
          </w:p>
        </w:tc>
      </w:tr>
      <w:tr w14:paraId="03A21D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5FE8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72CD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B6B16">
            <w:pPr>
              <w:jc w:val="center"/>
            </w:pPr>
            <w:r>
              <w:rPr>
                <w:rFonts w:ascii="宋体" w:hAnsi="宋体" w:eastAsia="宋体"/>
                <w:sz w:val="16"/>
              </w:rPr>
              <w:t>规范生产知识宣讲覆盖率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1F4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18489">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F232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13A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EB9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8A9A0">
            <w:pPr>
              <w:jc w:val="center"/>
            </w:pPr>
            <w:r>
              <w:rPr>
                <w:rFonts w:ascii="宋体" w:hAnsi="宋体" w:eastAsia="宋体"/>
                <w:sz w:val="16"/>
              </w:rPr>
              <w:t>15</w:t>
            </w:r>
          </w:p>
        </w:tc>
      </w:tr>
      <w:tr w14:paraId="754447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5DC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067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9451A">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749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3ACFA">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5FBB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4C5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690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55A21">
            <w:pPr>
              <w:jc w:val="center"/>
            </w:pPr>
            <w:r>
              <w:rPr>
                <w:rFonts w:ascii="宋体" w:hAnsi="宋体" w:eastAsia="宋体"/>
                <w:sz w:val="16"/>
              </w:rPr>
              <w:t>15</w:t>
            </w:r>
          </w:p>
        </w:tc>
      </w:tr>
      <w:tr w14:paraId="4886BB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0D9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680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A5F9B">
            <w:pPr>
              <w:jc w:val="center"/>
            </w:pPr>
            <w:r>
              <w:rPr>
                <w:rFonts w:ascii="宋体" w:hAnsi="宋体" w:eastAsia="宋体"/>
                <w:sz w:val="16"/>
              </w:rPr>
              <w:t>流动人口清查率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D08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3BDCB">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DA43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4FC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44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0B2FA">
            <w:pPr>
              <w:jc w:val="center"/>
            </w:pPr>
            <w:r>
              <w:rPr>
                <w:rFonts w:ascii="宋体" w:hAnsi="宋体" w:eastAsia="宋体"/>
                <w:sz w:val="16"/>
              </w:rPr>
              <w:t>15</w:t>
            </w:r>
          </w:p>
        </w:tc>
      </w:tr>
      <w:tr w14:paraId="243A8B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023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EBD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B27AB">
            <w:pPr>
              <w:jc w:val="center"/>
            </w:pPr>
            <w:r>
              <w:rPr>
                <w:rFonts w:ascii="宋体" w:hAnsi="宋体" w:eastAsia="宋体"/>
                <w:sz w:val="16"/>
              </w:rPr>
              <w:t>森林防火安全检查覆盖率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402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29754">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218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269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601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D2748">
            <w:pPr>
              <w:jc w:val="center"/>
            </w:pPr>
            <w:r>
              <w:rPr>
                <w:rFonts w:ascii="宋体" w:hAnsi="宋体" w:eastAsia="宋体"/>
                <w:sz w:val="16"/>
              </w:rPr>
              <w:t>15</w:t>
            </w:r>
          </w:p>
        </w:tc>
      </w:tr>
    </w:tbl>
    <w:p w14:paraId="00241472">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1141F7D2">
        <w:tblPrEx>
          <w:tblCellMar>
            <w:top w:w="0" w:type="dxa"/>
            <w:left w:w="108" w:type="dxa"/>
            <w:bottom w:w="0" w:type="dxa"/>
            <w:right w:w="108" w:type="dxa"/>
          </w:tblCellMar>
        </w:tblPrEx>
        <w:tc>
          <w:tcPr>
            <w:tcW w:w="8848" w:type="dxa"/>
            <w:gridSpan w:val="14"/>
            <w:vAlign w:val="center"/>
          </w:tcPr>
          <w:p w14:paraId="70246778">
            <w:pPr>
              <w:jc w:val="center"/>
            </w:pPr>
            <w:r>
              <w:rPr>
                <w:rFonts w:ascii="宋体" w:hAnsi="宋体" w:eastAsia="宋体"/>
                <w:sz w:val="24"/>
              </w:rPr>
              <w:t>项目支出绩效自评表</w:t>
            </w:r>
          </w:p>
        </w:tc>
      </w:tr>
      <w:tr w14:paraId="2D9C09AD">
        <w:tblPrEx>
          <w:tblCellMar>
            <w:top w:w="0" w:type="dxa"/>
            <w:left w:w="108" w:type="dxa"/>
            <w:bottom w:w="0" w:type="dxa"/>
            <w:right w:w="108" w:type="dxa"/>
          </w:tblCellMar>
        </w:tblPrEx>
        <w:tc>
          <w:tcPr>
            <w:tcW w:w="8848" w:type="dxa"/>
            <w:gridSpan w:val="14"/>
            <w:vAlign w:val="center"/>
          </w:tcPr>
          <w:p w14:paraId="465E3ED0">
            <w:pPr>
              <w:jc w:val="center"/>
            </w:pPr>
            <w:r>
              <w:rPr>
                <w:rFonts w:ascii="宋体" w:hAnsi="宋体" w:eastAsia="宋体"/>
                <w:sz w:val="24"/>
              </w:rPr>
              <w:t>(2024年度)</w:t>
            </w:r>
          </w:p>
        </w:tc>
      </w:tr>
      <w:tr w14:paraId="06FF22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9E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7577E0">
            <w:pPr>
              <w:jc w:val="center"/>
            </w:pPr>
            <w:r>
              <w:rPr>
                <w:rFonts w:ascii="宋体" w:hAnsi="宋体" w:eastAsia="宋体"/>
                <w:sz w:val="16"/>
              </w:rPr>
              <w:t>乡村特色桃花小镇建设项目</w:t>
            </w:r>
          </w:p>
        </w:tc>
      </w:tr>
      <w:tr w14:paraId="595F55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6E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F9B3C5">
            <w:pPr>
              <w:jc w:val="center"/>
            </w:pPr>
            <w:r>
              <w:rPr>
                <w:rFonts w:ascii="宋体" w:hAnsi="宋体" w:eastAsia="宋体"/>
                <w:sz w:val="16"/>
              </w:rPr>
              <w:t>麦盖提县五一林场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82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83BE3B">
            <w:pPr>
              <w:jc w:val="center"/>
            </w:pPr>
            <w:r>
              <w:rPr>
                <w:rFonts w:ascii="宋体" w:hAnsi="宋体" w:eastAsia="宋体"/>
                <w:sz w:val="16"/>
              </w:rPr>
              <w:t>麦盖提县五一林场</w:t>
            </w:r>
          </w:p>
        </w:tc>
      </w:tr>
      <w:tr w14:paraId="76C9B3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5A7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14F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93B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248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D62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48D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445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4A09">
            <w:pPr>
              <w:jc w:val="center"/>
            </w:pPr>
            <w:r>
              <w:rPr>
                <w:rFonts w:ascii="宋体" w:hAnsi="宋体" w:eastAsia="宋体"/>
                <w:sz w:val="16"/>
              </w:rPr>
              <w:t>得分</w:t>
            </w:r>
          </w:p>
        </w:tc>
      </w:tr>
      <w:tr w14:paraId="6E5C2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15C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826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EB1BA">
            <w:pPr>
              <w:jc w:val="center"/>
            </w:pPr>
            <w:r>
              <w:rPr>
                <w:rFonts w:ascii="宋体" w:hAnsi="宋体" w:eastAsia="宋体"/>
                <w:sz w:val="16"/>
              </w:rPr>
              <w:t>83.77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CAEF2">
            <w:pPr>
              <w:jc w:val="center"/>
            </w:pPr>
            <w:r>
              <w:rPr>
                <w:rFonts w:ascii="宋体" w:hAnsi="宋体" w:eastAsia="宋体"/>
                <w:sz w:val="16"/>
              </w:rPr>
              <w:t>83.77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5C44">
            <w:pPr>
              <w:jc w:val="center"/>
            </w:pPr>
            <w:r>
              <w:rPr>
                <w:rFonts w:ascii="宋体" w:hAnsi="宋体" w:eastAsia="宋体"/>
                <w:sz w:val="16"/>
              </w:rPr>
              <w:t>83.77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22A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DEF2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A5F5">
            <w:pPr>
              <w:jc w:val="center"/>
            </w:pPr>
            <w:r>
              <w:rPr>
                <w:rFonts w:ascii="宋体" w:hAnsi="宋体" w:eastAsia="宋体"/>
                <w:sz w:val="16"/>
              </w:rPr>
              <w:t>10.00分</w:t>
            </w:r>
          </w:p>
        </w:tc>
      </w:tr>
      <w:tr w14:paraId="52CBB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A99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301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66F9E">
            <w:pPr>
              <w:jc w:val="center"/>
            </w:pPr>
            <w:r>
              <w:rPr>
                <w:rFonts w:ascii="宋体" w:hAnsi="宋体" w:eastAsia="宋体"/>
                <w:sz w:val="16"/>
              </w:rPr>
              <w:t>83.77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2DFC2">
            <w:pPr>
              <w:jc w:val="center"/>
            </w:pPr>
            <w:r>
              <w:rPr>
                <w:rFonts w:ascii="宋体" w:hAnsi="宋体" w:eastAsia="宋体"/>
                <w:sz w:val="16"/>
              </w:rPr>
              <w:t>83.77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C2A68">
            <w:pPr>
              <w:jc w:val="center"/>
            </w:pPr>
            <w:r>
              <w:rPr>
                <w:rFonts w:ascii="宋体" w:hAnsi="宋体" w:eastAsia="宋体"/>
                <w:sz w:val="16"/>
              </w:rPr>
              <w:t>83.77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FDD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943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7DCD">
            <w:pPr>
              <w:jc w:val="center"/>
            </w:pPr>
            <w:r>
              <w:rPr>
                <w:rFonts w:ascii="宋体" w:hAnsi="宋体" w:eastAsia="宋体"/>
                <w:sz w:val="16"/>
              </w:rPr>
              <w:t>—</w:t>
            </w:r>
          </w:p>
        </w:tc>
      </w:tr>
      <w:tr w14:paraId="65280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2FD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134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D74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30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DD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57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BA9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FD68">
            <w:pPr>
              <w:jc w:val="center"/>
            </w:pPr>
            <w:r>
              <w:rPr>
                <w:rFonts w:ascii="宋体" w:hAnsi="宋体" w:eastAsia="宋体"/>
                <w:sz w:val="16"/>
              </w:rPr>
              <w:t>—</w:t>
            </w:r>
          </w:p>
        </w:tc>
      </w:tr>
      <w:tr w14:paraId="5A855A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CA7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851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3C6754">
            <w:pPr>
              <w:jc w:val="center"/>
            </w:pPr>
            <w:r>
              <w:rPr>
                <w:rFonts w:ascii="宋体" w:hAnsi="宋体" w:eastAsia="宋体"/>
                <w:sz w:val="16"/>
              </w:rPr>
              <w:t>实际完成情况</w:t>
            </w:r>
          </w:p>
        </w:tc>
      </w:tr>
      <w:tr w14:paraId="3C5C9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EFE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2C3B0">
            <w:pPr>
              <w:jc w:val="both"/>
            </w:pPr>
            <w:r>
              <w:rPr>
                <w:rFonts w:ascii="宋体" w:hAnsi="宋体" w:eastAsia="宋体"/>
                <w:sz w:val="16"/>
              </w:rPr>
              <w:t>本项目共投资83.77万元，采购桃树4500棵，每棵桃树带土球，土球大小为35-40厘米，主</w:t>
            </w:r>
            <w:r>
              <w:rPr>
                <w:rFonts w:hint="eastAsia" w:ascii="宋体" w:hAnsi="宋体"/>
                <w:sz w:val="16"/>
                <w:lang w:eastAsia="zh-CN"/>
              </w:rPr>
              <w:t>植株</w:t>
            </w:r>
            <w:r>
              <w:rPr>
                <w:rFonts w:ascii="宋体" w:hAnsi="宋体" w:eastAsia="宋体"/>
                <w:sz w:val="16"/>
              </w:rPr>
              <w:t>高80厘米，枝条长度30厘米，每棵335厘米，用于巩固拓展脱贫攻坚成果和支持实施乡村振兴战略，优先和重点保障产生节余指标地区的安置补偿、拆旧复垦、基础设施和公共服务设施建设、生态修复、耕地保护、高标准农田建设、农业农村发展建设以及购买易地扶贫搬迁服务等。项目的实施可以有效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9A6064">
            <w:pPr>
              <w:jc w:val="both"/>
            </w:pPr>
            <w:r>
              <w:rPr>
                <w:rFonts w:ascii="宋体" w:hAnsi="宋体" w:eastAsia="宋体"/>
                <w:sz w:val="16"/>
              </w:rPr>
              <w:t>截至绩效自评日，实际支出83.77万元，采购4-6厘米桃树4500棵，每棵桃树带土球，土球大小为35-40厘米，主</w:t>
            </w:r>
            <w:r>
              <w:rPr>
                <w:rFonts w:hint="eastAsia" w:ascii="宋体" w:hAnsi="宋体"/>
                <w:sz w:val="16"/>
                <w:lang w:eastAsia="zh-CN"/>
              </w:rPr>
              <w:t>植株</w:t>
            </w:r>
            <w:r>
              <w:rPr>
                <w:rFonts w:ascii="宋体" w:hAnsi="宋体" w:eastAsia="宋体"/>
                <w:sz w:val="16"/>
              </w:rPr>
              <w:t>高80厘米，枝条长度30厘米，每棵335厘米，用于巩固拓展脱贫攻坚成果和支持实施乡村振兴战略，优先和重点保障产生节余指标地区的安置补偿、拆旧复垦、基础设施和公共服务设施建设、生态修复、耕地保护、高标准农田建设、项目的实施有效改善项目区生态环境，打造宜居宜业新农村。项目的实施有效改善了生态环境。</w:t>
            </w:r>
          </w:p>
        </w:tc>
      </w:tr>
      <w:tr w14:paraId="1BE3D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76D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63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83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B8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A8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7F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95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79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34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73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FE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EB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CFA0D">
            <w:pPr>
              <w:jc w:val="center"/>
            </w:pPr>
            <w:r>
              <w:rPr>
                <w:rFonts w:ascii="宋体" w:hAnsi="宋体" w:eastAsia="宋体"/>
                <w:sz w:val="16"/>
              </w:rPr>
              <w:t>偏差原因分析及改进措施</w:t>
            </w:r>
          </w:p>
        </w:tc>
      </w:tr>
      <w:tr w14:paraId="205115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3A3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8E2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65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F476">
            <w:pPr>
              <w:jc w:val="center"/>
            </w:pPr>
            <w:r>
              <w:rPr>
                <w:rFonts w:ascii="宋体" w:hAnsi="宋体" w:eastAsia="宋体"/>
                <w:sz w:val="16"/>
              </w:rPr>
              <w:t>采购桃树数量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74B1">
            <w:pPr>
              <w:jc w:val="center"/>
            </w:pPr>
            <w:r>
              <w:rPr>
                <w:rFonts w:ascii="宋体" w:hAnsi="宋体" w:eastAsia="宋体"/>
                <w:sz w:val="16"/>
              </w:rPr>
              <w:t>&gt;=4500棵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C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0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BE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7B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5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AAF8">
            <w:pPr>
              <w:jc w:val="center"/>
            </w:pPr>
            <w:r>
              <w:rPr>
                <w:rFonts w:ascii="宋体" w:hAnsi="宋体" w:eastAsia="宋体"/>
                <w:sz w:val="16"/>
              </w:rPr>
              <w:t>=4500棵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CE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6E422">
            <w:pPr>
              <w:jc w:val="center"/>
            </w:pPr>
          </w:p>
        </w:tc>
      </w:tr>
      <w:tr w14:paraId="39167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85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C6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5D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880C">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9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80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11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51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7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75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F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C1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D3EF2">
            <w:pPr>
              <w:jc w:val="center"/>
            </w:pPr>
          </w:p>
        </w:tc>
      </w:tr>
      <w:tr w14:paraId="73FB0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F5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A84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9AB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46E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5804">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F5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ED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37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2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A52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E378">
            <w:pPr>
              <w:jc w:val="center"/>
            </w:pPr>
            <w:r>
              <w:rPr>
                <w:rFonts w:ascii="宋体" w:hAnsi="宋体" w:eastAsia="宋体"/>
                <w:sz w:val="16"/>
              </w:rPr>
              <w:t>=2024年11月10日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74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E92EE">
            <w:pPr>
              <w:jc w:val="center"/>
            </w:pPr>
          </w:p>
        </w:tc>
      </w:tr>
      <w:tr w14:paraId="3EAE6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25D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DE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A8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DD8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9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55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94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1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8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93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E5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11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4F9DF">
            <w:pPr>
              <w:jc w:val="center"/>
            </w:pPr>
          </w:p>
        </w:tc>
      </w:tr>
      <w:tr w14:paraId="67255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D0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727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A3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CEBD">
            <w:pPr>
              <w:jc w:val="center"/>
            </w:pPr>
            <w:r>
              <w:rPr>
                <w:rFonts w:ascii="宋体" w:hAnsi="宋体" w:eastAsia="宋体"/>
                <w:sz w:val="16"/>
              </w:rPr>
              <w:t>采购桃树成本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959D">
            <w:pPr>
              <w:jc w:val="center"/>
            </w:pPr>
            <w:r>
              <w:rPr>
                <w:rFonts w:ascii="宋体" w:hAnsi="宋体" w:eastAsia="宋体"/>
                <w:sz w:val="16"/>
              </w:rPr>
              <w:t>&lt;=186.16元/棵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3E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15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26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15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5E8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3F24">
            <w:pPr>
              <w:jc w:val="center"/>
            </w:pPr>
            <w:r>
              <w:rPr>
                <w:rFonts w:ascii="宋体" w:hAnsi="宋体" w:eastAsia="宋体"/>
                <w:sz w:val="16"/>
              </w:rPr>
              <w:t>=186.16元/棵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5D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57535">
            <w:pPr>
              <w:jc w:val="center"/>
            </w:pPr>
          </w:p>
        </w:tc>
      </w:tr>
      <w:tr w14:paraId="19D5D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D1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31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883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7A93">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5F5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81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97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0E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4F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9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2A2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72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E33E0">
            <w:pPr>
              <w:jc w:val="center"/>
            </w:pPr>
          </w:p>
        </w:tc>
      </w:tr>
      <w:tr w14:paraId="311BE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18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F0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9B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7721">
            <w:pPr>
              <w:jc w:val="center"/>
            </w:pPr>
            <w:r>
              <w:rPr>
                <w:rFonts w:ascii="宋体" w:hAnsi="宋体" w:eastAsia="宋体"/>
                <w:sz w:val="16"/>
              </w:rPr>
              <w:t>林场居民满意度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2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7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55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89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96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5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8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F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2C6E9">
            <w:pPr>
              <w:jc w:val="center"/>
            </w:pPr>
          </w:p>
        </w:tc>
      </w:tr>
      <w:tr w14:paraId="0CD584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7B5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20F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734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BD71E9">
            <w:pPr>
              <w:jc w:val="center"/>
            </w:pPr>
            <w:r>
              <w:rPr>
                <w:rFonts w:ascii="宋体" w:hAnsi="宋体" w:eastAsia="宋体"/>
                <w:sz w:val="16"/>
              </w:rPr>
              <w:t>100分</w:t>
            </w:r>
          </w:p>
        </w:tc>
      </w:tr>
    </w:tbl>
    <w:p w14:paraId="2976F4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B1DACB2">
        <w:tblPrEx>
          <w:tblCellMar>
            <w:top w:w="0" w:type="dxa"/>
            <w:left w:w="108" w:type="dxa"/>
            <w:bottom w:w="0" w:type="dxa"/>
            <w:right w:w="108" w:type="dxa"/>
          </w:tblCellMar>
        </w:tblPrEx>
        <w:tc>
          <w:tcPr>
            <w:tcW w:w="8848" w:type="dxa"/>
            <w:gridSpan w:val="14"/>
            <w:vAlign w:val="center"/>
          </w:tcPr>
          <w:p w14:paraId="18ADB8C2">
            <w:pPr>
              <w:jc w:val="center"/>
            </w:pPr>
            <w:r>
              <w:rPr>
                <w:rFonts w:ascii="宋体" w:hAnsi="宋体" w:eastAsia="宋体"/>
                <w:sz w:val="24"/>
              </w:rPr>
              <w:t>项目支出绩效自评表</w:t>
            </w:r>
          </w:p>
        </w:tc>
      </w:tr>
      <w:tr w14:paraId="7551D62A">
        <w:tblPrEx>
          <w:tblCellMar>
            <w:top w:w="0" w:type="dxa"/>
            <w:left w:w="108" w:type="dxa"/>
            <w:bottom w:w="0" w:type="dxa"/>
            <w:right w:w="108" w:type="dxa"/>
          </w:tblCellMar>
        </w:tblPrEx>
        <w:tc>
          <w:tcPr>
            <w:tcW w:w="8848" w:type="dxa"/>
            <w:gridSpan w:val="14"/>
            <w:vAlign w:val="center"/>
          </w:tcPr>
          <w:p w14:paraId="421E2E83">
            <w:pPr>
              <w:jc w:val="center"/>
            </w:pPr>
            <w:r>
              <w:rPr>
                <w:rFonts w:ascii="宋体" w:hAnsi="宋体" w:eastAsia="宋体"/>
                <w:sz w:val="24"/>
              </w:rPr>
              <w:t>(2024年度)</w:t>
            </w:r>
          </w:p>
        </w:tc>
      </w:tr>
      <w:tr w14:paraId="73B1F3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D2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919E05">
            <w:pPr>
              <w:jc w:val="center"/>
            </w:pPr>
            <w:r>
              <w:rPr>
                <w:rFonts w:ascii="宋体" w:hAnsi="宋体" w:eastAsia="宋体"/>
                <w:sz w:val="16"/>
              </w:rPr>
              <w:t>五一林场2024年会议系统设备</w:t>
            </w:r>
          </w:p>
        </w:tc>
      </w:tr>
      <w:tr w14:paraId="4B46DD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23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40919">
            <w:pPr>
              <w:jc w:val="center"/>
            </w:pPr>
            <w:r>
              <w:rPr>
                <w:rFonts w:ascii="宋体" w:hAnsi="宋体" w:eastAsia="宋体"/>
                <w:sz w:val="16"/>
              </w:rPr>
              <w:t>麦盖提县五一林场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43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E19542">
            <w:pPr>
              <w:jc w:val="center"/>
            </w:pPr>
            <w:r>
              <w:rPr>
                <w:rFonts w:ascii="宋体" w:hAnsi="宋体" w:eastAsia="宋体"/>
                <w:sz w:val="16"/>
              </w:rPr>
              <w:t>麦盖提县五一林场</w:t>
            </w:r>
          </w:p>
        </w:tc>
      </w:tr>
      <w:tr w14:paraId="6674BC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5CF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21B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57F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B7E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249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972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3E2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58D0">
            <w:pPr>
              <w:jc w:val="center"/>
            </w:pPr>
            <w:r>
              <w:rPr>
                <w:rFonts w:ascii="宋体" w:hAnsi="宋体" w:eastAsia="宋体"/>
                <w:sz w:val="16"/>
              </w:rPr>
              <w:t>得分</w:t>
            </w:r>
          </w:p>
        </w:tc>
      </w:tr>
      <w:tr w14:paraId="580DD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B79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882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D7670">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8F663">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8AA4C">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E7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8A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2F7A">
            <w:pPr>
              <w:jc w:val="center"/>
            </w:pPr>
            <w:r>
              <w:rPr>
                <w:rFonts w:ascii="宋体" w:hAnsi="宋体" w:eastAsia="宋体"/>
                <w:sz w:val="16"/>
              </w:rPr>
              <w:t>10.00分</w:t>
            </w:r>
          </w:p>
        </w:tc>
      </w:tr>
      <w:tr w14:paraId="6FCEA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DDF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695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C030">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FC713">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17D11">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A35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EDB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5178">
            <w:pPr>
              <w:jc w:val="center"/>
            </w:pPr>
            <w:r>
              <w:rPr>
                <w:rFonts w:ascii="宋体" w:hAnsi="宋体" w:eastAsia="宋体"/>
                <w:sz w:val="16"/>
              </w:rPr>
              <w:t>—</w:t>
            </w:r>
          </w:p>
        </w:tc>
      </w:tr>
      <w:tr w14:paraId="76DCD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996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EC0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00F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93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B97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102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A8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5BC4">
            <w:pPr>
              <w:jc w:val="center"/>
            </w:pPr>
            <w:r>
              <w:rPr>
                <w:rFonts w:ascii="宋体" w:hAnsi="宋体" w:eastAsia="宋体"/>
                <w:sz w:val="16"/>
              </w:rPr>
              <w:t>—</w:t>
            </w:r>
          </w:p>
        </w:tc>
      </w:tr>
      <w:tr w14:paraId="391F65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176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856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A68CCC">
            <w:pPr>
              <w:jc w:val="center"/>
            </w:pPr>
            <w:r>
              <w:rPr>
                <w:rFonts w:ascii="宋体" w:hAnsi="宋体" w:eastAsia="宋体"/>
                <w:sz w:val="16"/>
              </w:rPr>
              <w:t>实际完成情况</w:t>
            </w:r>
          </w:p>
        </w:tc>
      </w:tr>
      <w:tr w14:paraId="4FBC4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A27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9F252">
            <w:pPr>
              <w:jc w:val="both"/>
            </w:pPr>
            <w:r>
              <w:rPr>
                <w:rFonts w:ascii="宋体" w:hAnsi="宋体" w:eastAsia="宋体"/>
                <w:sz w:val="16"/>
              </w:rPr>
              <w:t>本项目2024年计划总投资为2.49万元，用于购买党政视频会议系统1套，本项目的实施保障林场基本运转，提高人员工作积极性，从而有效提升社会公众服务能力。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C253BB">
            <w:pPr>
              <w:jc w:val="both"/>
            </w:pPr>
            <w:r>
              <w:rPr>
                <w:rFonts w:ascii="宋体" w:hAnsi="宋体" w:eastAsia="宋体"/>
                <w:sz w:val="16"/>
              </w:rPr>
              <w:t>截至自评节点本项目实际支出为2.49万元，已完成用于购买党政视频会议系统1套，本项目的实施保障林场基本运转，提高人员工作积极性，从而有效提升社会公众服务能力</w:t>
            </w:r>
          </w:p>
        </w:tc>
      </w:tr>
      <w:tr w14:paraId="64F544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586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3A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09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6A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65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C5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70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91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4F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2F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14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BE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713E3">
            <w:pPr>
              <w:jc w:val="center"/>
            </w:pPr>
            <w:r>
              <w:rPr>
                <w:rFonts w:ascii="宋体" w:hAnsi="宋体" w:eastAsia="宋体"/>
                <w:sz w:val="16"/>
              </w:rPr>
              <w:t>偏差原因分析及改进措施</w:t>
            </w:r>
          </w:p>
        </w:tc>
      </w:tr>
      <w:tr w14:paraId="4DB2AB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D9A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06F1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0E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3F34">
            <w:pPr>
              <w:jc w:val="center"/>
            </w:pPr>
            <w:r>
              <w:rPr>
                <w:rFonts w:ascii="宋体" w:hAnsi="宋体" w:eastAsia="宋体"/>
                <w:sz w:val="16"/>
              </w:rPr>
              <w:t>购买视频会议系统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A08E">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B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61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6F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7A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3B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299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72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D75F">
            <w:pPr>
              <w:jc w:val="center"/>
            </w:pPr>
          </w:p>
        </w:tc>
      </w:tr>
      <w:tr w14:paraId="4B95B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57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3D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14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1BA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C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E7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40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5A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4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04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A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37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AE5E0">
            <w:pPr>
              <w:jc w:val="center"/>
            </w:pPr>
          </w:p>
        </w:tc>
      </w:tr>
      <w:tr w14:paraId="26DA3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8D5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8D0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F07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BBA8">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B2B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5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7D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3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DC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32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796C">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1E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DB6C">
            <w:pPr>
              <w:jc w:val="center"/>
            </w:pPr>
          </w:p>
        </w:tc>
      </w:tr>
      <w:tr w14:paraId="7B3B5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D6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6CA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34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9BD8">
            <w:pPr>
              <w:jc w:val="center"/>
            </w:pPr>
            <w:r>
              <w:rPr>
                <w:rFonts w:ascii="宋体" w:hAnsi="宋体" w:eastAsia="宋体"/>
                <w:sz w:val="16"/>
              </w:rPr>
              <w:t>尾款支付及时率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6B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B8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33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3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CC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43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4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21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7F10">
            <w:pPr>
              <w:jc w:val="center"/>
            </w:pPr>
          </w:p>
        </w:tc>
      </w:tr>
      <w:tr w14:paraId="55201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3B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8D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1F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E7CE">
            <w:pPr>
              <w:jc w:val="center"/>
            </w:pPr>
            <w:r>
              <w:rPr>
                <w:rFonts w:ascii="宋体" w:hAnsi="宋体" w:eastAsia="宋体"/>
                <w:sz w:val="16"/>
              </w:rPr>
              <w:t>购买视频会议系统成本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8F31">
            <w:pPr>
              <w:jc w:val="center"/>
            </w:pPr>
            <w:r>
              <w:rPr>
                <w:rFonts w:ascii="宋体" w:hAnsi="宋体" w:eastAsia="宋体"/>
                <w:sz w:val="16"/>
              </w:rPr>
              <w:t>&lt;=2.49万元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1A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D5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E0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1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D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9A60">
            <w:pPr>
              <w:jc w:val="center"/>
            </w:pPr>
            <w:r>
              <w:rPr>
                <w:rFonts w:ascii="宋体" w:hAnsi="宋体" w:eastAsia="宋体"/>
                <w:sz w:val="16"/>
              </w:rPr>
              <w:t>=2.49万元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91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90DF">
            <w:pPr>
              <w:jc w:val="center"/>
            </w:pPr>
          </w:p>
        </w:tc>
      </w:tr>
      <w:tr w14:paraId="45A8B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7A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CC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C7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4BAC">
            <w:pPr>
              <w:jc w:val="center"/>
            </w:pPr>
            <w:r>
              <w:rPr>
                <w:rFonts w:ascii="宋体" w:hAnsi="宋体" w:eastAsia="宋体"/>
                <w:sz w:val="16"/>
              </w:rPr>
              <w:t>提高人员工作积极性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8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9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5E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F0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02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F8F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1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3F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C1523">
            <w:pPr>
              <w:jc w:val="center"/>
            </w:pPr>
          </w:p>
        </w:tc>
      </w:tr>
      <w:tr w14:paraId="5A00E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08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B3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88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6760">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9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DD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C8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F5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D2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947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6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B1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F8865">
            <w:pPr>
              <w:jc w:val="center"/>
            </w:pPr>
          </w:p>
        </w:tc>
      </w:tr>
      <w:tr w14:paraId="531596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353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30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398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F1E0BD">
            <w:pPr>
              <w:jc w:val="center"/>
            </w:pPr>
            <w:r>
              <w:rPr>
                <w:rFonts w:ascii="宋体" w:hAnsi="宋体" w:eastAsia="宋体"/>
                <w:sz w:val="16"/>
              </w:rPr>
              <w:t>100分</w:t>
            </w:r>
          </w:p>
        </w:tc>
      </w:tr>
    </w:tbl>
    <w:p w14:paraId="48FBACB6">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17"/>
        <w:gridCol w:w="617"/>
        <w:gridCol w:w="617"/>
        <w:gridCol w:w="776"/>
        <w:gridCol w:w="631"/>
        <w:gridCol w:w="602"/>
        <w:gridCol w:w="632"/>
      </w:tblGrid>
      <w:tr w14:paraId="3DB0D1F8">
        <w:tblPrEx>
          <w:tblCellMar>
            <w:top w:w="0" w:type="dxa"/>
            <w:left w:w="108" w:type="dxa"/>
            <w:bottom w:w="0" w:type="dxa"/>
            <w:right w:w="108" w:type="dxa"/>
          </w:tblCellMar>
        </w:tblPrEx>
        <w:tc>
          <w:tcPr>
            <w:tcW w:w="8848" w:type="dxa"/>
            <w:gridSpan w:val="14"/>
            <w:vAlign w:val="center"/>
          </w:tcPr>
          <w:p w14:paraId="0A2F6E24">
            <w:pPr>
              <w:jc w:val="center"/>
            </w:pPr>
            <w:r>
              <w:rPr>
                <w:rFonts w:ascii="宋体" w:hAnsi="宋体" w:eastAsia="宋体"/>
                <w:sz w:val="24"/>
              </w:rPr>
              <w:t>项目支出绩效自评表</w:t>
            </w:r>
          </w:p>
        </w:tc>
      </w:tr>
      <w:tr w14:paraId="0F4CCC80">
        <w:tblPrEx>
          <w:tblCellMar>
            <w:top w:w="0" w:type="dxa"/>
            <w:left w:w="108" w:type="dxa"/>
            <w:bottom w:w="0" w:type="dxa"/>
            <w:right w:w="108" w:type="dxa"/>
          </w:tblCellMar>
        </w:tblPrEx>
        <w:tc>
          <w:tcPr>
            <w:tcW w:w="8848" w:type="dxa"/>
            <w:gridSpan w:val="14"/>
            <w:vAlign w:val="center"/>
          </w:tcPr>
          <w:p w14:paraId="2CACA84D">
            <w:pPr>
              <w:jc w:val="center"/>
            </w:pPr>
            <w:r>
              <w:rPr>
                <w:rFonts w:ascii="宋体" w:hAnsi="宋体" w:eastAsia="宋体"/>
                <w:sz w:val="24"/>
              </w:rPr>
              <w:t>(2024年度)</w:t>
            </w:r>
          </w:p>
        </w:tc>
      </w:tr>
      <w:tr w14:paraId="2B3E2A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13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F98E94">
            <w:pPr>
              <w:jc w:val="center"/>
            </w:pPr>
            <w:r>
              <w:rPr>
                <w:rFonts w:ascii="宋体" w:hAnsi="宋体" w:eastAsia="宋体"/>
                <w:sz w:val="16"/>
              </w:rPr>
              <w:t>五一林场比尔艾格孜森林防火实训基地建设项目</w:t>
            </w:r>
          </w:p>
        </w:tc>
      </w:tr>
      <w:tr w14:paraId="5F746D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7F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9AE21">
            <w:pPr>
              <w:jc w:val="center"/>
            </w:pPr>
            <w:r>
              <w:rPr>
                <w:rFonts w:ascii="宋体" w:hAnsi="宋体" w:eastAsia="宋体"/>
                <w:sz w:val="16"/>
              </w:rPr>
              <w:t>麦盖提县五一林场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A2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1F99AE">
            <w:pPr>
              <w:jc w:val="center"/>
            </w:pPr>
            <w:r>
              <w:rPr>
                <w:rFonts w:ascii="宋体" w:hAnsi="宋体" w:eastAsia="宋体"/>
                <w:sz w:val="16"/>
              </w:rPr>
              <w:t>麦盖提县五一林场</w:t>
            </w:r>
          </w:p>
        </w:tc>
      </w:tr>
      <w:tr w14:paraId="5A9670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C58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756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C14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D66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1EB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3F8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460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FEB9">
            <w:pPr>
              <w:jc w:val="center"/>
            </w:pPr>
            <w:r>
              <w:rPr>
                <w:rFonts w:ascii="宋体" w:hAnsi="宋体" w:eastAsia="宋体"/>
                <w:sz w:val="16"/>
              </w:rPr>
              <w:t>得分</w:t>
            </w:r>
          </w:p>
        </w:tc>
      </w:tr>
      <w:tr w14:paraId="59CED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1FB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96A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0F961">
            <w:pPr>
              <w:jc w:val="center"/>
            </w:pPr>
            <w:r>
              <w:rPr>
                <w:rFonts w:ascii="宋体" w:hAnsi="宋体" w:eastAsia="宋体"/>
                <w:sz w:val="16"/>
              </w:rPr>
              <w:t>219.94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6404D">
            <w:pPr>
              <w:jc w:val="center"/>
            </w:pPr>
            <w:r>
              <w:rPr>
                <w:rFonts w:ascii="宋体" w:hAnsi="宋体" w:eastAsia="宋体"/>
                <w:sz w:val="16"/>
              </w:rPr>
              <w:t>219.94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6A719">
            <w:pPr>
              <w:jc w:val="center"/>
            </w:pPr>
            <w:r>
              <w:rPr>
                <w:rFonts w:ascii="宋体" w:hAnsi="宋体" w:eastAsia="宋体"/>
                <w:sz w:val="16"/>
              </w:rPr>
              <w:t>219.94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134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CCC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A947">
            <w:pPr>
              <w:jc w:val="center"/>
            </w:pPr>
            <w:r>
              <w:rPr>
                <w:rFonts w:ascii="宋体" w:hAnsi="宋体" w:eastAsia="宋体"/>
                <w:sz w:val="16"/>
              </w:rPr>
              <w:t>10.00分</w:t>
            </w:r>
          </w:p>
        </w:tc>
      </w:tr>
      <w:tr w14:paraId="5562C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816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DD2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25161">
            <w:pPr>
              <w:jc w:val="center"/>
            </w:pPr>
            <w:r>
              <w:rPr>
                <w:rFonts w:ascii="宋体" w:hAnsi="宋体" w:eastAsia="宋体"/>
                <w:sz w:val="16"/>
              </w:rPr>
              <w:t>219.94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C241C">
            <w:pPr>
              <w:jc w:val="center"/>
            </w:pPr>
            <w:r>
              <w:rPr>
                <w:rFonts w:ascii="宋体" w:hAnsi="宋体" w:eastAsia="宋体"/>
                <w:sz w:val="16"/>
              </w:rPr>
              <w:t>219.94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6C1A7">
            <w:pPr>
              <w:jc w:val="center"/>
            </w:pPr>
            <w:r>
              <w:rPr>
                <w:rFonts w:ascii="宋体" w:hAnsi="宋体" w:eastAsia="宋体"/>
                <w:sz w:val="16"/>
              </w:rPr>
              <w:t>219.94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C9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51C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AC7F">
            <w:pPr>
              <w:jc w:val="center"/>
            </w:pPr>
            <w:r>
              <w:rPr>
                <w:rFonts w:ascii="宋体" w:hAnsi="宋体" w:eastAsia="宋体"/>
                <w:sz w:val="16"/>
              </w:rPr>
              <w:t>—</w:t>
            </w:r>
          </w:p>
        </w:tc>
      </w:tr>
      <w:tr w14:paraId="5D180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3B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2E7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69A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01E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697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F2A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A70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CBB6">
            <w:pPr>
              <w:jc w:val="center"/>
            </w:pPr>
            <w:r>
              <w:rPr>
                <w:rFonts w:ascii="宋体" w:hAnsi="宋体" w:eastAsia="宋体"/>
                <w:sz w:val="16"/>
              </w:rPr>
              <w:t>—</w:t>
            </w:r>
          </w:p>
        </w:tc>
      </w:tr>
      <w:tr w14:paraId="1F7C4D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9CB0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C86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14089B">
            <w:pPr>
              <w:jc w:val="center"/>
            </w:pPr>
            <w:r>
              <w:rPr>
                <w:rFonts w:ascii="宋体" w:hAnsi="宋体" w:eastAsia="宋体"/>
                <w:sz w:val="16"/>
              </w:rPr>
              <w:t>实际完成情况</w:t>
            </w:r>
          </w:p>
        </w:tc>
      </w:tr>
      <w:tr w14:paraId="33F38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5D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E5D34">
            <w:pPr>
              <w:jc w:val="both"/>
            </w:pPr>
            <w:r>
              <w:rPr>
                <w:rFonts w:ascii="宋体" w:hAnsi="宋体" w:eastAsia="宋体"/>
                <w:sz w:val="16"/>
              </w:rPr>
              <w:t>本项目2024年计划总投资为219.94万元，主要用于五一林场比尔艾格孜森林防火野外实训场地的新建办公用房209.6平方米，配建2条检查车道，及配套相关设施，有助于全县森林消防员、护林员、生态员进行实战化培训，不断提高应急处理能力，强化个人防护装备，提高安全保障系数和队伍人员安全保护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B577F2">
            <w:pPr>
              <w:jc w:val="both"/>
            </w:pPr>
            <w:r>
              <w:rPr>
                <w:rFonts w:ascii="宋体" w:hAnsi="宋体" w:eastAsia="宋体"/>
                <w:sz w:val="16"/>
              </w:rPr>
              <w:t>截至自评节点本项目实际支出</w:t>
            </w:r>
            <w:r>
              <w:rPr>
                <w:rFonts w:hint="eastAsia" w:ascii="宋体" w:hAnsi="宋体"/>
                <w:sz w:val="16"/>
                <w:lang w:eastAsia="zh-CN"/>
              </w:rPr>
              <w:t>为</w:t>
            </w:r>
            <w:r>
              <w:rPr>
                <w:rFonts w:ascii="宋体" w:hAnsi="宋体" w:eastAsia="宋体"/>
                <w:sz w:val="16"/>
              </w:rPr>
              <w:t>219.94万元，已完成用于五一林场比尔艾格孜森林防火野外实训场地的新建办公用房209.6平方米，配建2条检查车道，及配套相关设施，有助于全县森林消防员、护林员、生态员进行实战化培训，不断提高应急处理能力，强化个人防护装备，提高安全保障系数和队伍人员安全保护水平。</w:t>
            </w:r>
          </w:p>
        </w:tc>
      </w:tr>
      <w:tr w14:paraId="10B977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97F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8A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1A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45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48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AD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D0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084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EC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68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04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AF8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57850">
            <w:pPr>
              <w:jc w:val="center"/>
            </w:pPr>
            <w:r>
              <w:rPr>
                <w:rFonts w:ascii="宋体" w:hAnsi="宋体" w:eastAsia="宋体"/>
                <w:sz w:val="16"/>
              </w:rPr>
              <w:t>偏差原因分析及改进措施</w:t>
            </w:r>
          </w:p>
        </w:tc>
      </w:tr>
      <w:tr w14:paraId="2DBF96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B13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034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5E7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74CE">
            <w:pPr>
              <w:jc w:val="center"/>
            </w:pPr>
            <w:r>
              <w:rPr>
                <w:rFonts w:ascii="宋体" w:hAnsi="宋体" w:eastAsia="宋体"/>
                <w:sz w:val="16"/>
              </w:rPr>
              <w:t>新建办公用房米数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71B2">
            <w:pPr>
              <w:jc w:val="center"/>
            </w:pPr>
            <w:r>
              <w:rPr>
                <w:rFonts w:ascii="宋体" w:hAnsi="宋体" w:eastAsia="宋体"/>
                <w:sz w:val="16"/>
              </w:rPr>
              <w:t>&gt;=209.60米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7A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8F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AC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0E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B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AD4F">
            <w:pPr>
              <w:jc w:val="center"/>
            </w:pPr>
            <w:r>
              <w:rPr>
                <w:rFonts w:ascii="宋体" w:hAnsi="宋体" w:eastAsia="宋体"/>
                <w:sz w:val="16"/>
              </w:rPr>
              <w:t>=209.6米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4D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7CA81">
            <w:pPr>
              <w:jc w:val="center"/>
            </w:pPr>
          </w:p>
        </w:tc>
      </w:tr>
      <w:tr w14:paraId="3B868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E1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C7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8E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00FA">
            <w:pPr>
              <w:jc w:val="center"/>
            </w:pPr>
            <w:r>
              <w:rPr>
                <w:rFonts w:ascii="宋体" w:hAnsi="宋体" w:eastAsia="宋体"/>
                <w:sz w:val="16"/>
              </w:rPr>
              <w:t>新建检查车道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2644">
            <w:pPr>
              <w:jc w:val="center"/>
            </w:pPr>
            <w:r>
              <w:rPr>
                <w:rFonts w:ascii="宋体" w:hAnsi="宋体" w:eastAsia="宋体"/>
                <w:sz w:val="16"/>
              </w:rPr>
              <w:t>&gt;=2条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C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A0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2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6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7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A188">
            <w:pPr>
              <w:jc w:val="center"/>
            </w:pPr>
            <w:r>
              <w:rPr>
                <w:rFonts w:ascii="宋体" w:hAnsi="宋体" w:eastAsia="宋体"/>
                <w:sz w:val="16"/>
              </w:rPr>
              <w: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4E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94650">
            <w:pPr>
              <w:jc w:val="center"/>
            </w:pPr>
          </w:p>
        </w:tc>
      </w:tr>
      <w:tr w14:paraId="16188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E7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F7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B3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B57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D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99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B8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21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B8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20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8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F6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3A891">
            <w:pPr>
              <w:jc w:val="center"/>
            </w:pPr>
          </w:p>
        </w:tc>
      </w:tr>
      <w:tr w14:paraId="7C3AF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D0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8D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D7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B804">
            <w:pPr>
              <w:jc w:val="center"/>
            </w:pPr>
            <w:r>
              <w:rPr>
                <w:rFonts w:ascii="宋体" w:hAnsi="宋体" w:eastAsia="宋体"/>
                <w:sz w:val="16"/>
              </w:rPr>
              <w:t>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B3E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07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82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4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B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65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3123">
            <w:pPr>
              <w:jc w:val="center"/>
            </w:pPr>
            <w:r>
              <w:rPr>
                <w:rFonts w:ascii="宋体" w:hAnsi="宋体" w:eastAsia="宋体"/>
                <w:sz w:val="16"/>
              </w:rPr>
              <w:t>2024年5月18日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88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F66D3">
            <w:pPr>
              <w:jc w:val="center"/>
            </w:pPr>
          </w:p>
        </w:tc>
      </w:tr>
      <w:tr w14:paraId="258218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58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00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19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61DC">
            <w:pPr>
              <w:jc w:val="center"/>
            </w:pPr>
            <w:r>
              <w:rPr>
                <w:rFonts w:ascii="宋体" w:hAnsi="宋体" w:eastAsia="宋体"/>
                <w:sz w:val="16"/>
              </w:rPr>
              <w:t>新建办公用房及车道相关配套设施成本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AD30">
            <w:pPr>
              <w:jc w:val="center"/>
            </w:pPr>
            <w:r>
              <w:rPr>
                <w:rFonts w:ascii="宋体" w:hAnsi="宋体" w:eastAsia="宋体"/>
                <w:sz w:val="16"/>
              </w:rPr>
              <w:t>&lt;=219.94万元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8A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32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56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95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37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07E3">
            <w:pPr>
              <w:jc w:val="center"/>
            </w:pPr>
            <w:r>
              <w:rPr>
                <w:rFonts w:ascii="宋体" w:hAnsi="宋体" w:eastAsia="宋体"/>
                <w:sz w:val="16"/>
              </w:rPr>
              <w:t>=219.94万元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5A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292C9">
            <w:pPr>
              <w:jc w:val="center"/>
            </w:pPr>
          </w:p>
        </w:tc>
      </w:tr>
      <w:tr w14:paraId="43D44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12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A5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23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863D">
            <w:pPr>
              <w:jc w:val="center"/>
            </w:pPr>
            <w:r>
              <w:rPr>
                <w:rFonts w:ascii="宋体" w:hAnsi="宋体" w:eastAsia="宋体"/>
                <w:sz w:val="16"/>
              </w:rPr>
              <w:t>提高安全保障系数和队伍人员安全保护水平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50F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0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A6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9C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90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2D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4C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C3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E08E5">
            <w:pPr>
              <w:jc w:val="center"/>
            </w:pPr>
          </w:p>
        </w:tc>
      </w:tr>
      <w:tr w14:paraId="0A7BC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B7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16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F0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6E46">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8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25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EB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32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65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EB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E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3E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7C0D8">
            <w:pPr>
              <w:jc w:val="center"/>
            </w:pPr>
          </w:p>
        </w:tc>
      </w:tr>
      <w:tr w14:paraId="00865E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CC7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8F1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AA4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E3C317">
            <w:pPr>
              <w:jc w:val="center"/>
            </w:pPr>
            <w:r>
              <w:rPr>
                <w:rFonts w:ascii="宋体" w:hAnsi="宋体" w:eastAsia="宋体"/>
                <w:sz w:val="16"/>
              </w:rPr>
              <w:t>100分</w:t>
            </w:r>
          </w:p>
        </w:tc>
      </w:tr>
    </w:tbl>
    <w:p w14:paraId="36767FD3">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26"/>
        <w:gridCol w:w="616"/>
        <w:gridCol w:w="616"/>
        <w:gridCol w:w="621"/>
        <w:gridCol w:w="776"/>
        <w:gridCol w:w="631"/>
        <w:gridCol w:w="598"/>
        <w:gridCol w:w="631"/>
      </w:tblGrid>
      <w:tr w14:paraId="0A3F9169">
        <w:tblPrEx>
          <w:tblCellMar>
            <w:top w:w="0" w:type="dxa"/>
            <w:left w:w="108" w:type="dxa"/>
            <w:bottom w:w="0" w:type="dxa"/>
            <w:right w:w="108" w:type="dxa"/>
          </w:tblCellMar>
        </w:tblPrEx>
        <w:tc>
          <w:tcPr>
            <w:tcW w:w="8848" w:type="dxa"/>
            <w:gridSpan w:val="14"/>
            <w:vAlign w:val="center"/>
          </w:tcPr>
          <w:p w14:paraId="247AC92C">
            <w:pPr>
              <w:jc w:val="center"/>
            </w:pPr>
            <w:r>
              <w:rPr>
                <w:rFonts w:ascii="宋体" w:hAnsi="宋体" w:eastAsia="宋体"/>
                <w:sz w:val="24"/>
              </w:rPr>
              <w:t>项目支出绩效自评表</w:t>
            </w:r>
          </w:p>
        </w:tc>
      </w:tr>
      <w:tr w14:paraId="0FBE65A2">
        <w:tblPrEx>
          <w:tblCellMar>
            <w:top w:w="0" w:type="dxa"/>
            <w:left w:w="108" w:type="dxa"/>
            <w:bottom w:w="0" w:type="dxa"/>
            <w:right w:w="108" w:type="dxa"/>
          </w:tblCellMar>
        </w:tblPrEx>
        <w:tc>
          <w:tcPr>
            <w:tcW w:w="8848" w:type="dxa"/>
            <w:gridSpan w:val="14"/>
            <w:vAlign w:val="center"/>
          </w:tcPr>
          <w:p w14:paraId="0161B458">
            <w:pPr>
              <w:jc w:val="center"/>
            </w:pPr>
            <w:r>
              <w:rPr>
                <w:rFonts w:ascii="宋体" w:hAnsi="宋体" w:eastAsia="宋体"/>
                <w:sz w:val="24"/>
              </w:rPr>
              <w:t>(2024年度)</w:t>
            </w:r>
          </w:p>
        </w:tc>
      </w:tr>
      <w:tr w14:paraId="3C24E4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E3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48BB5D">
            <w:pPr>
              <w:jc w:val="center"/>
            </w:pPr>
            <w:r>
              <w:rPr>
                <w:rFonts w:ascii="宋体" w:hAnsi="宋体" w:eastAsia="宋体"/>
                <w:sz w:val="16"/>
              </w:rPr>
              <w:t>麦盖提县五一林场业务活动费项目</w:t>
            </w:r>
          </w:p>
        </w:tc>
      </w:tr>
      <w:tr w14:paraId="4489F6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99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2A804">
            <w:pPr>
              <w:jc w:val="center"/>
            </w:pPr>
            <w:r>
              <w:rPr>
                <w:rFonts w:ascii="宋体" w:hAnsi="宋体" w:eastAsia="宋体"/>
                <w:sz w:val="16"/>
              </w:rPr>
              <w:t>麦盖提县五一林场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E8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D878ED">
            <w:pPr>
              <w:jc w:val="center"/>
            </w:pPr>
            <w:r>
              <w:rPr>
                <w:rFonts w:ascii="宋体" w:hAnsi="宋体" w:eastAsia="宋体"/>
                <w:sz w:val="16"/>
              </w:rPr>
              <w:t>麦盖提县五一林场</w:t>
            </w:r>
          </w:p>
        </w:tc>
      </w:tr>
      <w:tr w14:paraId="5919B7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751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AC6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623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085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93E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0A2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FCD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42F7">
            <w:pPr>
              <w:jc w:val="center"/>
            </w:pPr>
            <w:r>
              <w:rPr>
                <w:rFonts w:ascii="宋体" w:hAnsi="宋体" w:eastAsia="宋体"/>
                <w:sz w:val="16"/>
              </w:rPr>
              <w:t>得分</w:t>
            </w:r>
          </w:p>
        </w:tc>
      </w:tr>
      <w:tr w14:paraId="48EB8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F41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31D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289D">
            <w:pPr>
              <w:jc w:val="center"/>
            </w:pPr>
            <w:r>
              <w:rPr>
                <w:rFonts w:ascii="宋体" w:hAnsi="宋体" w:eastAsia="宋体"/>
                <w:sz w:val="16"/>
              </w:rPr>
              <w:t>197.14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ACCAE">
            <w:pPr>
              <w:jc w:val="center"/>
            </w:pPr>
            <w:r>
              <w:rPr>
                <w:rFonts w:ascii="宋体" w:hAnsi="宋体" w:eastAsia="宋体"/>
                <w:sz w:val="16"/>
              </w:rPr>
              <w:t>228.05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E8EF">
            <w:pPr>
              <w:jc w:val="center"/>
            </w:pPr>
            <w:r>
              <w:rPr>
                <w:rFonts w:ascii="宋体" w:hAnsi="宋体" w:eastAsia="宋体"/>
                <w:sz w:val="16"/>
              </w:rPr>
              <w:t>228.05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2EF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00D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2262">
            <w:pPr>
              <w:jc w:val="center"/>
            </w:pPr>
            <w:r>
              <w:rPr>
                <w:rFonts w:ascii="宋体" w:hAnsi="宋体" w:eastAsia="宋体"/>
                <w:sz w:val="16"/>
              </w:rPr>
              <w:t>10.00分</w:t>
            </w:r>
          </w:p>
        </w:tc>
      </w:tr>
      <w:tr w14:paraId="707D9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548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2CA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FA109">
            <w:pPr>
              <w:jc w:val="center"/>
            </w:pPr>
            <w:r>
              <w:rPr>
                <w:rFonts w:ascii="宋体" w:hAnsi="宋体" w:eastAsia="宋体"/>
                <w:sz w:val="16"/>
              </w:rPr>
              <w:t>197.14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BEA1A">
            <w:pPr>
              <w:jc w:val="center"/>
            </w:pPr>
            <w:r>
              <w:rPr>
                <w:rFonts w:ascii="宋体" w:hAnsi="宋体" w:eastAsia="宋体"/>
                <w:sz w:val="16"/>
              </w:rPr>
              <w:t>228.05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F43DE">
            <w:pPr>
              <w:jc w:val="center"/>
            </w:pPr>
            <w:r>
              <w:rPr>
                <w:rFonts w:ascii="宋体" w:hAnsi="宋体" w:eastAsia="宋体"/>
                <w:sz w:val="16"/>
              </w:rPr>
              <w:t>228.05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CF1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9FB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6E5A">
            <w:pPr>
              <w:jc w:val="center"/>
            </w:pPr>
            <w:r>
              <w:rPr>
                <w:rFonts w:ascii="宋体" w:hAnsi="宋体" w:eastAsia="宋体"/>
                <w:sz w:val="16"/>
              </w:rPr>
              <w:t>—</w:t>
            </w:r>
          </w:p>
        </w:tc>
      </w:tr>
      <w:tr w14:paraId="77475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E8C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C4B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279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075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5C5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3FE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98B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B361">
            <w:pPr>
              <w:jc w:val="center"/>
            </w:pPr>
            <w:r>
              <w:rPr>
                <w:rFonts w:ascii="宋体" w:hAnsi="宋体" w:eastAsia="宋体"/>
                <w:sz w:val="16"/>
              </w:rPr>
              <w:t>—</w:t>
            </w:r>
          </w:p>
        </w:tc>
      </w:tr>
      <w:tr w14:paraId="7C8710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F1D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92C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7CBEB">
            <w:pPr>
              <w:jc w:val="center"/>
            </w:pPr>
            <w:r>
              <w:rPr>
                <w:rFonts w:ascii="宋体" w:hAnsi="宋体" w:eastAsia="宋体"/>
                <w:sz w:val="16"/>
              </w:rPr>
              <w:t>实际完成情况</w:t>
            </w:r>
          </w:p>
        </w:tc>
      </w:tr>
      <w:tr w14:paraId="33A9C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213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18952">
            <w:pPr>
              <w:jc w:val="both"/>
            </w:pPr>
            <w:r>
              <w:rPr>
                <w:rFonts w:ascii="宋体" w:hAnsi="宋体" w:eastAsia="宋体"/>
                <w:sz w:val="16"/>
              </w:rPr>
              <w:t>本项目2024年计划总投资为228.05万元，一是用于发放17名临时工每月工资，社保，公积金等待遇，二是保障林场日常运转开支、购置办公耗材5批，三是保障林场2辆公务用车油费、维修费用等；本项目的实施保障林场基本运转，提高人员工作积极性，从而有效提升社会公众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CC51F">
            <w:pPr>
              <w:jc w:val="both"/>
            </w:pPr>
            <w:r>
              <w:rPr>
                <w:rFonts w:ascii="宋体" w:hAnsi="宋体" w:eastAsia="宋体"/>
                <w:sz w:val="16"/>
              </w:rPr>
              <w:t>截至2024年12月31日，项目实际支出228.05万元，发放17名临聘人员工资、社保、公积金，购买日常所需办公耗材，支付车辆加油、维修费用，项目的实施有效提高工作人员工作积极性，保障单位正常运转，更好开展本职工作，提升社会公众服务能力。</w:t>
            </w:r>
          </w:p>
        </w:tc>
      </w:tr>
      <w:tr w14:paraId="73D899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8B0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C2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22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A5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6D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EE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0C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A0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75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2C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05E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BF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18106">
            <w:pPr>
              <w:jc w:val="center"/>
            </w:pPr>
            <w:r>
              <w:rPr>
                <w:rFonts w:ascii="宋体" w:hAnsi="宋体" w:eastAsia="宋体"/>
                <w:sz w:val="16"/>
              </w:rPr>
              <w:t>偏差原因分析及改进措施</w:t>
            </w:r>
          </w:p>
        </w:tc>
      </w:tr>
      <w:tr w14:paraId="49A3C5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893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884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596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4CBE">
            <w:pPr>
              <w:jc w:val="center"/>
            </w:pPr>
            <w:r>
              <w:rPr>
                <w:rFonts w:ascii="宋体" w:hAnsi="宋体" w:eastAsia="宋体"/>
                <w:sz w:val="16"/>
              </w:rPr>
              <w:t>发放工资临时工人数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5C60">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35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30E4">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5F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8A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2B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7E0F">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727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F45E6">
            <w:pPr>
              <w:jc w:val="center"/>
            </w:pPr>
          </w:p>
        </w:tc>
      </w:tr>
      <w:tr w14:paraId="0D5F0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9F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AF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03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5492">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6097">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6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70E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437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B2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1C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D0D8">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538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2853A">
            <w:pPr>
              <w:jc w:val="center"/>
            </w:pPr>
          </w:p>
        </w:tc>
      </w:tr>
      <w:tr w14:paraId="73B54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43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40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67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895E">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61C4">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1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35C6">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DC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6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00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98A0">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387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7B325">
            <w:pPr>
              <w:jc w:val="center"/>
            </w:pPr>
          </w:p>
        </w:tc>
      </w:tr>
      <w:tr w14:paraId="1A966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4F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E9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76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364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9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47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A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FC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F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C9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E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8C7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C5F68">
            <w:pPr>
              <w:jc w:val="center"/>
            </w:pPr>
          </w:p>
        </w:tc>
      </w:tr>
      <w:tr w14:paraId="2AFB4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9D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F97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AB8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46D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A6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2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AB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44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1F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37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9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A8D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EA80">
            <w:pPr>
              <w:jc w:val="center"/>
            </w:pPr>
          </w:p>
        </w:tc>
      </w:tr>
      <w:tr w14:paraId="3DAF4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81D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E4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6E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044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A54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D0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23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BB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E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B3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007A">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349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26845">
            <w:pPr>
              <w:jc w:val="center"/>
            </w:pPr>
          </w:p>
        </w:tc>
      </w:tr>
      <w:tr w14:paraId="6C6FD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745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77B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344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7B23">
            <w:pPr>
              <w:jc w:val="center"/>
            </w:pPr>
            <w:r>
              <w:rPr>
                <w:rFonts w:ascii="宋体" w:hAnsi="宋体" w:eastAsia="宋体"/>
                <w:sz w:val="16"/>
              </w:rPr>
              <w:t>临时工工资金额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76F1">
            <w:pPr>
              <w:jc w:val="center"/>
            </w:pPr>
            <w:r>
              <w:rPr>
                <w:rFonts w:ascii="宋体" w:hAnsi="宋体" w:eastAsia="宋体"/>
                <w:sz w:val="16"/>
              </w:rPr>
              <w:t>&lt;=137.41万元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79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B3A5">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9F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A3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FEA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2E17">
            <w:pPr>
              <w:jc w:val="center"/>
            </w:pPr>
            <w:r>
              <w:rPr>
                <w:rFonts w:ascii="宋体" w:hAnsi="宋体" w:eastAsia="宋体"/>
                <w:sz w:val="16"/>
              </w:rPr>
              <w:t>=137.41万元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66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A8955">
            <w:pPr>
              <w:jc w:val="center"/>
            </w:pPr>
          </w:p>
        </w:tc>
      </w:tr>
      <w:tr w14:paraId="7B426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C8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1A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78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829C">
            <w:pPr>
              <w:jc w:val="center"/>
            </w:pPr>
            <w:r>
              <w:rPr>
                <w:rFonts w:ascii="宋体" w:hAnsi="宋体" w:eastAsia="宋体"/>
                <w:sz w:val="16"/>
              </w:rPr>
              <w:t>业务活动经费金额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07B7">
            <w:pPr>
              <w:jc w:val="center"/>
            </w:pPr>
            <w:r>
              <w:rPr>
                <w:rFonts w:ascii="宋体" w:hAnsi="宋体" w:eastAsia="宋体"/>
                <w:sz w:val="16"/>
              </w:rPr>
              <w:t>&lt;=90.64万元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F9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2A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54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07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C16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39A8">
            <w:pPr>
              <w:jc w:val="center"/>
            </w:pPr>
            <w:r>
              <w:rPr>
                <w:rFonts w:ascii="宋体" w:hAnsi="宋体" w:eastAsia="宋体"/>
                <w:sz w:val="16"/>
              </w:rPr>
              <w:t>=90.64万元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10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F1614">
            <w:pPr>
              <w:jc w:val="center"/>
            </w:pPr>
          </w:p>
        </w:tc>
      </w:tr>
      <w:tr w14:paraId="0C68A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84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37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97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6987">
            <w:pPr>
              <w:jc w:val="center"/>
            </w:pPr>
            <w:r>
              <w:rPr>
                <w:rFonts w:ascii="宋体" w:hAnsi="宋体" w:eastAsia="宋体"/>
                <w:sz w:val="16"/>
              </w:rPr>
              <w:t>保障林场基本运转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340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8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C55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CB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39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C5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57F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5C5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94C59">
            <w:pPr>
              <w:jc w:val="center"/>
            </w:pPr>
          </w:p>
        </w:tc>
      </w:tr>
      <w:tr w14:paraId="6C0C0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D2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5A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97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7A7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5C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E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5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F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EF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D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20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CF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7D59">
            <w:pPr>
              <w:jc w:val="center"/>
            </w:pPr>
          </w:p>
        </w:tc>
      </w:tr>
      <w:tr w14:paraId="17E7C0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B06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B2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4BF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345D5D">
            <w:pPr>
              <w:jc w:val="center"/>
            </w:pPr>
            <w:r>
              <w:rPr>
                <w:rFonts w:ascii="宋体" w:hAnsi="宋体" w:eastAsia="宋体"/>
                <w:sz w:val="16"/>
              </w:rPr>
              <w:t>100分</w:t>
            </w:r>
          </w:p>
        </w:tc>
      </w:tr>
    </w:tbl>
    <w:p w14:paraId="3BF183A0">
      <w:r>
        <w:br w:type="page"/>
      </w:r>
    </w:p>
    <w:p w14:paraId="03D86753">
      <w:pPr>
        <w:spacing w:line="640" w:lineRule="exact"/>
        <w:ind w:firstLine="640"/>
        <w:jc w:val="both"/>
        <w:outlineLvl w:val="2"/>
      </w:pPr>
      <w:r>
        <w:rPr>
          <w:rFonts w:ascii="黑体" w:hAnsi="黑体" w:eastAsia="黑体"/>
          <w:sz w:val="32"/>
        </w:rPr>
        <w:t>十二、其他需说明的事项</w:t>
      </w:r>
    </w:p>
    <w:p w14:paraId="5D3B6E90">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1A0E8CE">
      <w:r>
        <w:br w:type="page"/>
      </w:r>
    </w:p>
    <w:p w14:paraId="1D7A287F">
      <w:pPr>
        <w:spacing w:line="240" w:lineRule="auto"/>
        <w:jc w:val="center"/>
        <w:outlineLvl w:val="1"/>
      </w:pPr>
      <w:r>
        <w:rPr>
          <w:rFonts w:ascii="黑体" w:hAnsi="黑体" w:eastAsia="黑体"/>
          <w:sz w:val="32"/>
        </w:rPr>
        <w:t>第三部分 专业名词解释</w:t>
      </w:r>
    </w:p>
    <w:p w14:paraId="789E569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872A2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1969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23E48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B7109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823EB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54196C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D0015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89EB5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440566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A0628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A653C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AE79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EC129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853E8F">
      <w:r>
        <w:br w:type="page"/>
      </w:r>
    </w:p>
    <w:p w14:paraId="640C0D5A">
      <w:pPr>
        <w:spacing w:line="240" w:lineRule="auto"/>
        <w:jc w:val="center"/>
        <w:outlineLvl w:val="1"/>
      </w:pPr>
      <w:r>
        <w:rPr>
          <w:rFonts w:ascii="黑体" w:hAnsi="黑体" w:eastAsia="黑体"/>
          <w:sz w:val="32"/>
        </w:rPr>
        <w:t>第四部分 部门决算报表（见附表）</w:t>
      </w:r>
    </w:p>
    <w:p w14:paraId="48C7DBE2">
      <w:pPr>
        <w:spacing w:line="240" w:lineRule="auto"/>
        <w:ind w:firstLine="640"/>
        <w:jc w:val="both"/>
      </w:pPr>
      <w:r>
        <w:rPr>
          <w:rFonts w:ascii="仿宋_GB2312" w:hAnsi="仿宋_GB2312" w:eastAsia="仿宋_GB2312"/>
          <w:b w:val="0"/>
          <w:sz w:val="32"/>
        </w:rPr>
        <w:t>一、《收入支出决算总表》</w:t>
      </w:r>
    </w:p>
    <w:p w14:paraId="2E3D16BD">
      <w:pPr>
        <w:spacing w:line="240" w:lineRule="auto"/>
        <w:ind w:firstLine="640"/>
        <w:jc w:val="both"/>
      </w:pPr>
      <w:r>
        <w:rPr>
          <w:rFonts w:ascii="仿宋_GB2312" w:hAnsi="仿宋_GB2312" w:eastAsia="仿宋_GB2312"/>
          <w:b w:val="0"/>
          <w:sz w:val="32"/>
        </w:rPr>
        <w:t>二、《收入决算表》</w:t>
      </w:r>
    </w:p>
    <w:p w14:paraId="085C4700">
      <w:pPr>
        <w:spacing w:line="240" w:lineRule="auto"/>
        <w:ind w:firstLine="640"/>
        <w:jc w:val="both"/>
      </w:pPr>
      <w:r>
        <w:rPr>
          <w:rFonts w:ascii="仿宋_GB2312" w:hAnsi="仿宋_GB2312" w:eastAsia="仿宋_GB2312"/>
          <w:b w:val="0"/>
          <w:sz w:val="32"/>
        </w:rPr>
        <w:t>三、《支出决算表》</w:t>
      </w:r>
    </w:p>
    <w:p w14:paraId="15421013">
      <w:pPr>
        <w:spacing w:line="240" w:lineRule="auto"/>
        <w:ind w:firstLine="640"/>
        <w:jc w:val="both"/>
      </w:pPr>
      <w:r>
        <w:rPr>
          <w:rFonts w:ascii="仿宋_GB2312" w:hAnsi="仿宋_GB2312" w:eastAsia="仿宋_GB2312"/>
          <w:b w:val="0"/>
          <w:sz w:val="32"/>
        </w:rPr>
        <w:t>四、《财政拨款收入支出决算总表》</w:t>
      </w:r>
    </w:p>
    <w:p w14:paraId="407072D6">
      <w:pPr>
        <w:spacing w:line="240" w:lineRule="auto"/>
        <w:ind w:firstLine="640"/>
        <w:jc w:val="both"/>
      </w:pPr>
      <w:r>
        <w:rPr>
          <w:rFonts w:ascii="仿宋_GB2312" w:hAnsi="仿宋_GB2312" w:eastAsia="仿宋_GB2312"/>
          <w:b w:val="0"/>
          <w:sz w:val="32"/>
        </w:rPr>
        <w:t>五、《一般公共预算财政拨款支出决算表》</w:t>
      </w:r>
    </w:p>
    <w:p w14:paraId="6CB9E0A4">
      <w:pPr>
        <w:spacing w:line="240" w:lineRule="auto"/>
        <w:ind w:firstLine="640"/>
        <w:jc w:val="both"/>
      </w:pPr>
      <w:r>
        <w:rPr>
          <w:rFonts w:ascii="仿宋_GB2312" w:hAnsi="仿宋_GB2312" w:eastAsia="仿宋_GB2312"/>
          <w:b w:val="0"/>
          <w:sz w:val="32"/>
        </w:rPr>
        <w:t>六、《一般公共预算财政拨款基本支出决算表》</w:t>
      </w:r>
    </w:p>
    <w:p w14:paraId="33FD187E">
      <w:pPr>
        <w:spacing w:line="240" w:lineRule="auto"/>
        <w:ind w:firstLine="640"/>
        <w:jc w:val="both"/>
      </w:pPr>
      <w:r>
        <w:rPr>
          <w:rFonts w:ascii="仿宋_GB2312" w:hAnsi="仿宋_GB2312" w:eastAsia="仿宋_GB2312"/>
          <w:b w:val="0"/>
          <w:sz w:val="32"/>
        </w:rPr>
        <w:t>七、《政府性基金预算财政拨款收入支出决算表》</w:t>
      </w:r>
    </w:p>
    <w:p w14:paraId="655AE310">
      <w:pPr>
        <w:spacing w:line="240" w:lineRule="auto"/>
        <w:ind w:firstLine="640"/>
        <w:jc w:val="both"/>
      </w:pPr>
      <w:r>
        <w:rPr>
          <w:rFonts w:ascii="仿宋_GB2312" w:hAnsi="仿宋_GB2312" w:eastAsia="仿宋_GB2312"/>
          <w:b w:val="0"/>
          <w:sz w:val="32"/>
        </w:rPr>
        <w:t>八、《国有资本经营预算财政拨款收入支出决算表》</w:t>
      </w:r>
    </w:p>
    <w:p w14:paraId="6122168A">
      <w:pPr>
        <w:spacing w:line="240" w:lineRule="auto"/>
        <w:ind w:firstLine="640"/>
        <w:jc w:val="both"/>
      </w:pPr>
      <w:r>
        <w:rPr>
          <w:rFonts w:ascii="仿宋_GB2312" w:hAnsi="仿宋_GB2312" w:eastAsia="仿宋_GB2312"/>
          <w:b w:val="0"/>
          <w:sz w:val="32"/>
        </w:rPr>
        <w:t>九、《财政拨款“三公”经费支出决算表》</w:t>
      </w:r>
    </w:p>
    <w:p w14:paraId="7315272D">
      <w:pPr>
        <w:spacing w:line="240" w:lineRule="auto"/>
        <w:ind w:firstLine="640"/>
        <w:jc w:val="both"/>
      </w:pPr>
    </w:p>
    <w:p w14:paraId="7FE51AAC">
      <w:pPr>
        <w:spacing w:line="240" w:lineRule="auto"/>
        <w:ind w:firstLine="640"/>
        <w:jc w:val="both"/>
      </w:pPr>
    </w:p>
    <w:p w14:paraId="4E9A6863">
      <w:pPr>
        <w:spacing w:line="240" w:lineRule="auto"/>
        <w:ind w:firstLine="640"/>
        <w:jc w:val="both"/>
      </w:pPr>
    </w:p>
    <w:p w14:paraId="21CB6B8D">
      <w:pPr>
        <w:spacing w:line="240" w:lineRule="auto"/>
        <w:ind w:firstLine="640"/>
        <w:jc w:val="both"/>
      </w:pPr>
    </w:p>
    <w:p w14:paraId="76DC90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120647"/>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C543C3"/>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5052</Words>
  <Characters>5784</Characters>
  <Lines>0</Lines>
  <Paragraphs>0</Paragraphs>
  <TotalTime>3</TotalTime>
  <ScaleCrop>false</ScaleCrop>
  <LinksUpToDate>false</LinksUpToDate>
  <CharactersWithSpaces>5792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eyJoZGlkIjoiZjZjY2YzNDY3YWM4YThjNjdkZTk2MDAwYjE2OGQzNDQiLCJ1c2VySWQiOiIyNTk4NTcxMjUifQ==</vt:lpwstr>
  </property>
</Properties>
</file>