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麦盖提县吐曼塔勒乡人民政府2024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A724DA">
      <w:r>
        <w:br w:type="page"/>
      </w:r>
    </w:p>
    <w:p w14:paraId="162E9CC2">
      <w:pPr>
        <w:spacing w:line="640" w:lineRule="exact"/>
        <w:jc w:val="center"/>
        <w:outlineLvl w:val="1"/>
      </w:pPr>
      <w:r>
        <w:rPr>
          <w:rFonts w:ascii="黑体" w:hAnsi="黑体" w:eastAsia="黑体"/>
          <w:sz w:val="32"/>
        </w:rPr>
        <w:t>第一部分 单位概况</w:t>
      </w:r>
    </w:p>
    <w:p w14:paraId="12DA2EDC">
      <w:pPr>
        <w:spacing w:line="640" w:lineRule="exact"/>
        <w:ind w:firstLine="640"/>
        <w:jc w:val="both"/>
        <w:outlineLvl w:val="2"/>
      </w:pPr>
      <w:r>
        <w:rPr>
          <w:rFonts w:ascii="黑体" w:hAnsi="黑体" w:eastAsia="黑体"/>
          <w:sz w:val="32"/>
        </w:rPr>
        <w:t>一、主要职能</w:t>
      </w:r>
    </w:p>
    <w:p w14:paraId="5B77FD3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促进经济发展。制定实施本乡经济发展规划，发展壮大农村集体经济，大力发展农村个体私营等非公有制经济，推进农村市场经济体系的建设，促进农民增收。</w:t>
      </w:r>
    </w:p>
    <w:p w14:paraId="255E355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加强社会综合治理，综合协调乡镇日常工作，调解工作，化解农村社会矛盾；抓好法治宣传和普法教育，增强干部群众的法治意识。</w:t>
      </w:r>
    </w:p>
    <w:p w14:paraId="2EEAF72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加强社会管理。</w:t>
      </w:r>
      <w:r>
        <w:rPr>
          <w:rFonts w:hint="eastAsia" w:ascii="仿宋_GB2312" w:hAnsi="仿宋_GB2312" w:eastAsia="仿宋_GB2312"/>
          <w:sz w:val="32"/>
          <w:lang w:eastAsia="zh-CN"/>
        </w:rPr>
        <w:t>制定</w:t>
      </w:r>
      <w:r>
        <w:rPr>
          <w:rFonts w:ascii="仿宋_GB2312" w:hAnsi="仿宋_GB2312" w:eastAsia="仿宋_GB2312"/>
          <w:sz w:val="32"/>
        </w:rPr>
        <w:t>实施本乡社会发展规划，负责管理教育，文化，卫生，等社会事业，配合上级有关部门做好。</w:t>
      </w:r>
    </w:p>
    <w:p w14:paraId="2F8DB6F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搞好公共服务。加强基础设施建设，发展农村社会公共事业和集体公益事业，鼓励和扶持社会力量举办为“三农”服务的公益性机构和经济实体。</w:t>
      </w:r>
    </w:p>
    <w:p w14:paraId="663259CF">
      <w:pPr>
        <w:spacing w:line="640" w:lineRule="exact"/>
        <w:ind w:firstLine="640"/>
        <w:jc w:val="both"/>
        <w:outlineLvl w:val="2"/>
      </w:pPr>
      <w:r>
        <w:rPr>
          <w:rFonts w:ascii="黑体" w:hAnsi="黑体" w:eastAsia="黑体"/>
          <w:sz w:val="32"/>
        </w:rPr>
        <w:t>二、机构设置及人员情况</w:t>
      </w:r>
    </w:p>
    <w:p w14:paraId="30A51D98">
      <w:pPr>
        <w:spacing w:line="580" w:lineRule="exact"/>
        <w:ind w:firstLine="640"/>
        <w:jc w:val="both"/>
      </w:pPr>
      <w:r>
        <w:rPr>
          <w:rFonts w:ascii="仿宋_GB2312" w:hAnsi="仿宋_GB2312" w:eastAsia="仿宋_GB2312"/>
          <w:sz w:val="32"/>
        </w:rPr>
        <w:t>麦盖提县吐曼塔勒乡人民政府2024年度，实有人数132人，其中：在职人员113人，减少14人；离休人员0人，增加0人；退休人员19人,减少1人。</w:t>
      </w:r>
    </w:p>
    <w:p w14:paraId="19BBDAC8">
      <w:pPr>
        <w:spacing w:line="580" w:lineRule="exact"/>
        <w:ind w:firstLine="640"/>
        <w:jc w:val="both"/>
      </w:pPr>
      <w:r>
        <w:rPr>
          <w:rFonts w:ascii="仿宋_GB2312" w:hAnsi="仿宋_GB2312" w:eastAsia="仿宋_GB2312"/>
          <w:sz w:val="32"/>
        </w:rPr>
        <w:t>麦盖提县吐曼塔勒乡人民政府无下属预算单位，下设5个科室，分别是：党政办、党建办、农村经济发展办、社会事务办、综合执法办。</w:t>
      </w:r>
    </w:p>
    <w:p w14:paraId="1B9B76A7">
      <w:r>
        <w:br w:type="page"/>
      </w:r>
    </w:p>
    <w:p w14:paraId="1782801E">
      <w:pPr>
        <w:spacing w:line="240" w:lineRule="auto"/>
        <w:jc w:val="center"/>
        <w:outlineLvl w:val="1"/>
      </w:pPr>
      <w:r>
        <w:rPr>
          <w:rFonts w:ascii="黑体" w:hAnsi="黑体" w:eastAsia="黑体"/>
          <w:sz w:val="32"/>
        </w:rPr>
        <w:t>第二部分 部门决算情况说明</w:t>
      </w:r>
    </w:p>
    <w:p w14:paraId="0C2364DF">
      <w:pPr>
        <w:spacing w:line="640" w:lineRule="exact"/>
        <w:ind w:firstLine="640"/>
        <w:jc w:val="both"/>
        <w:outlineLvl w:val="2"/>
      </w:pPr>
      <w:r>
        <w:rPr>
          <w:rFonts w:ascii="黑体" w:hAnsi="黑体" w:eastAsia="黑体"/>
          <w:sz w:val="32"/>
        </w:rPr>
        <w:t>一、收入支出决算总体情况说明</w:t>
      </w:r>
    </w:p>
    <w:p w14:paraId="3C095A5A">
      <w:pPr>
        <w:spacing w:line="580" w:lineRule="exact"/>
        <w:ind w:firstLine="640"/>
        <w:jc w:val="both"/>
      </w:pPr>
      <w:r>
        <w:rPr>
          <w:rFonts w:ascii="仿宋_GB2312" w:hAnsi="仿宋_GB2312" w:eastAsia="仿宋_GB2312"/>
          <w:b/>
          <w:sz w:val="32"/>
        </w:rPr>
        <w:t>2024年度收入总计2,702.38万元，</w:t>
      </w:r>
      <w:r>
        <w:rPr>
          <w:rFonts w:ascii="仿宋_GB2312" w:hAnsi="仿宋_GB2312" w:eastAsia="仿宋_GB2312"/>
          <w:b w:val="0"/>
          <w:sz w:val="32"/>
        </w:rPr>
        <w:t>其中：本年收入合计2,642.07万元，使用非财政拨款结余（含专用结余）0.00万元，年初结转和结余60.31万元。</w:t>
      </w:r>
    </w:p>
    <w:p w14:paraId="08A2FA4E">
      <w:pPr>
        <w:spacing w:line="580" w:lineRule="exact"/>
        <w:ind w:firstLine="640"/>
        <w:jc w:val="both"/>
      </w:pPr>
      <w:r>
        <w:rPr>
          <w:rFonts w:ascii="仿宋_GB2312" w:hAnsi="仿宋_GB2312" w:eastAsia="仿宋_GB2312"/>
          <w:b/>
          <w:sz w:val="32"/>
        </w:rPr>
        <w:t>2024年度支出总计2,702.38万元，</w:t>
      </w:r>
      <w:r>
        <w:rPr>
          <w:rFonts w:ascii="仿宋_GB2312" w:hAnsi="仿宋_GB2312" w:eastAsia="仿宋_GB2312"/>
          <w:b w:val="0"/>
          <w:sz w:val="32"/>
        </w:rPr>
        <w:t>其中：本年支出合计2,642.07万元，结余分配0.00万元，年末结转和结余60.31万元。</w:t>
      </w:r>
    </w:p>
    <w:p w14:paraId="442DB841">
      <w:pPr>
        <w:spacing w:line="580" w:lineRule="exact"/>
        <w:ind w:firstLine="640"/>
        <w:jc w:val="both"/>
      </w:pPr>
      <w:r>
        <w:rPr>
          <w:rFonts w:ascii="仿宋_GB2312" w:hAnsi="仿宋_GB2312" w:eastAsia="仿宋_GB2312"/>
          <w:b w:val="0"/>
          <w:sz w:val="32"/>
        </w:rPr>
        <w:t>收入支出总体与上年相比，减少1,054.78万元，下降28.07%，主要原因是：本年度减少乡村振兴建设项目-文化旅游示范村建设项目、乡村振兴示范村建设项目、发展新型村集体经济组织项目，导致收入支出减少。</w:t>
      </w:r>
    </w:p>
    <w:p w14:paraId="76D44155">
      <w:pPr>
        <w:spacing w:line="640" w:lineRule="exact"/>
        <w:ind w:firstLine="640"/>
        <w:jc w:val="both"/>
        <w:outlineLvl w:val="2"/>
      </w:pPr>
      <w:r>
        <w:rPr>
          <w:rFonts w:ascii="黑体" w:hAnsi="黑体" w:eastAsia="黑体"/>
          <w:sz w:val="32"/>
        </w:rPr>
        <w:t>二、收入决算情况说明</w:t>
      </w:r>
    </w:p>
    <w:p w14:paraId="23D2ADA9">
      <w:pPr>
        <w:spacing w:line="580" w:lineRule="exact"/>
        <w:ind w:firstLine="640"/>
        <w:jc w:val="both"/>
      </w:pPr>
      <w:r>
        <w:rPr>
          <w:rFonts w:ascii="仿宋_GB2312" w:hAnsi="仿宋_GB2312" w:eastAsia="仿宋_GB2312"/>
          <w:b/>
          <w:sz w:val="32"/>
        </w:rPr>
        <w:t>本年收入2,642.07万元，</w:t>
      </w:r>
      <w:r>
        <w:rPr>
          <w:rFonts w:ascii="仿宋_GB2312" w:hAnsi="仿宋_GB2312" w:eastAsia="仿宋_GB2312"/>
          <w:b w:val="0"/>
          <w:sz w:val="32"/>
        </w:rPr>
        <w:t>其中：财政拨款收入2,594.26万元，占98.19%；上级补助收入0.00万元，占0.00%；事业收入0.00万元，占0.00%；经营收入0.00万元，占0.00%；附属单位上缴收入0.00万元，占0.00%；其他收入47.81万元，占1.81%。</w:t>
      </w:r>
    </w:p>
    <w:p w14:paraId="1FC269F3">
      <w:pPr>
        <w:spacing w:line="640" w:lineRule="exact"/>
        <w:ind w:firstLine="640"/>
        <w:jc w:val="both"/>
        <w:outlineLvl w:val="2"/>
      </w:pPr>
      <w:r>
        <w:rPr>
          <w:rFonts w:ascii="黑体" w:hAnsi="黑体" w:eastAsia="黑体"/>
          <w:sz w:val="32"/>
        </w:rPr>
        <w:t>三、支出决算情况说明</w:t>
      </w:r>
    </w:p>
    <w:p w14:paraId="59DFF0D9">
      <w:pPr>
        <w:spacing w:line="580" w:lineRule="exact"/>
        <w:ind w:firstLine="640"/>
        <w:jc w:val="both"/>
      </w:pPr>
      <w:r>
        <w:rPr>
          <w:rFonts w:ascii="仿宋_GB2312" w:hAnsi="仿宋_GB2312" w:eastAsia="仿宋_GB2312"/>
          <w:b/>
          <w:sz w:val="32"/>
        </w:rPr>
        <w:t>本年支出2,642.07万元，</w:t>
      </w:r>
      <w:r>
        <w:rPr>
          <w:rFonts w:ascii="仿宋_GB2312" w:hAnsi="仿宋_GB2312" w:eastAsia="仿宋_GB2312"/>
          <w:b w:val="0"/>
          <w:sz w:val="32"/>
        </w:rPr>
        <w:t>其中：基本支出2,284.09万元，占86.45%；项目支出357.98万元，占13.55%；上缴上级支出0.00万元，占0.00%；经营支出0.00万元，占0.00%；对附属单位补助支出0.00万元，占0.00%。</w:t>
      </w:r>
    </w:p>
    <w:p w14:paraId="71860A05">
      <w:pPr>
        <w:spacing w:line="640" w:lineRule="exact"/>
        <w:ind w:firstLine="640"/>
        <w:jc w:val="both"/>
        <w:outlineLvl w:val="2"/>
      </w:pPr>
      <w:r>
        <w:rPr>
          <w:rFonts w:ascii="黑体" w:hAnsi="黑体" w:eastAsia="黑体"/>
          <w:sz w:val="32"/>
        </w:rPr>
        <w:t>四、财政拨款收入支出决算总体情况说明</w:t>
      </w:r>
    </w:p>
    <w:p w14:paraId="064D0E76">
      <w:pPr>
        <w:spacing w:line="580" w:lineRule="exact"/>
        <w:ind w:firstLine="640"/>
        <w:jc w:val="both"/>
      </w:pPr>
      <w:r>
        <w:rPr>
          <w:rFonts w:ascii="仿宋_GB2312" w:hAnsi="仿宋_GB2312" w:eastAsia="仿宋_GB2312"/>
          <w:b/>
          <w:sz w:val="32"/>
        </w:rPr>
        <w:t>2024年度财政拨款收入总计2,594.26万元，</w:t>
      </w:r>
      <w:r>
        <w:rPr>
          <w:rFonts w:ascii="仿宋_GB2312" w:hAnsi="仿宋_GB2312" w:eastAsia="仿宋_GB2312"/>
          <w:b w:val="0"/>
          <w:sz w:val="32"/>
        </w:rPr>
        <w:t>其中：年初财政拨款结转和结余0.00万元，本年财政拨款收入2,594.26万元。</w:t>
      </w:r>
      <w:r>
        <w:rPr>
          <w:rFonts w:ascii="仿宋_GB2312" w:hAnsi="仿宋_GB2312" w:eastAsia="仿宋_GB2312"/>
          <w:b/>
          <w:sz w:val="32"/>
        </w:rPr>
        <w:t>财政拨款支出总计2,594.26万元，</w:t>
      </w:r>
      <w:r>
        <w:rPr>
          <w:rFonts w:ascii="仿宋_GB2312" w:hAnsi="仿宋_GB2312" w:eastAsia="仿宋_GB2312"/>
          <w:b w:val="0"/>
          <w:sz w:val="32"/>
        </w:rPr>
        <w:t>其中：年末财政拨款结转和结余0.00万元，本年财政拨款支出2,594.26万元。</w:t>
      </w:r>
    </w:p>
    <w:p w14:paraId="3B609D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增加14.92万元，增长0.58%，主要原因是：本年在职人员工资调增，社保、公积金基数调增，人员经费增加；增加为民办实事项目经费。</w:t>
      </w:r>
      <w:r>
        <w:rPr>
          <w:rFonts w:ascii="仿宋_GB2312" w:hAnsi="仿宋_GB2312" w:eastAsia="仿宋_GB2312"/>
          <w:b/>
          <w:sz w:val="32"/>
        </w:rPr>
        <w:t>与年初预算相比，</w:t>
      </w:r>
      <w:r>
        <w:rPr>
          <w:rFonts w:ascii="仿宋_GB2312" w:hAnsi="仿宋_GB2312" w:eastAsia="仿宋_GB2312"/>
          <w:b w:val="0"/>
          <w:sz w:val="32"/>
        </w:rPr>
        <w:t>年初预算数2,356.72万元，决算数2,594.26万元，预决算差异率10.08%，主要原因是：年中追加人员工资、社保、公积金基数调增部分资金；年中麦盖提县2024年美丽庭院建设项目，导致预决算存在差异。</w:t>
      </w:r>
    </w:p>
    <w:p w14:paraId="7FE17218">
      <w:pPr>
        <w:spacing w:line="640" w:lineRule="exact"/>
        <w:ind w:firstLine="640"/>
        <w:jc w:val="both"/>
        <w:outlineLvl w:val="2"/>
      </w:pPr>
      <w:r>
        <w:rPr>
          <w:rFonts w:ascii="黑体" w:hAnsi="黑体" w:eastAsia="黑体"/>
          <w:sz w:val="32"/>
        </w:rPr>
        <w:t>五、一般公共预算财政拨款支出决算情况说明</w:t>
      </w:r>
    </w:p>
    <w:p w14:paraId="7223385D">
      <w:pPr>
        <w:spacing w:line="640" w:lineRule="exact"/>
        <w:ind w:firstLine="640"/>
        <w:jc w:val="both"/>
        <w:outlineLvl w:val="3"/>
      </w:pPr>
      <w:r>
        <w:rPr>
          <w:rFonts w:ascii="楷体_GB2312" w:hAnsi="楷体_GB2312" w:eastAsia="楷体_GB2312"/>
          <w:b/>
          <w:sz w:val="32"/>
        </w:rPr>
        <w:t>（一）一般公共预算财政拨款支出决算总体情况</w:t>
      </w:r>
    </w:p>
    <w:p w14:paraId="6FEC3B6B">
      <w:pPr>
        <w:spacing w:line="580" w:lineRule="exact"/>
        <w:ind w:firstLine="640"/>
        <w:jc w:val="both"/>
      </w:pPr>
      <w:r>
        <w:rPr>
          <w:rFonts w:ascii="仿宋_GB2312" w:hAnsi="仿宋_GB2312" w:eastAsia="仿宋_GB2312"/>
          <w:b/>
          <w:sz w:val="32"/>
        </w:rPr>
        <w:t>2024年度一般公共预算财政拨款支出2,594.26万元，</w:t>
      </w:r>
      <w:r>
        <w:rPr>
          <w:rFonts w:ascii="仿宋_GB2312" w:hAnsi="仿宋_GB2312" w:eastAsia="仿宋_GB2312"/>
          <w:b w:val="0"/>
          <w:sz w:val="32"/>
        </w:rPr>
        <w:t>占本年支出合计的98.19%。</w:t>
      </w:r>
      <w:r>
        <w:rPr>
          <w:rFonts w:ascii="仿宋_GB2312" w:hAnsi="仿宋_GB2312" w:eastAsia="仿宋_GB2312"/>
          <w:b/>
          <w:sz w:val="32"/>
        </w:rPr>
        <w:t>与上年相比，</w:t>
      </w:r>
      <w:r>
        <w:rPr>
          <w:rFonts w:ascii="仿宋_GB2312" w:hAnsi="仿宋_GB2312" w:eastAsia="仿宋_GB2312"/>
          <w:b w:val="0"/>
          <w:sz w:val="32"/>
        </w:rPr>
        <w:t>增加14.92万元，增长0.58%，主要原因是：本年在职人员工资调增，社保、公积金基数调增，人员经费增加；增加为民办实事项目经费。</w:t>
      </w:r>
      <w:r>
        <w:rPr>
          <w:rFonts w:ascii="仿宋_GB2312" w:hAnsi="仿宋_GB2312" w:eastAsia="仿宋_GB2312"/>
          <w:b/>
          <w:sz w:val="32"/>
        </w:rPr>
        <w:t>与年初预算相比,</w:t>
      </w:r>
      <w:r>
        <w:rPr>
          <w:rFonts w:ascii="仿宋_GB2312" w:hAnsi="仿宋_GB2312" w:eastAsia="仿宋_GB2312"/>
          <w:b w:val="0"/>
          <w:sz w:val="32"/>
        </w:rPr>
        <w:t>年初预算数2,356.72万元，决算数2,594.26万元，预决算差异率10.08%，主要原因是：年中追加人员工资、社保、公积金基数调增部分资金；年中麦盖提县2024年美丽庭院建设项目，导致预决算存在差异。</w:t>
      </w:r>
    </w:p>
    <w:p w14:paraId="599431FB">
      <w:pPr>
        <w:spacing w:line="640" w:lineRule="exact"/>
        <w:ind w:firstLine="640"/>
        <w:jc w:val="both"/>
        <w:outlineLvl w:val="3"/>
      </w:pPr>
      <w:r>
        <w:rPr>
          <w:rFonts w:ascii="楷体_GB2312" w:hAnsi="楷体_GB2312" w:eastAsia="楷体_GB2312"/>
          <w:b/>
          <w:sz w:val="32"/>
        </w:rPr>
        <w:t>（二）一般公共预算财政拨款支出决算结构情况</w:t>
      </w:r>
    </w:p>
    <w:p w14:paraId="0A206F59">
      <w:pPr>
        <w:spacing w:line="580" w:lineRule="exact"/>
        <w:ind w:firstLine="640"/>
        <w:jc w:val="both"/>
      </w:pPr>
      <w:r>
        <w:rPr>
          <w:rFonts w:ascii="仿宋_GB2312" w:hAnsi="仿宋_GB2312" w:eastAsia="仿宋_GB2312"/>
          <w:b w:val="0"/>
          <w:sz w:val="32"/>
        </w:rPr>
        <w:t>1.一般公共服务支出(类)1,903.71万元,占73.38%。</w:t>
      </w:r>
    </w:p>
    <w:p w14:paraId="267AF585">
      <w:pPr>
        <w:spacing w:line="580" w:lineRule="exact"/>
        <w:ind w:firstLine="640"/>
        <w:jc w:val="both"/>
      </w:pPr>
      <w:r>
        <w:rPr>
          <w:rFonts w:ascii="仿宋_GB2312" w:hAnsi="仿宋_GB2312" w:eastAsia="仿宋_GB2312"/>
          <w:b w:val="0"/>
          <w:sz w:val="32"/>
        </w:rPr>
        <w:t>2.文化旅游体育与传媒支出(类)11.40万元,占0.44%。</w:t>
      </w:r>
    </w:p>
    <w:p w14:paraId="0D18767C">
      <w:pPr>
        <w:spacing w:line="580" w:lineRule="exact"/>
        <w:ind w:firstLine="640"/>
        <w:jc w:val="both"/>
      </w:pPr>
      <w:r>
        <w:rPr>
          <w:rFonts w:ascii="仿宋_GB2312" w:hAnsi="仿宋_GB2312" w:eastAsia="仿宋_GB2312"/>
          <w:b w:val="0"/>
          <w:sz w:val="32"/>
        </w:rPr>
        <w:t>3.社会保障和就业支出(类)236.82万元,占9.13%。</w:t>
      </w:r>
    </w:p>
    <w:p w14:paraId="3A8B9C80">
      <w:pPr>
        <w:spacing w:line="580" w:lineRule="exact"/>
        <w:ind w:firstLine="640"/>
        <w:jc w:val="both"/>
      </w:pPr>
      <w:r>
        <w:rPr>
          <w:rFonts w:ascii="仿宋_GB2312" w:hAnsi="仿宋_GB2312" w:eastAsia="仿宋_GB2312"/>
          <w:b w:val="0"/>
          <w:sz w:val="32"/>
        </w:rPr>
        <w:t>4.卫生健康支出(类)101.25万元,占3.90%。</w:t>
      </w:r>
    </w:p>
    <w:p w14:paraId="5C66237D">
      <w:pPr>
        <w:spacing w:line="580" w:lineRule="exact"/>
        <w:ind w:firstLine="640"/>
        <w:jc w:val="both"/>
      </w:pPr>
      <w:r>
        <w:rPr>
          <w:rFonts w:ascii="仿宋_GB2312" w:hAnsi="仿宋_GB2312" w:eastAsia="仿宋_GB2312"/>
          <w:b w:val="0"/>
          <w:sz w:val="32"/>
        </w:rPr>
        <w:t>5.农林水支出(类)166.16万元,占6.40%。</w:t>
      </w:r>
    </w:p>
    <w:p w14:paraId="77D4C4B5">
      <w:pPr>
        <w:spacing w:line="580" w:lineRule="exact"/>
        <w:ind w:firstLine="640"/>
        <w:jc w:val="both"/>
      </w:pPr>
      <w:r>
        <w:rPr>
          <w:rFonts w:ascii="仿宋_GB2312" w:hAnsi="仿宋_GB2312" w:eastAsia="仿宋_GB2312"/>
          <w:b w:val="0"/>
          <w:sz w:val="32"/>
        </w:rPr>
        <w:t>6.住房保障支出(类)160.30万元,占6.18%。</w:t>
      </w:r>
    </w:p>
    <w:p w14:paraId="4D38EB4F">
      <w:pPr>
        <w:spacing w:line="580" w:lineRule="exact"/>
        <w:ind w:firstLine="640"/>
        <w:jc w:val="both"/>
      </w:pPr>
      <w:r>
        <w:rPr>
          <w:rFonts w:ascii="仿宋_GB2312" w:hAnsi="仿宋_GB2312" w:eastAsia="仿宋_GB2312"/>
          <w:b w:val="0"/>
          <w:sz w:val="32"/>
        </w:rPr>
        <w:t>7.其他支出(类)14.61万元,占0.56%。</w:t>
      </w:r>
    </w:p>
    <w:p w14:paraId="1A1B8817">
      <w:pPr>
        <w:spacing w:line="640" w:lineRule="exact"/>
        <w:ind w:firstLine="640"/>
        <w:jc w:val="both"/>
        <w:outlineLvl w:val="3"/>
      </w:pPr>
      <w:r>
        <w:rPr>
          <w:rFonts w:ascii="楷体_GB2312" w:hAnsi="楷体_GB2312" w:eastAsia="楷体_GB2312"/>
          <w:b/>
          <w:sz w:val="32"/>
        </w:rPr>
        <w:t>（三）一般公共预算财政拨款支出决算具体情况</w:t>
      </w:r>
    </w:p>
    <w:p w14:paraId="0D0EA0B9">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1.一般公共服务支出(类)政府办公厅（室）及相关机构事务(款)行政运行(项):支出决算数为1,795.71万元，比上年决算增加6.78万元，增长0.38%,主要原因是：本年在职人员工资调增，导致相关人员经费较上年有所增加。</w:t>
      </w:r>
    </w:p>
    <w:p w14:paraId="6FB3113A">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2.一般公共服务支出(类)纪检监察事务(款)其他纪检监察事务支出(项):支出决算数为2.00万元，比上年决算增加0.50万元，增长33.33%,主要原因是：本年纪检监察事务预算资金增加，导致经费增长。</w:t>
      </w:r>
    </w:p>
    <w:p w14:paraId="6D52A452">
      <w:pPr>
        <w:spacing w:line="580" w:lineRule="exact"/>
        <w:ind w:firstLine="640"/>
        <w:jc w:val="both"/>
      </w:pPr>
      <w:r>
        <w:rPr>
          <w:rFonts w:ascii="仿宋_GB2312" w:hAnsi="仿宋_GB2312" w:eastAsia="仿宋_GB2312"/>
          <w:b w:val="0"/>
          <w:sz w:val="32"/>
        </w:rPr>
        <w:t>3.一般公共服务支出(类)组织事务(款)其他组织事务支出(项):支出决算数为106.00万元，比上年决算增加35.15万元，增长49.61%,主要原因是：本年增加为民办实事项目经费，导致经费增长。</w:t>
      </w:r>
    </w:p>
    <w:p w14:paraId="55F3E26B">
      <w:pPr>
        <w:spacing w:line="580" w:lineRule="exact"/>
        <w:ind w:firstLine="640"/>
        <w:jc w:val="both"/>
      </w:pPr>
      <w:r>
        <w:rPr>
          <w:rFonts w:ascii="仿宋_GB2312" w:hAnsi="仿宋_GB2312" w:eastAsia="仿宋_GB2312"/>
          <w:b w:val="0"/>
          <w:sz w:val="32"/>
        </w:rPr>
        <w:t>4.文化旅游体育与传媒支出(类)文化和旅游(款)群众文化(项):支出决算数为11.40万元，比上年决算增加11.40万元，增长100.00%,主要原因是：本年度功能科目调整，中央补助地方公共服务体系建设补助资金项目上年度其他文化旅游体育与传媒支出科目列支，本年在群众文化科目列支，导致经费较上年增加。</w:t>
      </w:r>
    </w:p>
    <w:p w14:paraId="59E7CDC1">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20.00万元，下降100.00%,主要原因是：本年度功能科目调整，中央补助地方公共服务体系建设补助资金项目上年度其他文化旅游体育与传媒支出科目列支，本年在群众文化科目列支，导致经费较上年减少。</w:t>
      </w:r>
    </w:p>
    <w:p w14:paraId="7E978C06">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6.社会保障和就业支出(类)民政管理事务(款)其他民政管理事务支出(项):支出决算数为5.00万元，比上年决算减少3.00万元，下降37.50%,主要原因是：本年度减少幸福大院冬季取暖电费项目，导致支出减少。</w:t>
      </w:r>
    </w:p>
    <w:p w14:paraId="4D67672A">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7.社会保障和就业支出(类)行政事业单位养老支出(款)行政单位离退休(项):支出决算数为21.84万元，比上年决算增加3.18万元，增长17.04%,主要原因是：本年增加退休人员基础绩效奖，退休费支出增加。</w:t>
      </w:r>
    </w:p>
    <w:p w14:paraId="3E980769">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197.96万元，比上年决算增加27.64万元，增长16.23%,主要原因是：本年在职人员工资基数调增，养老缴费基数上涨，相应支出增加。</w:t>
      </w:r>
    </w:p>
    <w:p w14:paraId="48EA45C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7.02万元，比上年决算增加2.28万元，增长48.10%,主要原因是：本年辞职人员较上年增加，职业年金缴费支出增加。</w:t>
      </w:r>
    </w:p>
    <w:p w14:paraId="3A68B51E">
      <w:pPr>
        <w:spacing w:line="580" w:lineRule="exact"/>
        <w:ind w:firstLine="640"/>
        <w:jc w:val="both"/>
      </w:pPr>
      <w:r>
        <w:rPr>
          <w:rFonts w:ascii="仿宋_GB2312" w:hAnsi="仿宋_GB2312" w:eastAsia="仿宋_GB2312"/>
          <w:b w:val="0"/>
          <w:sz w:val="32"/>
        </w:rPr>
        <w:t>10.社会保障和就业支出(类)临时救助(款)临时救助支出(项):支出决算数为5.00万元，比上年决算减少60.04万元，下降92.31%,主要原因是：本年2024年困难群众救助补助项目减少，导致此项经费降低。</w:t>
      </w:r>
    </w:p>
    <w:p w14:paraId="16812744">
      <w:pPr>
        <w:spacing w:line="580" w:lineRule="exact"/>
        <w:ind w:firstLine="640"/>
        <w:jc w:val="both"/>
      </w:pPr>
      <w:r>
        <w:rPr>
          <w:rFonts w:ascii="仿宋_GB2312" w:hAnsi="仿宋_GB2312" w:eastAsia="仿宋_GB2312"/>
          <w:b w:val="0"/>
          <w:sz w:val="32"/>
        </w:rPr>
        <w:t>11.卫生健康支出(类)行政事业单位医疗(款)行政单位医疗(项):支出决算数为84.13万元，比上年决算增加11.12万元，增长15.23%,主要原因是：本年在职人员工资基数调增，医疗缴费基数上涨，相应支出增加。</w:t>
      </w:r>
    </w:p>
    <w:p w14:paraId="6F3C6194">
      <w:pPr>
        <w:spacing w:line="580" w:lineRule="exact"/>
        <w:ind w:firstLine="640"/>
        <w:jc w:val="both"/>
      </w:pPr>
      <w:r>
        <w:rPr>
          <w:rFonts w:ascii="仿宋_GB2312" w:hAnsi="仿宋_GB2312" w:eastAsia="仿宋_GB2312"/>
          <w:b w:val="0"/>
          <w:sz w:val="32"/>
        </w:rPr>
        <w:t>12.卫生健康支出(类)行政事业单位医疗(款)公务员医疗补助(项):支出决算数为17.12万元，比上年决算增加1.74万元，增长11.31%,主要原因是：本年在职人员工资基数调增，医疗缴费基数上涨，相应支出增加。</w:t>
      </w:r>
    </w:p>
    <w:p w14:paraId="497C1FFE">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13.农林水支出(类)巩固脱贫攻坚成果衔接乡村振兴(款)生产发展(项):支出决算数为46.76万元，比上年决算减少55.21万元，下降54.14%,主要原因是：本年度减少发展新型村集体经济组织项目，导致此项经费减少。</w:t>
      </w:r>
    </w:p>
    <w:p w14:paraId="7517B8F8">
      <w:pPr>
        <w:spacing w:line="580" w:lineRule="exact"/>
        <w:ind w:firstLine="640"/>
        <w:jc w:val="both"/>
      </w:pPr>
      <w:r>
        <w:rPr>
          <w:rFonts w:ascii="仿宋_GB2312" w:hAnsi="仿宋_GB2312" w:eastAsia="仿宋_GB2312"/>
          <w:b w:val="0"/>
          <w:sz w:val="32"/>
        </w:rPr>
        <w:t>14.农林水支出(类)农村综合改革(款)对村级公益事业建设的补助(项):支出决算数为50.00万元，比上年决算增加50.00万元，增长100.00%,主要原因是：本年度新增中央改革转移支付资金项目，导致此项经费增加。</w:t>
      </w:r>
    </w:p>
    <w:p w14:paraId="664F7C7C">
      <w:pPr>
        <w:spacing w:line="580" w:lineRule="exact"/>
        <w:ind w:firstLine="640"/>
        <w:jc w:val="both"/>
      </w:pPr>
      <w:r>
        <w:rPr>
          <w:rFonts w:ascii="仿宋_GB2312" w:hAnsi="仿宋_GB2312" w:eastAsia="仿宋_GB2312"/>
          <w:b w:val="0"/>
          <w:sz w:val="32"/>
        </w:rPr>
        <w:t>15.农林水支出(类)其他农林水支出(款)其他农林水支出(项):支出决算数为69.40万元，比上年决算增加69.40万元，增长100.00%,主要原因是：本年度新增美丽庭院建设项目，导致此项经费增加。</w:t>
      </w:r>
    </w:p>
    <w:p w14:paraId="1B600CFB">
      <w:pPr>
        <w:spacing w:line="580" w:lineRule="exact"/>
        <w:ind w:firstLine="640"/>
        <w:jc w:val="both"/>
      </w:pPr>
      <w:r>
        <w:rPr>
          <w:rFonts w:ascii="仿宋_GB2312" w:hAnsi="仿宋_GB2312" w:eastAsia="仿宋_GB2312"/>
          <w:b w:val="0"/>
          <w:sz w:val="32"/>
        </w:rPr>
        <w:t>16.住房保障支出(类)住房改革支出(款)住房公积金(项):支出决算数为160.30万元，比上年决算增加22.58万元，增长16.40%,主要原因是：本年在职人员工资基数调增，公积金缴费基数上涨，相应支出增加。</w:t>
      </w:r>
    </w:p>
    <w:p w14:paraId="19597373">
      <w:pPr>
        <w:spacing w:line="580" w:lineRule="exact"/>
        <w:ind w:firstLine="640"/>
        <w:jc w:val="both"/>
      </w:pPr>
      <w:r>
        <w:rPr>
          <w:rFonts w:ascii="仿宋_GB2312" w:hAnsi="仿宋_GB2312" w:eastAsia="仿宋_GB2312"/>
          <w:b w:val="0"/>
          <w:sz w:val="32"/>
        </w:rPr>
        <w:t>17.其他支出(类)其他支出(款)其他支出(项):支出决算数为14.61万元，比上年决算减少88.62万元，下降85.85%,主要原因是：本年度减少2023年村级组织活动场所建设项目、2021年乡镇干部周转房宿舍建设项目资金，导致此项经费减少。</w:t>
      </w:r>
    </w:p>
    <w:p w14:paraId="55FF4678">
      <w:pPr>
        <w:spacing w:line="640" w:lineRule="exact"/>
        <w:ind w:firstLine="640"/>
        <w:jc w:val="both"/>
        <w:outlineLvl w:val="2"/>
      </w:pPr>
      <w:r>
        <w:rPr>
          <w:rFonts w:ascii="黑体" w:hAnsi="黑体" w:eastAsia="黑体"/>
          <w:sz w:val="32"/>
        </w:rPr>
        <w:t>六、一般公共预算财政拨款基本支出决算情况说明</w:t>
      </w:r>
    </w:p>
    <w:p w14:paraId="14975AD6">
      <w:pPr>
        <w:spacing w:line="580" w:lineRule="exact"/>
        <w:ind w:firstLine="640"/>
        <w:jc w:val="both"/>
      </w:pPr>
      <w:r>
        <w:rPr>
          <w:rFonts w:ascii="仿宋_GB2312" w:hAnsi="仿宋_GB2312" w:eastAsia="仿宋_GB2312"/>
          <w:b w:val="0"/>
          <w:sz w:val="32"/>
        </w:rPr>
        <w:t>2024年度一般公共预算财政拨款基本支出2,284.09万元，其中：</w:t>
      </w:r>
      <w:r>
        <w:rPr>
          <w:rFonts w:ascii="仿宋_GB2312" w:hAnsi="仿宋_GB2312" w:eastAsia="仿宋_GB2312"/>
          <w:b/>
          <w:sz w:val="32"/>
        </w:rPr>
        <w:t>人员经费2,060.20万元，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29D84395">
      <w:pPr>
        <w:spacing w:line="580" w:lineRule="exact"/>
        <w:ind w:firstLine="640"/>
        <w:jc w:val="both"/>
      </w:pPr>
      <w:r>
        <w:rPr>
          <w:rFonts w:ascii="仿宋_GB2312" w:hAnsi="仿宋_GB2312" w:eastAsia="仿宋_GB2312"/>
          <w:b/>
          <w:sz w:val="32"/>
        </w:rPr>
        <w:t>公用经费223.89万元，</w:t>
      </w:r>
      <w:r>
        <w:rPr>
          <w:rFonts w:ascii="仿宋_GB2312" w:hAnsi="仿宋_GB2312" w:eastAsia="仿宋_GB2312"/>
          <w:b w:val="0"/>
          <w:sz w:val="32"/>
        </w:rPr>
        <w:t>包括：办公费、印刷费、水费、电费、邮电费、取暖费、维修（护）费、劳务费、委托业务费、公务用车运行维护费、其他交通费用、办公设备购置。</w:t>
      </w:r>
    </w:p>
    <w:p w14:paraId="21523F05">
      <w:pPr>
        <w:spacing w:line="640" w:lineRule="exact"/>
        <w:ind w:firstLine="640"/>
        <w:jc w:val="both"/>
        <w:outlineLvl w:val="2"/>
      </w:pPr>
      <w:r>
        <w:rPr>
          <w:rFonts w:ascii="黑体" w:hAnsi="黑体" w:eastAsia="黑体"/>
          <w:sz w:val="32"/>
        </w:rPr>
        <w:t>七、政府性基金预算财政拨款收入支出决算情况说明</w:t>
      </w:r>
    </w:p>
    <w:p w14:paraId="114EB2D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2E26CD">
      <w:pPr>
        <w:spacing w:line="640" w:lineRule="exact"/>
        <w:ind w:firstLine="640"/>
        <w:jc w:val="both"/>
        <w:outlineLvl w:val="2"/>
      </w:pPr>
      <w:r>
        <w:rPr>
          <w:rFonts w:ascii="黑体" w:hAnsi="黑体" w:eastAsia="黑体"/>
          <w:sz w:val="32"/>
        </w:rPr>
        <w:t>八、国有资本经营预算财政拨款收入支出决算情况说明</w:t>
      </w:r>
    </w:p>
    <w:p w14:paraId="685242A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74707E">
      <w:pPr>
        <w:spacing w:line="640" w:lineRule="exact"/>
        <w:ind w:firstLine="640"/>
        <w:jc w:val="both"/>
        <w:outlineLvl w:val="2"/>
      </w:pPr>
      <w:r>
        <w:rPr>
          <w:rFonts w:ascii="黑体" w:hAnsi="黑体" w:eastAsia="黑体"/>
          <w:sz w:val="32"/>
        </w:rPr>
        <w:t>九、财政拨款“三公”经费支出决算情况说明</w:t>
      </w:r>
    </w:p>
    <w:p w14:paraId="12B75622">
      <w:pPr>
        <w:spacing w:line="580" w:lineRule="exact"/>
        <w:ind w:firstLine="640"/>
        <w:jc w:val="both"/>
      </w:pPr>
      <w:r>
        <w:rPr>
          <w:rFonts w:ascii="仿宋_GB2312" w:hAnsi="仿宋_GB2312" w:eastAsia="仿宋_GB2312"/>
          <w:b/>
          <w:sz w:val="32"/>
        </w:rPr>
        <w:t>2024年度财政拨款“三公”经费支出14.28万元，</w:t>
      </w:r>
      <w:r>
        <w:rPr>
          <w:rFonts w:ascii="仿宋_GB2312" w:hAnsi="仿宋_GB2312" w:eastAsia="仿宋_GB2312"/>
          <w:b w:val="0"/>
          <w:sz w:val="32"/>
        </w:rPr>
        <w:t>比上年增加2.08万元，增长17.05%，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14.28万元，占100.00%，比上年增加2.08万元，增长17.05%，主要原因是：本年因业务需求，用车次数增加，燃油费增加，导致公务用车运行维护费较上年增加。公务接待费支出0.00万元，占0.00%，比上年增加0.00万元，增长0.00%，主要原因是：2023年与2024年均未安排公务接待费支出。</w:t>
      </w:r>
    </w:p>
    <w:p w14:paraId="5EB5D311">
      <w:pPr>
        <w:spacing w:line="580" w:lineRule="exact"/>
        <w:ind w:firstLine="640"/>
        <w:jc w:val="both"/>
      </w:pPr>
      <w:r>
        <w:rPr>
          <w:rFonts w:ascii="仿宋_GB2312" w:hAnsi="仿宋_GB2312" w:eastAsia="仿宋_GB2312"/>
          <w:b/>
          <w:sz w:val="32"/>
        </w:rPr>
        <w:t>具体情况如下：</w:t>
      </w:r>
    </w:p>
    <w:p w14:paraId="68AD17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3AE3E0">
      <w:pPr>
        <w:spacing w:line="580" w:lineRule="exact"/>
        <w:ind w:firstLine="640"/>
        <w:jc w:val="both"/>
      </w:pPr>
      <w:r>
        <w:rPr>
          <w:rFonts w:ascii="仿宋_GB2312" w:hAnsi="仿宋_GB2312" w:eastAsia="仿宋_GB2312"/>
          <w:b w:val="0"/>
          <w:sz w:val="32"/>
        </w:rPr>
        <w:t>公务用车购置及运行维护费14.28万元，其中：公务用车购置费0.00万元，公务用车运行维护费14.28万元。公务用车运行维护费开支内容包括车辆加油费、维修费、保险费、审车费。公务用车购置数0辆，公务用车保有量11辆。国有资产占用情况中固定资产车辆11辆，与公务用车保有量差异原因是：本单位固定资产车辆与公务用车保有量一致无差异。</w:t>
      </w:r>
    </w:p>
    <w:p w14:paraId="54F937B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7CDE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14.28万元，决算数14.28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14.28万元，决算数14.28万元，预决算差异率0.00%，主要原因是：严格按照预算执行，预决算无差异。公务接待费全年预算数0.00万元，决算数0.00万元，预决算差异率0.00%，主要原因是：本单位无公务接待费。</w:t>
      </w:r>
    </w:p>
    <w:p w14:paraId="43607C84">
      <w:pPr>
        <w:spacing w:line="640" w:lineRule="exact"/>
        <w:ind w:firstLine="640"/>
        <w:jc w:val="both"/>
        <w:outlineLvl w:val="2"/>
      </w:pPr>
      <w:r>
        <w:rPr>
          <w:rFonts w:ascii="黑体" w:hAnsi="黑体" w:eastAsia="黑体"/>
          <w:sz w:val="32"/>
        </w:rPr>
        <w:t>十、其他重要事项的情况说明</w:t>
      </w:r>
    </w:p>
    <w:p w14:paraId="0508C4DF">
      <w:pPr>
        <w:spacing w:line="640" w:lineRule="exact"/>
        <w:ind w:firstLine="640"/>
        <w:jc w:val="both"/>
        <w:outlineLvl w:val="3"/>
      </w:pPr>
      <w:r>
        <w:rPr>
          <w:rFonts w:ascii="楷体_GB2312" w:hAnsi="楷体_GB2312" w:eastAsia="楷体_GB2312"/>
          <w:b/>
          <w:sz w:val="32"/>
        </w:rPr>
        <w:t>（一）机关运行经费及公用经费支出情况</w:t>
      </w:r>
    </w:p>
    <w:p w14:paraId="4C3DFFE5">
      <w:pPr>
        <w:spacing w:line="580" w:lineRule="exact"/>
        <w:ind w:firstLine="640"/>
        <w:jc w:val="both"/>
      </w:pPr>
      <w:r>
        <w:rPr>
          <w:rFonts w:ascii="仿宋_GB2312" w:hAnsi="仿宋_GB2312" w:eastAsia="仿宋_GB2312"/>
          <w:b w:val="0"/>
          <w:sz w:val="32"/>
        </w:rPr>
        <w:t>2024年度麦盖提县吐曼塔勒乡人民政府（行政单位和参照公务员法管理事业单位）机关运行经费支出223.89万元，比上年增加35.16万元，增长18.63%，主要原因是：本年度增加劳务费、维修（护）费支出，导致机关运行经费增加。</w:t>
      </w:r>
    </w:p>
    <w:p w14:paraId="7C3F8E40">
      <w:pPr>
        <w:spacing w:line="640" w:lineRule="exact"/>
        <w:ind w:firstLine="640"/>
        <w:jc w:val="both"/>
        <w:outlineLvl w:val="3"/>
      </w:pPr>
      <w:r>
        <w:rPr>
          <w:rFonts w:ascii="楷体_GB2312" w:hAnsi="楷体_GB2312" w:eastAsia="楷体_GB2312"/>
          <w:b/>
          <w:sz w:val="32"/>
        </w:rPr>
        <w:t>（二）政府采购情况</w:t>
      </w:r>
    </w:p>
    <w:p w14:paraId="66CE424E">
      <w:pPr>
        <w:spacing w:line="580" w:lineRule="exact"/>
        <w:ind w:firstLine="640"/>
        <w:jc w:val="both"/>
      </w:pPr>
      <w:r>
        <w:rPr>
          <w:rFonts w:ascii="仿宋_GB2312" w:hAnsi="仿宋_GB2312" w:eastAsia="仿宋_GB2312"/>
          <w:b w:val="0"/>
          <w:sz w:val="32"/>
        </w:rPr>
        <w:t>2024年度政府采购支出总额11.67万元，其中：政府采购货物支出6.46万元、政府采购工程支出0.00万元、政府采购服务支出5.21万元。</w:t>
      </w:r>
    </w:p>
    <w:p w14:paraId="12BE183C">
      <w:pPr>
        <w:spacing w:line="580" w:lineRule="exact"/>
        <w:ind w:firstLine="640"/>
        <w:jc w:val="both"/>
      </w:pPr>
      <w:r>
        <w:rPr>
          <w:rFonts w:ascii="仿宋_GB2312" w:hAnsi="仿宋_GB2312" w:eastAsia="仿宋_GB2312"/>
          <w:b w:val="0"/>
          <w:sz w:val="32"/>
        </w:rPr>
        <w:t>授予中小企业合同金额8.14万元，占政府采购支出总额的69.75%，其中：授予小微企业合同金额8.14万元，占政府采购支出总额的69.75%。</w:t>
      </w:r>
    </w:p>
    <w:p w14:paraId="36556FC5">
      <w:pPr>
        <w:spacing w:line="640" w:lineRule="exact"/>
        <w:ind w:firstLine="640"/>
        <w:jc w:val="both"/>
        <w:outlineLvl w:val="3"/>
      </w:pPr>
      <w:r>
        <w:rPr>
          <w:rFonts w:ascii="楷体_GB2312" w:hAnsi="楷体_GB2312" w:eastAsia="楷体_GB2312"/>
          <w:b/>
          <w:sz w:val="32"/>
        </w:rPr>
        <w:t>（三）国有资产占用情况说明</w:t>
      </w:r>
    </w:p>
    <w:p w14:paraId="7D658B7A">
      <w:pPr>
        <w:spacing w:line="580" w:lineRule="exact"/>
        <w:ind w:firstLine="640"/>
        <w:jc w:val="both"/>
      </w:pPr>
      <w:r>
        <w:rPr>
          <w:rFonts w:ascii="仿宋_GB2312" w:hAnsi="仿宋_GB2312" w:eastAsia="仿宋_GB2312"/>
          <w:b w:val="0"/>
          <w:sz w:val="32"/>
        </w:rPr>
        <w:t>截至2024年12月31日，房屋30,228.96平方米，价值2,874.96万元。车辆11辆，价值110.98万元，其中：副部（省）级及以上领导用车0辆、主要负责人用车0辆、机要通信用车0辆、应急保障用车0辆、执法执勤用车0辆、特种专业技术用车0辆、离退休干部服务用车0辆、其他用车11辆，其他用车主要是：公务用车6辆，巡逻车4辆，洒水车1辆。单价100万元（含）以上设备（不含车辆）1台（套）。</w:t>
      </w:r>
    </w:p>
    <w:p w14:paraId="5D8480CD">
      <w:pPr>
        <w:spacing w:line="640" w:lineRule="exact"/>
        <w:ind w:firstLine="640"/>
        <w:jc w:val="both"/>
        <w:outlineLvl w:val="2"/>
      </w:pPr>
      <w:r>
        <w:rPr>
          <w:rFonts w:ascii="黑体" w:hAnsi="黑体" w:eastAsia="黑体"/>
          <w:sz w:val="32"/>
        </w:rPr>
        <w:t>十一、预算绩效的情况说明</w:t>
      </w:r>
    </w:p>
    <w:p w14:paraId="0887A2E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2,668.75万元，实际执行总额2,642.07万元；预算绩效评价项目4个，全年预算数250.94万元，全年执行数250.94万元。预算绩效管理取得的成效：一是国有企业退休人员社会化管理中央财政补助资金项目的实施有效保障退休人员法定权益和服务需求，整合服务资源，提高服务水平，确保退休人员享受全面建成小康社会新成果：二是提升基础服务，完善了</w:t>
      </w:r>
      <w:r>
        <w:rPr>
          <w:rFonts w:hint="eastAsia" w:ascii="仿宋_GB2312" w:hAnsi="仿宋_GB2312" w:eastAsia="仿宋_GB2312"/>
          <w:b w:val="0"/>
          <w:sz w:val="32"/>
          <w:lang w:val="en-US" w:eastAsia="zh-CN"/>
        </w:rPr>
        <w:t>乡级</w:t>
      </w:r>
      <w:r>
        <w:rPr>
          <w:rFonts w:ascii="仿宋_GB2312" w:hAnsi="仿宋_GB2312" w:eastAsia="仿宋_GB2312"/>
          <w:b w:val="0"/>
          <w:sz w:val="32"/>
        </w:rPr>
        <w:t>办公议事，党员活动、教育培训、便民服务、文体娱乐</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振兴经济</w:t>
      </w:r>
      <w:r>
        <w:rPr>
          <w:rFonts w:ascii="仿宋_GB2312" w:hAnsi="仿宋_GB2312" w:eastAsia="仿宋_GB2312"/>
          <w:b w:val="0"/>
          <w:sz w:val="32"/>
        </w:rPr>
        <w:t>等综合功能，夯实基层党建根基；三是吐曼塔勒乡公共服务改造项目的实施有效提升了社会公众服务能力，保障了单位日常工作正常开展。发现的问题及原因：一是预算绩效观念不深入。我单位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我单位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我单位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技能培训。我单位希望邀请县财政局，针对预算资金绩效管理和相关法律法规开展培训，学习预算绩效管理的法律法规、规范要求，让绩效理念深入人心、让绩效管理人员熟知政策、知行合一。具体附整体支出绩效自评表，项目支出绩效自评表和评价报告。</w:t>
      </w:r>
    </w:p>
    <w:p w14:paraId="4FE62BE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2A4448">
        <w:tblPrEx>
          <w:tblCellMar>
            <w:top w:w="0" w:type="dxa"/>
            <w:left w:w="108" w:type="dxa"/>
            <w:bottom w:w="0" w:type="dxa"/>
            <w:right w:w="108" w:type="dxa"/>
          </w:tblCellMar>
        </w:tblPrEx>
        <w:tc>
          <w:tcPr>
            <w:tcW w:w="8847" w:type="dxa"/>
            <w:gridSpan w:val="9"/>
            <w:vAlign w:val="center"/>
          </w:tcPr>
          <w:p w14:paraId="316946E4">
            <w:pPr>
              <w:jc w:val="center"/>
            </w:pPr>
            <w:r>
              <w:rPr>
                <w:rFonts w:ascii="宋体" w:hAnsi="宋体" w:eastAsia="宋体"/>
                <w:sz w:val="24"/>
              </w:rPr>
              <w:t>单位整体支出绩效自评表</w:t>
            </w:r>
          </w:p>
        </w:tc>
      </w:tr>
      <w:tr w14:paraId="42740150">
        <w:tblPrEx>
          <w:tblCellMar>
            <w:top w:w="0" w:type="dxa"/>
            <w:left w:w="108" w:type="dxa"/>
            <w:bottom w:w="0" w:type="dxa"/>
            <w:right w:w="108" w:type="dxa"/>
          </w:tblCellMar>
        </w:tblPrEx>
        <w:tc>
          <w:tcPr>
            <w:tcW w:w="8847" w:type="dxa"/>
            <w:gridSpan w:val="9"/>
            <w:vAlign w:val="center"/>
          </w:tcPr>
          <w:p w14:paraId="2FFD5E15">
            <w:pPr>
              <w:jc w:val="center"/>
            </w:pPr>
            <w:r>
              <w:rPr>
                <w:rFonts w:ascii="宋体" w:hAnsi="宋体" w:eastAsia="宋体"/>
                <w:sz w:val="24"/>
              </w:rPr>
              <w:t>（2024年度）</w:t>
            </w:r>
          </w:p>
        </w:tc>
      </w:tr>
      <w:tr w14:paraId="479DA0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BF2A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45F830">
            <w:pPr>
              <w:jc w:val="center"/>
            </w:pPr>
            <w:r>
              <w:rPr>
                <w:rFonts w:ascii="宋体" w:hAnsi="宋体" w:eastAsia="宋体"/>
                <w:sz w:val="16"/>
              </w:rPr>
              <w:t>麦盖提县吐曼塔勒乡人民政府</w:t>
            </w:r>
          </w:p>
        </w:tc>
      </w:tr>
      <w:tr w14:paraId="0908BD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B1B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CEE7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44B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7032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B87E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5F55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4A7F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5CC46">
            <w:pPr>
              <w:jc w:val="center"/>
            </w:pPr>
            <w:r>
              <w:rPr>
                <w:rFonts w:ascii="宋体" w:hAnsi="宋体" w:eastAsia="宋体"/>
                <w:sz w:val="16"/>
              </w:rPr>
              <w:t>得分</w:t>
            </w:r>
          </w:p>
        </w:tc>
      </w:tr>
      <w:tr w14:paraId="6C25FF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71E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0F1A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0AB1D">
            <w:pPr>
              <w:jc w:val="center"/>
            </w:pPr>
            <w:r>
              <w:rPr>
                <w:rFonts w:ascii="宋体" w:hAnsi="宋体" w:eastAsia="宋体"/>
                <w:sz w:val="16"/>
              </w:rPr>
              <w:t>2,356.71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87BE3">
            <w:pPr>
              <w:jc w:val="center"/>
            </w:pPr>
            <w:r>
              <w:rPr>
                <w:rFonts w:ascii="宋体" w:hAnsi="宋体" w:eastAsia="宋体"/>
                <w:sz w:val="16"/>
              </w:rPr>
              <w:t>2,668.75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47495">
            <w:pPr>
              <w:jc w:val="center"/>
            </w:pPr>
            <w:r>
              <w:rPr>
                <w:rFonts w:ascii="宋体" w:hAnsi="宋体" w:eastAsia="宋体"/>
                <w:sz w:val="16"/>
              </w:rPr>
              <w:t>2,642.07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E96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A311">
            <w:pPr>
              <w:jc w:val="center"/>
            </w:pPr>
            <w:r>
              <w:rPr>
                <w:rFonts w:ascii="宋体" w:hAnsi="宋体" w:eastAsia="宋体"/>
                <w:sz w:val="16"/>
              </w:rPr>
              <w:t>99.00%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697F">
            <w:pPr>
              <w:jc w:val="center"/>
            </w:pPr>
            <w:r>
              <w:rPr>
                <w:rFonts w:ascii="宋体" w:hAnsi="宋体" w:eastAsia="宋体"/>
                <w:sz w:val="16"/>
              </w:rPr>
              <w:t>9.9</w:t>
            </w:r>
          </w:p>
        </w:tc>
      </w:tr>
      <w:tr w14:paraId="4CF186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F8D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FC17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AF7CB">
            <w:pPr>
              <w:jc w:val="center"/>
            </w:pPr>
            <w:r>
              <w:rPr>
                <w:rFonts w:ascii="宋体" w:hAnsi="宋体" w:eastAsia="宋体"/>
                <w:sz w:val="16"/>
              </w:rPr>
              <w:t>71.00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16951">
            <w:pPr>
              <w:jc w:val="center"/>
            </w:pPr>
            <w:r>
              <w:rPr>
                <w:rFonts w:ascii="宋体" w:hAnsi="宋体" w:eastAsia="宋体"/>
                <w:sz w:val="16"/>
              </w:rPr>
              <w:t>676.67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92E68">
            <w:pPr>
              <w:jc w:val="center"/>
            </w:pPr>
            <w:r>
              <w:rPr>
                <w:rFonts w:ascii="宋体" w:hAnsi="宋体" w:eastAsia="宋体"/>
                <w:sz w:val="16"/>
              </w:rPr>
              <w:t>676.67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829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08B6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E5C58">
            <w:pPr>
              <w:jc w:val="center"/>
            </w:pPr>
            <w:r>
              <w:rPr>
                <w:rFonts w:ascii="宋体" w:hAnsi="宋体" w:eastAsia="宋体"/>
                <w:sz w:val="16"/>
              </w:rPr>
              <w:t>—</w:t>
            </w:r>
          </w:p>
        </w:tc>
      </w:tr>
      <w:tr w14:paraId="1EBF75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951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5297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604D6">
            <w:pPr>
              <w:jc w:val="center"/>
            </w:pPr>
            <w:r>
              <w:rPr>
                <w:rFonts w:ascii="宋体" w:hAnsi="宋体" w:eastAsia="宋体"/>
                <w:sz w:val="16"/>
              </w:rPr>
              <w:t>2,285.71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8677E">
            <w:pPr>
              <w:jc w:val="center"/>
            </w:pPr>
            <w:r>
              <w:rPr>
                <w:rFonts w:ascii="宋体" w:hAnsi="宋体" w:eastAsia="宋体"/>
                <w:sz w:val="16"/>
              </w:rPr>
              <w:t>1,964.18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84D6D">
            <w:pPr>
              <w:jc w:val="center"/>
            </w:pPr>
            <w:r>
              <w:rPr>
                <w:rFonts w:ascii="宋体" w:hAnsi="宋体" w:eastAsia="宋体"/>
                <w:sz w:val="16"/>
              </w:rPr>
              <w:t>1,937.50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A92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6F88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77CC0">
            <w:pPr>
              <w:jc w:val="center"/>
            </w:pPr>
            <w:r>
              <w:rPr>
                <w:rFonts w:ascii="宋体" w:hAnsi="宋体" w:eastAsia="宋体"/>
                <w:sz w:val="16"/>
              </w:rPr>
              <w:t>—</w:t>
            </w:r>
          </w:p>
        </w:tc>
      </w:tr>
      <w:tr w14:paraId="7B5E54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D2F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1408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113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31123">
            <w:pPr>
              <w:jc w:val="center"/>
            </w:pPr>
            <w:r>
              <w:rPr>
                <w:rFonts w:ascii="宋体" w:hAnsi="宋体" w:eastAsia="宋体"/>
                <w:sz w:val="16"/>
              </w:rPr>
              <w:t>27.90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5AD6">
            <w:pPr>
              <w:jc w:val="center"/>
            </w:pPr>
            <w:r>
              <w:rPr>
                <w:rFonts w:ascii="宋体" w:hAnsi="宋体" w:eastAsia="宋体"/>
                <w:sz w:val="16"/>
              </w:rPr>
              <w:t>27.90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45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B84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7100">
            <w:pPr>
              <w:jc w:val="center"/>
            </w:pPr>
            <w:r>
              <w:rPr>
                <w:rFonts w:ascii="宋体" w:hAnsi="宋体" w:eastAsia="宋体"/>
                <w:sz w:val="16"/>
              </w:rPr>
              <w:t>—</w:t>
            </w:r>
          </w:p>
        </w:tc>
      </w:tr>
      <w:tr w14:paraId="5E6260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9092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F5317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248999">
            <w:pPr>
              <w:jc w:val="center"/>
              <w:rPr>
                <w:rFonts w:hint="eastAsia" w:eastAsia="宋体"/>
                <w:lang w:eastAsia="zh-CN"/>
              </w:rPr>
            </w:pPr>
            <w:r>
              <w:rPr>
                <w:rFonts w:hint="eastAsia" w:ascii="宋体" w:hAnsi="宋体"/>
                <w:sz w:val="16"/>
                <w:lang w:eastAsia="zh-CN"/>
              </w:rPr>
              <w:t>实际完成情况</w:t>
            </w:r>
          </w:p>
        </w:tc>
      </w:tr>
      <w:tr w14:paraId="446B7B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3648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2DF5D5">
            <w:pPr>
              <w:jc w:val="both"/>
            </w:pPr>
            <w:r>
              <w:rPr>
                <w:rFonts w:hint="eastAsia" w:ascii="宋体" w:hAnsi="宋体"/>
                <w:sz w:val="16"/>
                <w:lang w:eastAsia="zh-CN"/>
              </w:rPr>
              <w:t>1.</w:t>
            </w:r>
            <w:r>
              <w:rPr>
                <w:rFonts w:ascii="宋体" w:hAnsi="宋体" w:eastAsia="宋体"/>
                <w:sz w:val="16"/>
              </w:rPr>
              <w:t>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E34043">
            <w:pPr>
              <w:jc w:val="both"/>
            </w:pPr>
            <w:r>
              <w:rPr>
                <w:rFonts w:ascii="宋体" w:hAnsi="宋体" w:eastAsia="宋体"/>
                <w:sz w:val="16"/>
              </w:rPr>
              <w:t>截至绩效自评日，我单位已完成以下工作: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管理本乡内的经济、教育、科技、文化、卫生、体育事业和财政、民政、治安、人民调解、安全生产监督管理等行政工作；推动乡镇的全面发展和社会进步，因此，乡镇应积极开展形式多样的宣传教育活动，本年度已开展宣传教育活动次数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2.提高全民的收入水平，减少社会贫困和不平等现象，本年度劳动力就业率达100%，促进了我县经济发展；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、民主权利和其他权利；牢固树立“群众之事无小事”理念，本年度群众困难诉求解决完成率达100%，做到了权为民所用、情为民所系、利为民所谋，提高了群众的满意度、好评度；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4.提前发现并识别存在返贫致贫风险的人口，采取针对性的帮扶措施，本年度防返贫监测覆盖率达100%，防止了脱贫人口返贫、边缘人口致贫；</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w:t>
            </w:r>
            <w:r>
              <w:rPr>
                <w:rFonts w:hint="eastAsia" w:ascii="宋体" w:hAnsi="宋体"/>
                <w:sz w:val="16"/>
                <w:lang w:eastAsia="zh-CN"/>
              </w:rPr>
              <w:t>党中央决策部署</w:t>
            </w:r>
            <w:r>
              <w:rPr>
                <w:rFonts w:ascii="宋体" w:hAnsi="宋体" w:eastAsia="宋体"/>
                <w:sz w:val="16"/>
              </w:rPr>
              <w:t>和会议中多次强调，要实施最严格的耕地保护制度，国家对耕地实行特殊保护，严守耕地保护红线，保持耕地总量不减少，本年度耕地保护覆盖率达100%，确保了耕地占补平衡。</w:t>
            </w:r>
          </w:p>
        </w:tc>
      </w:tr>
      <w:tr w14:paraId="4E8D76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5188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35C9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7ECB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D55B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69C6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8D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6920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EA46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7C96F">
            <w:pPr>
              <w:jc w:val="center"/>
            </w:pPr>
            <w:r>
              <w:rPr>
                <w:rFonts w:ascii="宋体" w:hAnsi="宋体" w:eastAsia="宋体"/>
                <w:sz w:val="16"/>
              </w:rPr>
              <w:t>得分</w:t>
            </w:r>
          </w:p>
        </w:tc>
      </w:tr>
      <w:tr w14:paraId="49076F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DCEB0">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6E24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3F82E">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4BF5B">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6A3F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3BF5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4AB49">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E40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338E4">
            <w:pPr>
              <w:jc w:val="center"/>
            </w:pPr>
            <w:r>
              <w:rPr>
                <w:rFonts w:ascii="宋体" w:hAnsi="宋体" w:eastAsia="宋体"/>
                <w:sz w:val="16"/>
              </w:rPr>
              <w:t>18</w:t>
            </w:r>
          </w:p>
        </w:tc>
      </w:tr>
      <w:tr w14:paraId="5C5EFB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6A89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A819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84343">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E37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49879">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8E5B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F8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12B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3721C">
            <w:pPr>
              <w:jc w:val="center"/>
            </w:pPr>
            <w:r>
              <w:rPr>
                <w:rFonts w:ascii="宋体" w:hAnsi="宋体" w:eastAsia="宋体"/>
                <w:sz w:val="16"/>
              </w:rPr>
              <w:t>18</w:t>
            </w:r>
          </w:p>
        </w:tc>
      </w:tr>
      <w:tr w14:paraId="4EF34D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302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9EE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6949C">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8E0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B4F1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03B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985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36A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658A1">
            <w:pPr>
              <w:jc w:val="center"/>
            </w:pPr>
            <w:r>
              <w:rPr>
                <w:rFonts w:ascii="宋体" w:hAnsi="宋体" w:eastAsia="宋体"/>
                <w:sz w:val="16"/>
              </w:rPr>
              <w:t>18</w:t>
            </w:r>
          </w:p>
        </w:tc>
      </w:tr>
      <w:tr w14:paraId="742D9A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4BD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615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1A3B6">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65D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803E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F941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7CD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E04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EEFB3">
            <w:pPr>
              <w:jc w:val="center"/>
            </w:pPr>
            <w:r>
              <w:rPr>
                <w:rFonts w:ascii="宋体" w:hAnsi="宋体" w:eastAsia="宋体"/>
                <w:sz w:val="16"/>
              </w:rPr>
              <w:t>18</w:t>
            </w:r>
          </w:p>
        </w:tc>
      </w:tr>
      <w:tr w14:paraId="7644BD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B4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C9E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390AC">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E9A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ADA5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4246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F14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B64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FA40">
            <w:pPr>
              <w:jc w:val="center"/>
            </w:pPr>
            <w:r>
              <w:rPr>
                <w:rFonts w:ascii="宋体" w:hAnsi="宋体" w:eastAsia="宋体"/>
                <w:sz w:val="16"/>
              </w:rPr>
              <w:t>18</w:t>
            </w:r>
          </w:p>
        </w:tc>
      </w:tr>
    </w:tbl>
    <w:p w14:paraId="4C975E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63B78BD">
        <w:tblPrEx>
          <w:tblCellMar>
            <w:top w:w="0" w:type="dxa"/>
            <w:left w:w="108" w:type="dxa"/>
            <w:bottom w:w="0" w:type="dxa"/>
            <w:right w:w="108" w:type="dxa"/>
          </w:tblCellMar>
        </w:tblPrEx>
        <w:tc>
          <w:tcPr>
            <w:tcW w:w="8848" w:type="dxa"/>
            <w:gridSpan w:val="14"/>
            <w:vAlign w:val="center"/>
          </w:tcPr>
          <w:p w14:paraId="6D36AFB0">
            <w:pPr>
              <w:jc w:val="center"/>
            </w:pPr>
            <w:r>
              <w:rPr>
                <w:rFonts w:ascii="宋体" w:hAnsi="宋体" w:eastAsia="宋体"/>
                <w:sz w:val="24"/>
              </w:rPr>
              <w:t>项目支出绩效自评表</w:t>
            </w:r>
          </w:p>
        </w:tc>
      </w:tr>
      <w:tr w14:paraId="6117FDC9">
        <w:tblPrEx>
          <w:tblCellMar>
            <w:top w:w="0" w:type="dxa"/>
            <w:left w:w="108" w:type="dxa"/>
            <w:bottom w:w="0" w:type="dxa"/>
            <w:right w:w="108" w:type="dxa"/>
          </w:tblCellMar>
        </w:tblPrEx>
        <w:tc>
          <w:tcPr>
            <w:tcW w:w="8848" w:type="dxa"/>
            <w:gridSpan w:val="14"/>
            <w:vAlign w:val="center"/>
          </w:tcPr>
          <w:p w14:paraId="714BFA29">
            <w:pPr>
              <w:jc w:val="center"/>
            </w:pPr>
            <w:r>
              <w:rPr>
                <w:rFonts w:ascii="宋体" w:hAnsi="宋体" w:eastAsia="宋体"/>
                <w:sz w:val="24"/>
              </w:rPr>
              <w:t>(2024年度)</w:t>
            </w:r>
          </w:p>
        </w:tc>
      </w:tr>
      <w:tr w14:paraId="582853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EB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46C16C">
            <w:pPr>
              <w:jc w:val="center"/>
            </w:pPr>
            <w:r>
              <w:rPr>
                <w:rFonts w:ascii="宋体" w:hAnsi="宋体" w:eastAsia="宋体"/>
                <w:sz w:val="16"/>
              </w:rPr>
              <w:t>2023年度吐曼塔勒乡乡村振兴帮扶项目（中国石油天然气股份有限公司新疆油田分公司捐赠资金）</w:t>
            </w:r>
          </w:p>
        </w:tc>
      </w:tr>
      <w:tr w14:paraId="3C3430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15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C561F">
            <w:pPr>
              <w:jc w:val="center"/>
            </w:pPr>
            <w:r>
              <w:rPr>
                <w:rFonts w:ascii="宋体" w:hAnsi="宋体" w:eastAsia="宋体"/>
                <w:sz w:val="16"/>
              </w:rPr>
              <w:t>麦盖提县吐曼塔勒乡人民政府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0C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708E19">
            <w:pPr>
              <w:jc w:val="center"/>
            </w:pPr>
            <w:r>
              <w:rPr>
                <w:rFonts w:ascii="宋体" w:hAnsi="宋体" w:eastAsia="宋体"/>
                <w:sz w:val="16"/>
              </w:rPr>
              <w:t>麦盖提县吐曼塔勒乡人民政府</w:t>
            </w:r>
          </w:p>
        </w:tc>
      </w:tr>
      <w:tr w14:paraId="579DC7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EF3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3B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972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6C8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A0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CF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03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8F07">
            <w:pPr>
              <w:jc w:val="center"/>
            </w:pPr>
            <w:r>
              <w:rPr>
                <w:rFonts w:ascii="宋体" w:hAnsi="宋体" w:eastAsia="宋体"/>
                <w:sz w:val="16"/>
              </w:rPr>
              <w:t>得分</w:t>
            </w:r>
          </w:p>
        </w:tc>
      </w:tr>
      <w:tr w14:paraId="73B89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DA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217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6ECFF">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2B07">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47FC2">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9E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CB6F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0A38">
            <w:pPr>
              <w:jc w:val="center"/>
            </w:pPr>
            <w:r>
              <w:rPr>
                <w:rFonts w:ascii="宋体" w:hAnsi="宋体" w:eastAsia="宋体"/>
                <w:sz w:val="16"/>
              </w:rPr>
              <w:t>10.00分</w:t>
            </w:r>
          </w:p>
        </w:tc>
      </w:tr>
      <w:tr w14:paraId="56DFC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B61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0A0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AD7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42B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96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59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85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39AB">
            <w:pPr>
              <w:jc w:val="center"/>
            </w:pPr>
            <w:r>
              <w:rPr>
                <w:rFonts w:ascii="宋体" w:hAnsi="宋体" w:eastAsia="宋体"/>
                <w:sz w:val="16"/>
              </w:rPr>
              <w:t>—</w:t>
            </w:r>
          </w:p>
        </w:tc>
      </w:tr>
      <w:tr w14:paraId="42CE0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B8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0CA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2AF7">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F47C">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3716">
            <w:pPr>
              <w:jc w:val="center"/>
            </w:pPr>
            <w:r>
              <w:rPr>
                <w:rFonts w:ascii="宋体" w:hAnsi="宋体" w:eastAsia="宋体"/>
                <w:sz w:val="16"/>
              </w:rPr>
              <w:t>17.90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17F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B4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E921">
            <w:pPr>
              <w:jc w:val="center"/>
            </w:pPr>
            <w:r>
              <w:rPr>
                <w:rFonts w:ascii="宋体" w:hAnsi="宋体" w:eastAsia="宋体"/>
                <w:sz w:val="16"/>
              </w:rPr>
              <w:t>—</w:t>
            </w:r>
          </w:p>
        </w:tc>
      </w:tr>
      <w:tr w14:paraId="171929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ED0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8F8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37045">
            <w:pPr>
              <w:jc w:val="center"/>
            </w:pPr>
            <w:r>
              <w:rPr>
                <w:rFonts w:ascii="宋体" w:hAnsi="宋体" w:eastAsia="宋体"/>
                <w:sz w:val="16"/>
              </w:rPr>
              <w:t>实际完成情况</w:t>
            </w:r>
          </w:p>
        </w:tc>
      </w:tr>
      <w:tr w14:paraId="4A3B0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E4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13403">
            <w:pPr>
              <w:jc w:val="both"/>
            </w:pPr>
            <w:r>
              <w:rPr>
                <w:rFonts w:ascii="宋体" w:hAnsi="宋体" w:eastAsia="宋体"/>
                <w:sz w:val="16"/>
              </w:rPr>
              <w:t>本项目资金17.9w，主要用于按实地走访村民需求对吐曼塔勒乡，有需求的10村424户村民进行碳晶电热板进行安装。极大地改善了村民采暖条件，进一步</w:t>
            </w:r>
            <w:r>
              <w:rPr>
                <w:rFonts w:hint="eastAsia" w:ascii="宋体" w:hAnsi="宋体"/>
                <w:sz w:val="16"/>
                <w:lang w:eastAsia="zh-CN"/>
              </w:rPr>
              <w:t>地</w:t>
            </w:r>
            <w:r>
              <w:rPr>
                <w:rFonts w:ascii="宋体" w:hAnsi="宋体" w:eastAsia="宋体"/>
                <w:sz w:val="16"/>
              </w:rPr>
              <w:t>提升了人民的生活质量，促进了当地经济社会发展使乡村生态环境更加美好。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50899">
            <w:pPr>
              <w:jc w:val="both"/>
            </w:pPr>
            <w:r>
              <w:rPr>
                <w:rFonts w:ascii="宋体" w:hAnsi="宋体" w:eastAsia="宋体"/>
                <w:sz w:val="16"/>
              </w:rPr>
              <w:t>截至自评节点本项目已完成支付17.9万元；已完成按实地走访村民需求对吐曼塔勒乡，有需求的10村424户村民进行碳晶电热板进行安装。通过项目的实施极大地改善了村民采暖条件，进一步</w:t>
            </w:r>
            <w:r>
              <w:rPr>
                <w:rFonts w:hint="eastAsia" w:ascii="宋体" w:hAnsi="宋体"/>
                <w:sz w:val="16"/>
                <w:lang w:eastAsia="zh-CN"/>
              </w:rPr>
              <w:t>地</w:t>
            </w:r>
            <w:r>
              <w:rPr>
                <w:rFonts w:ascii="宋体" w:hAnsi="宋体" w:eastAsia="宋体"/>
                <w:sz w:val="16"/>
              </w:rPr>
              <w:t>提升了人民的生活质量，促进了当地经济社会发展使乡村生态环境更加美好。</w:t>
            </w:r>
          </w:p>
        </w:tc>
      </w:tr>
      <w:tr w14:paraId="5BA984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FCE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82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D6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06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83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DD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19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F2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B2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E7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B7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1A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BED7">
            <w:pPr>
              <w:jc w:val="center"/>
            </w:pPr>
            <w:r>
              <w:rPr>
                <w:rFonts w:ascii="宋体" w:hAnsi="宋体" w:eastAsia="宋体"/>
                <w:sz w:val="16"/>
              </w:rPr>
              <w:t>偏差原因分析及改进措施</w:t>
            </w:r>
          </w:p>
        </w:tc>
      </w:tr>
      <w:tr w14:paraId="3E6C3D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6EF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6E4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C2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AB93">
            <w:pPr>
              <w:jc w:val="center"/>
            </w:pPr>
            <w:r>
              <w:rPr>
                <w:rFonts w:ascii="宋体" w:hAnsi="宋体" w:eastAsia="宋体"/>
                <w:sz w:val="16"/>
              </w:rPr>
              <w:t>进行碳晶电热板安装数量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837C">
            <w:pPr>
              <w:jc w:val="center"/>
            </w:pPr>
            <w:r>
              <w:rPr>
                <w:rFonts w:ascii="宋体" w:hAnsi="宋体" w:eastAsia="宋体"/>
                <w:sz w:val="16"/>
              </w:rPr>
              <w:t>&gt;=424村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9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47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16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B2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B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CB5B">
            <w:pPr>
              <w:jc w:val="center"/>
            </w:pPr>
            <w:r>
              <w:rPr>
                <w:rFonts w:ascii="宋体" w:hAnsi="宋体" w:eastAsia="宋体"/>
                <w:sz w:val="16"/>
              </w:rPr>
              <w:t>=424户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58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DE12">
            <w:pPr>
              <w:jc w:val="center"/>
            </w:pPr>
          </w:p>
        </w:tc>
      </w:tr>
      <w:tr w14:paraId="651EB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8E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C8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F6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8F7E">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E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B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9F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09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2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E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4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AA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9728">
            <w:pPr>
              <w:jc w:val="center"/>
            </w:pPr>
          </w:p>
        </w:tc>
      </w:tr>
      <w:tr w14:paraId="3FA54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A4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134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54B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085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B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9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6B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F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2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F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6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C0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15D3">
            <w:pPr>
              <w:jc w:val="center"/>
            </w:pPr>
          </w:p>
        </w:tc>
      </w:tr>
      <w:tr w14:paraId="73170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7A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E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6E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990B">
            <w:pPr>
              <w:jc w:val="center"/>
            </w:pPr>
            <w:r>
              <w:rPr>
                <w:rFonts w:ascii="宋体" w:hAnsi="宋体" w:eastAsia="宋体"/>
                <w:sz w:val="16"/>
              </w:rPr>
              <w:t>项目验收时间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89F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B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7A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D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7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9D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6338">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13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96FE6">
            <w:pPr>
              <w:jc w:val="center"/>
            </w:pPr>
          </w:p>
        </w:tc>
      </w:tr>
      <w:tr w14:paraId="3EFF7D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E0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BD7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23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236A">
            <w:pPr>
              <w:jc w:val="center"/>
            </w:pPr>
            <w:r>
              <w:rPr>
                <w:rFonts w:ascii="宋体" w:hAnsi="宋体" w:eastAsia="宋体"/>
                <w:sz w:val="16"/>
              </w:rPr>
              <w:t>进行碳晶电热板安装成本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7551">
            <w:pPr>
              <w:jc w:val="center"/>
            </w:pPr>
            <w:r>
              <w:rPr>
                <w:rFonts w:ascii="宋体" w:hAnsi="宋体" w:eastAsia="宋体"/>
                <w:sz w:val="16"/>
              </w:rPr>
              <w:t>&lt;=17.90万元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D1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A1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6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7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91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7689">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9F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1091D">
            <w:pPr>
              <w:jc w:val="center"/>
            </w:pPr>
          </w:p>
        </w:tc>
      </w:tr>
      <w:tr w14:paraId="5BA5D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74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28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F99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73D6">
            <w:pPr>
              <w:jc w:val="center"/>
            </w:pPr>
            <w:r>
              <w:rPr>
                <w:rFonts w:ascii="宋体" w:hAnsi="宋体" w:eastAsia="宋体"/>
                <w:sz w:val="16"/>
              </w:rPr>
              <w:t>提升人民生活质量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E2D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6C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D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15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D3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3D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35D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39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06A49">
            <w:pPr>
              <w:jc w:val="center"/>
            </w:pPr>
          </w:p>
        </w:tc>
      </w:tr>
      <w:tr w14:paraId="64C81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F7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FC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3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1E0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3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7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3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C8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FE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E0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A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8F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C0832">
            <w:pPr>
              <w:jc w:val="center"/>
            </w:pPr>
          </w:p>
        </w:tc>
      </w:tr>
      <w:tr w14:paraId="15362C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F73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E7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C67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754EE3">
            <w:pPr>
              <w:jc w:val="center"/>
            </w:pPr>
            <w:r>
              <w:rPr>
                <w:rFonts w:ascii="宋体" w:hAnsi="宋体" w:eastAsia="宋体"/>
                <w:sz w:val="16"/>
              </w:rPr>
              <w:t>100分</w:t>
            </w:r>
          </w:p>
        </w:tc>
      </w:tr>
    </w:tbl>
    <w:p w14:paraId="789D5F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0D8B9A">
        <w:tblPrEx>
          <w:tblCellMar>
            <w:top w:w="0" w:type="dxa"/>
            <w:left w:w="108" w:type="dxa"/>
            <w:bottom w:w="0" w:type="dxa"/>
            <w:right w:w="108" w:type="dxa"/>
          </w:tblCellMar>
        </w:tblPrEx>
        <w:tc>
          <w:tcPr>
            <w:tcW w:w="8848" w:type="dxa"/>
            <w:gridSpan w:val="14"/>
            <w:vAlign w:val="center"/>
          </w:tcPr>
          <w:p w14:paraId="61A51D73">
            <w:pPr>
              <w:jc w:val="center"/>
            </w:pPr>
            <w:r>
              <w:rPr>
                <w:rFonts w:ascii="宋体" w:hAnsi="宋体" w:eastAsia="宋体"/>
                <w:sz w:val="24"/>
              </w:rPr>
              <w:t>项目支出绩效自评表</w:t>
            </w:r>
          </w:p>
        </w:tc>
      </w:tr>
      <w:tr w14:paraId="3E3FC153">
        <w:tblPrEx>
          <w:tblCellMar>
            <w:top w:w="0" w:type="dxa"/>
            <w:left w:w="108" w:type="dxa"/>
            <w:bottom w:w="0" w:type="dxa"/>
            <w:right w:w="108" w:type="dxa"/>
          </w:tblCellMar>
        </w:tblPrEx>
        <w:tc>
          <w:tcPr>
            <w:tcW w:w="8848" w:type="dxa"/>
            <w:gridSpan w:val="14"/>
            <w:vAlign w:val="center"/>
          </w:tcPr>
          <w:p w14:paraId="3CBBCEA8">
            <w:pPr>
              <w:jc w:val="center"/>
            </w:pPr>
            <w:r>
              <w:rPr>
                <w:rFonts w:ascii="宋体" w:hAnsi="宋体" w:eastAsia="宋体"/>
                <w:sz w:val="24"/>
              </w:rPr>
              <w:t>(2024年度)</w:t>
            </w:r>
          </w:p>
        </w:tc>
      </w:tr>
      <w:tr w14:paraId="42A2B0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DA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F8A60B">
            <w:pPr>
              <w:jc w:val="center"/>
            </w:pPr>
            <w:r>
              <w:rPr>
                <w:rFonts w:ascii="宋体" w:hAnsi="宋体" w:eastAsia="宋体"/>
                <w:sz w:val="16"/>
              </w:rPr>
              <w:t>2023年麦盖提县吐曼塔勒乡“补短板、强弱项”建设项目</w:t>
            </w:r>
          </w:p>
        </w:tc>
      </w:tr>
      <w:tr w14:paraId="1D33C5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EB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C65EF">
            <w:pPr>
              <w:jc w:val="center"/>
            </w:pPr>
            <w:r>
              <w:rPr>
                <w:rFonts w:ascii="宋体" w:hAnsi="宋体" w:eastAsia="宋体"/>
                <w:sz w:val="16"/>
              </w:rPr>
              <w:t>麦盖提县吐曼塔勒乡人民政府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B3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930A4">
            <w:pPr>
              <w:jc w:val="center"/>
            </w:pPr>
            <w:r>
              <w:rPr>
                <w:rFonts w:ascii="宋体" w:hAnsi="宋体" w:eastAsia="宋体"/>
                <w:sz w:val="16"/>
              </w:rPr>
              <w:t>麦盖提县吐曼塔勒乡人民政府</w:t>
            </w:r>
          </w:p>
        </w:tc>
      </w:tr>
      <w:tr w14:paraId="06FDB9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397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802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6E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8F3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012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E3C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93E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7825">
            <w:pPr>
              <w:jc w:val="center"/>
            </w:pPr>
            <w:r>
              <w:rPr>
                <w:rFonts w:ascii="宋体" w:hAnsi="宋体" w:eastAsia="宋体"/>
                <w:sz w:val="16"/>
              </w:rPr>
              <w:t>得分</w:t>
            </w:r>
          </w:p>
        </w:tc>
      </w:tr>
      <w:tr w14:paraId="714D4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CAD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C1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B82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5AE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B36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40A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F901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99C1">
            <w:pPr>
              <w:jc w:val="center"/>
            </w:pPr>
            <w:r>
              <w:rPr>
                <w:rFonts w:ascii="宋体" w:hAnsi="宋体" w:eastAsia="宋体"/>
                <w:sz w:val="16"/>
              </w:rPr>
              <w:t>10.00分</w:t>
            </w:r>
          </w:p>
        </w:tc>
      </w:tr>
      <w:tr w14:paraId="7C4D1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ED7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B5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34F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6A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848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24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8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7131">
            <w:pPr>
              <w:jc w:val="center"/>
            </w:pPr>
            <w:r>
              <w:rPr>
                <w:rFonts w:ascii="宋体" w:hAnsi="宋体" w:eastAsia="宋体"/>
                <w:sz w:val="16"/>
              </w:rPr>
              <w:t>—</w:t>
            </w:r>
          </w:p>
        </w:tc>
      </w:tr>
      <w:tr w14:paraId="1A4F2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5A2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56F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594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B107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FD20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8B6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1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57A8">
            <w:pPr>
              <w:jc w:val="center"/>
            </w:pPr>
            <w:r>
              <w:rPr>
                <w:rFonts w:ascii="宋体" w:hAnsi="宋体" w:eastAsia="宋体"/>
                <w:sz w:val="16"/>
              </w:rPr>
              <w:t>—</w:t>
            </w:r>
          </w:p>
        </w:tc>
      </w:tr>
      <w:tr w14:paraId="3029BE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78D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21CB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F2508">
            <w:pPr>
              <w:jc w:val="center"/>
            </w:pPr>
            <w:r>
              <w:rPr>
                <w:rFonts w:ascii="宋体" w:hAnsi="宋体" w:eastAsia="宋体"/>
                <w:sz w:val="16"/>
              </w:rPr>
              <w:t>实际完成情况</w:t>
            </w:r>
          </w:p>
        </w:tc>
      </w:tr>
      <w:tr w14:paraId="4D79F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358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DAEA9">
            <w:pPr>
              <w:jc w:val="both"/>
            </w:pPr>
            <w:r>
              <w:rPr>
                <w:rFonts w:ascii="宋体" w:hAnsi="宋体" w:eastAsia="宋体"/>
                <w:sz w:val="16"/>
              </w:rPr>
              <w:t>项目投资10万元，用于易地搬迁基础设施后续管大棚、锅炉房维修，进一步提高村级公共服务能力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D8CCB">
            <w:pPr>
              <w:jc w:val="both"/>
            </w:pPr>
            <w:r>
              <w:rPr>
                <w:rFonts w:ascii="宋体" w:hAnsi="宋体" w:eastAsia="宋体"/>
                <w:sz w:val="16"/>
              </w:rPr>
              <w:t>截至自评节点本项目实际投资为10万元，用于支付用于易地搬迁基础设施后续管大棚，锅炉房维修。通过项目的实施有效提升政府公信力，为百姓生活营造公平、和谐社会环境，能够更好地服务宏观经济，有效防范化解债务风险。</w:t>
            </w:r>
          </w:p>
        </w:tc>
      </w:tr>
      <w:tr w14:paraId="413DFA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B21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01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2D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95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51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54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9D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FD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B6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34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82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04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70AB5">
            <w:pPr>
              <w:jc w:val="center"/>
            </w:pPr>
            <w:r>
              <w:rPr>
                <w:rFonts w:ascii="宋体" w:hAnsi="宋体" w:eastAsia="宋体"/>
                <w:sz w:val="16"/>
              </w:rPr>
              <w:t>偏差原因分析及改进措施</w:t>
            </w:r>
          </w:p>
        </w:tc>
      </w:tr>
      <w:tr w14:paraId="1BF3E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3F6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54E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DD7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68ED">
            <w:pPr>
              <w:jc w:val="center"/>
            </w:pPr>
            <w:r>
              <w:rPr>
                <w:rFonts w:ascii="宋体" w:hAnsi="宋体" w:eastAsia="宋体"/>
                <w:sz w:val="16"/>
              </w:rPr>
              <w:t>锅炉房维修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C0E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5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C4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E1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83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A1F6">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82B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DD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E2BB">
            <w:pPr>
              <w:jc w:val="center"/>
            </w:pPr>
          </w:p>
        </w:tc>
      </w:tr>
      <w:tr w14:paraId="6C9D4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C4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2B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E4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D06D">
            <w:pPr>
              <w:jc w:val="center"/>
            </w:pPr>
            <w:r>
              <w:rPr>
                <w:rFonts w:ascii="宋体" w:hAnsi="宋体" w:eastAsia="宋体"/>
                <w:sz w:val="16"/>
              </w:rPr>
              <w:t>大棚后续维修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3EA4">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6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7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17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0E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0194">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150B">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E3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7213">
            <w:pPr>
              <w:jc w:val="center"/>
            </w:pPr>
          </w:p>
        </w:tc>
      </w:tr>
      <w:tr w14:paraId="1BC09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31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AE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70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5A4C">
            <w:pPr>
              <w:jc w:val="center"/>
            </w:pPr>
            <w:r>
              <w:rPr>
                <w:rFonts w:ascii="宋体" w:hAnsi="宋体" w:eastAsia="宋体"/>
                <w:sz w:val="16"/>
              </w:rPr>
              <w:t>日常基础设施维修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C446">
            <w:pPr>
              <w:jc w:val="center"/>
            </w:pPr>
            <w:r>
              <w:rPr>
                <w:rFonts w:ascii="宋体" w:hAnsi="宋体" w:eastAsia="宋体"/>
                <w:sz w:val="16"/>
              </w:rPr>
              <w:t>已完成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9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DC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D5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7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E42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E7A5">
            <w:pPr>
              <w:jc w:val="center"/>
            </w:pPr>
            <w:r>
              <w:rPr>
                <w:rFonts w:ascii="宋体" w:hAnsi="宋体" w:eastAsia="宋体"/>
                <w:sz w:val="16"/>
              </w:rPr>
              <w:t>已完成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5B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C967">
            <w:pPr>
              <w:jc w:val="center"/>
            </w:pPr>
          </w:p>
        </w:tc>
      </w:tr>
      <w:tr w14:paraId="5EF6D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AB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AE6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558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604E">
            <w:pPr>
              <w:jc w:val="center"/>
            </w:pPr>
            <w:r>
              <w:rPr>
                <w:rFonts w:ascii="宋体" w:hAnsi="宋体" w:eastAsia="宋体"/>
                <w:sz w:val="16"/>
              </w:rPr>
              <w:t>工期完成时间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8F36">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C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4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26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11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EA4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9FAD">
            <w:pPr>
              <w:jc w:val="center"/>
            </w:pPr>
            <w:r>
              <w:rPr>
                <w:rFonts w:ascii="宋体" w:hAnsi="宋体" w:eastAsia="宋体"/>
                <w:sz w:val="16"/>
              </w:rPr>
              <w:t>=2024年7月19日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28A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3A7B3">
            <w:pPr>
              <w:jc w:val="center"/>
            </w:pPr>
          </w:p>
        </w:tc>
      </w:tr>
      <w:tr w14:paraId="2FAA2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ED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45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A7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E93C">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1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06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9A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4B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4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37C1">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B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1E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42F8A">
            <w:pPr>
              <w:jc w:val="center"/>
            </w:pPr>
          </w:p>
        </w:tc>
      </w:tr>
      <w:tr w14:paraId="6A39A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F8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E8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E9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A9F8">
            <w:pPr>
              <w:jc w:val="center"/>
            </w:pPr>
            <w:r>
              <w:rPr>
                <w:rFonts w:ascii="宋体" w:hAnsi="宋体" w:eastAsia="宋体"/>
                <w:sz w:val="16"/>
              </w:rPr>
              <w:t>保障人民群众日常需求及带动群众增收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013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6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8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49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19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87E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558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45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89AC8">
            <w:pPr>
              <w:jc w:val="center"/>
            </w:pPr>
          </w:p>
        </w:tc>
      </w:tr>
      <w:tr w14:paraId="6EBA2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13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5A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3B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EDD1">
            <w:pPr>
              <w:jc w:val="center"/>
            </w:pPr>
            <w:r>
              <w:rPr>
                <w:rFonts w:ascii="宋体" w:hAnsi="宋体" w:eastAsia="宋体"/>
                <w:sz w:val="16"/>
              </w:rPr>
              <w:t>提升人民群众生活质量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684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B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7B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D8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1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8FD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9F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52E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9E1A9">
            <w:pPr>
              <w:jc w:val="center"/>
            </w:pPr>
          </w:p>
        </w:tc>
      </w:tr>
      <w:tr w14:paraId="635F2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33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C4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C1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C6C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E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6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B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9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B5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E1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9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9B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CE51E">
            <w:pPr>
              <w:jc w:val="center"/>
            </w:pPr>
          </w:p>
        </w:tc>
      </w:tr>
      <w:tr w14:paraId="7E2AB0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EC9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D5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EC5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1B47C9">
            <w:pPr>
              <w:jc w:val="center"/>
            </w:pPr>
            <w:r>
              <w:rPr>
                <w:rFonts w:ascii="宋体" w:hAnsi="宋体" w:eastAsia="宋体"/>
                <w:sz w:val="16"/>
              </w:rPr>
              <w:t>100分</w:t>
            </w:r>
          </w:p>
        </w:tc>
      </w:tr>
    </w:tbl>
    <w:p w14:paraId="455EB3D8">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23"/>
        <w:gridCol w:w="608"/>
        <w:gridCol w:w="608"/>
        <w:gridCol w:w="615"/>
        <w:gridCol w:w="856"/>
        <w:gridCol w:w="630"/>
        <w:gridCol w:w="580"/>
        <w:gridCol w:w="630"/>
      </w:tblGrid>
      <w:tr w14:paraId="116DF87A">
        <w:tblPrEx>
          <w:tblCellMar>
            <w:top w:w="0" w:type="dxa"/>
            <w:left w:w="108" w:type="dxa"/>
            <w:bottom w:w="0" w:type="dxa"/>
            <w:right w:w="108" w:type="dxa"/>
          </w:tblCellMar>
        </w:tblPrEx>
        <w:tc>
          <w:tcPr>
            <w:tcW w:w="8848" w:type="dxa"/>
            <w:gridSpan w:val="14"/>
            <w:vAlign w:val="center"/>
          </w:tcPr>
          <w:p w14:paraId="2B2D71C0">
            <w:pPr>
              <w:jc w:val="center"/>
            </w:pPr>
            <w:r>
              <w:rPr>
                <w:rFonts w:ascii="宋体" w:hAnsi="宋体" w:eastAsia="宋体"/>
                <w:sz w:val="24"/>
              </w:rPr>
              <w:t>项目支出绩效自评表</w:t>
            </w:r>
          </w:p>
        </w:tc>
      </w:tr>
      <w:tr w14:paraId="429F1A75">
        <w:tblPrEx>
          <w:tblCellMar>
            <w:top w:w="0" w:type="dxa"/>
            <w:left w:w="108" w:type="dxa"/>
            <w:bottom w:w="0" w:type="dxa"/>
            <w:right w:w="108" w:type="dxa"/>
          </w:tblCellMar>
        </w:tblPrEx>
        <w:tc>
          <w:tcPr>
            <w:tcW w:w="8848" w:type="dxa"/>
            <w:gridSpan w:val="14"/>
            <w:vAlign w:val="center"/>
          </w:tcPr>
          <w:p w14:paraId="6BFD008B">
            <w:pPr>
              <w:jc w:val="center"/>
            </w:pPr>
            <w:r>
              <w:rPr>
                <w:rFonts w:ascii="宋体" w:hAnsi="宋体" w:eastAsia="宋体"/>
                <w:sz w:val="24"/>
              </w:rPr>
              <w:t>(2024年度)</w:t>
            </w:r>
          </w:p>
        </w:tc>
      </w:tr>
      <w:tr w14:paraId="32DED0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5F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5DC8AA">
            <w:pPr>
              <w:jc w:val="center"/>
            </w:pPr>
            <w:r>
              <w:rPr>
                <w:rFonts w:ascii="宋体" w:hAnsi="宋体" w:eastAsia="宋体"/>
                <w:sz w:val="16"/>
              </w:rPr>
              <w:t>2024年麦盖提县吐曼塔勒乡业务活动项目</w:t>
            </w:r>
          </w:p>
        </w:tc>
      </w:tr>
      <w:tr w14:paraId="137FC5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B0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2F4E4">
            <w:pPr>
              <w:jc w:val="center"/>
            </w:pPr>
            <w:r>
              <w:rPr>
                <w:rFonts w:ascii="宋体" w:hAnsi="宋体" w:eastAsia="宋体"/>
                <w:sz w:val="16"/>
              </w:rPr>
              <w:t>麦盖提县吐曼塔勒乡人民政府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A5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54E50">
            <w:pPr>
              <w:jc w:val="center"/>
            </w:pPr>
            <w:r>
              <w:rPr>
                <w:rFonts w:ascii="宋体" w:hAnsi="宋体" w:eastAsia="宋体"/>
                <w:sz w:val="16"/>
              </w:rPr>
              <w:t>麦盖提县吐曼塔勒乡人民政府</w:t>
            </w:r>
          </w:p>
        </w:tc>
      </w:tr>
      <w:tr w14:paraId="06361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277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B5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423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BA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208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0B7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43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42E5">
            <w:pPr>
              <w:jc w:val="center"/>
            </w:pPr>
            <w:r>
              <w:rPr>
                <w:rFonts w:ascii="宋体" w:hAnsi="宋体" w:eastAsia="宋体"/>
                <w:sz w:val="16"/>
              </w:rPr>
              <w:t>得分</w:t>
            </w:r>
          </w:p>
        </w:tc>
      </w:tr>
      <w:tr w14:paraId="0B5CB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17A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100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B8120">
            <w:pPr>
              <w:jc w:val="center"/>
            </w:pPr>
            <w:r>
              <w:rPr>
                <w:rFonts w:ascii="宋体" w:hAnsi="宋体" w:eastAsia="宋体"/>
                <w:sz w:val="16"/>
              </w:rPr>
              <w:t>177.53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C8C41">
            <w:pPr>
              <w:jc w:val="center"/>
            </w:pPr>
            <w:r>
              <w:rPr>
                <w:rFonts w:ascii="宋体" w:hAnsi="宋体" w:eastAsia="宋体"/>
                <w:sz w:val="16"/>
              </w:rPr>
              <w:t>211.09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BE80D">
            <w:pPr>
              <w:jc w:val="center"/>
            </w:pPr>
            <w:r>
              <w:rPr>
                <w:rFonts w:ascii="宋体" w:hAnsi="宋体" w:eastAsia="宋体"/>
                <w:sz w:val="16"/>
              </w:rPr>
              <w:t>211.09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AE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370B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E2FA">
            <w:pPr>
              <w:jc w:val="center"/>
            </w:pPr>
            <w:r>
              <w:rPr>
                <w:rFonts w:ascii="宋体" w:hAnsi="宋体" w:eastAsia="宋体"/>
                <w:sz w:val="16"/>
              </w:rPr>
              <w:t>10.00分</w:t>
            </w:r>
          </w:p>
        </w:tc>
      </w:tr>
      <w:tr w14:paraId="794CC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B9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7BD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D4612">
            <w:pPr>
              <w:jc w:val="center"/>
            </w:pPr>
            <w:r>
              <w:rPr>
                <w:rFonts w:ascii="宋体" w:hAnsi="宋体" w:eastAsia="宋体"/>
                <w:sz w:val="16"/>
              </w:rPr>
              <w:t>177.53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4CA09">
            <w:pPr>
              <w:jc w:val="center"/>
            </w:pPr>
            <w:r>
              <w:rPr>
                <w:rFonts w:ascii="宋体" w:hAnsi="宋体" w:eastAsia="宋体"/>
                <w:sz w:val="16"/>
              </w:rPr>
              <w:t>211.09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0320">
            <w:pPr>
              <w:jc w:val="center"/>
            </w:pPr>
            <w:r>
              <w:rPr>
                <w:rFonts w:ascii="宋体" w:hAnsi="宋体" w:eastAsia="宋体"/>
                <w:sz w:val="16"/>
              </w:rPr>
              <w:t>211.09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D6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0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E466">
            <w:pPr>
              <w:jc w:val="center"/>
            </w:pPr>
            <w:r>
              <w:rPr>
                <w:rFonts w:ascii="宋体" w:hAnsi="宋体" w:eastAsia="宋体"/>
                <w:sz w:val="16"/>
              </w:rPr>
              <w:t>—</w:t>
            </w:r>
          </w:p>
        </w:tc>
      </w:tr>
      <w:tr w14:paraId="7059B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A38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808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B3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79B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62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74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E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4D45">
            <w:pPr>
              <w:jc w:val="center"/>
            </w:pPr>
            <w:r>
              <w:rPr>
                <w:rFonts w:ascii="宋体" w:hAnsi="宋体" w:eastAsia="宋体"/>
                <w:sz w:val="16"/>
              </w:rPr>
              <w:t>—</w:t>
            </w:r>
          </w:p>
        </w:tc>
      </w:tr>
      <w:tr w14:paraId="7FDA3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52F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0DD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CB5B4">
            <w:pPr>
              <w:jc w:val="center"/>
            </w:pPr>
            <w:r>
              <w:rPr>
                <w:rFonts w:ascii="宋体" w:hAnsi="宋体" w:eastAsia="宋体"/>
                <w:sz w:val="16"/>
              </w:rPr>
              <w:t>实际完成情况</w:t>
            </w:r>
          </w:p>
        </w:tc>
      </w:tr>
      <w:tr w14:paraId="2F72C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CC9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04827">
            <w:pPr>
              <w:jc w:val="both"/>
            </w:pPr>
            <w:r>
              <w:rPr>
                <w:rFonts w:ascii="宋体" w:hAnsi="宋体" w:eastAsia="宋体"/>
                <w:sz w:val="16"/>
              </w:rPr>
              <w:t>2024年本项目投资211.09万元，本项目主要用于保障我单位5个内设股室日常运转及10辆公务用车日常运行维护，项目的实施可有效提升社会公众服务能力，保障单位日常工作正常开展。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31C84">
            <w:pPr>
              <w:jc w:val="both"/>
            </w:pPr>
            <w:r>
              <w:rPr>
                <w:rFonts w:ascii="宋体" w:hAnsi="宋体" w:eastAsia="宋体"/>
                <w:sz w:val="16"/>
              </w:rPr>
              <w:t>截至自评节点本项目已支出金额为211.09万元，本项目已保障我单位1-12月5个内设股室日常运转及10辆公务用车日常运行维护，项目的实施有效提升了社会公众服务能力，保障了单位日常工作正常开展。</w:t>
            </w:r>
          </w:p>
        </w:tc>
      </w:tr>
      <w:tr w14:paraId="5AFF5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B37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DA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75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69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BA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9A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CE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EE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1C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27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B9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7E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0439">
            <w:pPr>
              <w:jc w:val="center"/>
            </w:pPr>
            <w:r>
              <w:rPr>
                <w:rFonts w:ascii="宋体" w:hAnsi="宋体" w:eastAsia="宋体"/>
                <w:sz w:val="16"/>
              </w:rPr>
              <w:t>偏差原因分析及改进措施</w:t>
            </w:r>
          </w:p>
        </w:tc>
      </w:tr>
      <w:tr w14:paraId="329877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F72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DAA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A47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E996">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845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2D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24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EB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AD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98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4A0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A7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9AA6">
            <w:pPr>
              <w:jc w:val="center"/>
            </w:pPr>
          </w:p>
        </w:tc>
      </w:tr>
      <w:tr w14:paraId="0813F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C1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EC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7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3825">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E3DF">
            <w:pPr>
              <w:jc w:val="center"/>
            </w:pPr>
            <w:r>
              <w:rPr>
                <w:rFonts w:ascii="宋体" w:hAnsi="宋体" w:eastAsia="宋体"/>
                <w:sz w:val="16"/>
              </w:rPr>
              <w:t>&gt;=10辆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C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1BD4">
            <w:pPr>
              <w:jc w:val="center"/>
            </w:pPr>
            <w:r>
              <w:rPr>
                <w:rFonts w:ascii="宋体" w:hAnsi="宋体" w:eastAsia="宋体"/>
                <w:sz w:val="16"/>
              </w:rPr>
              <w:t>9辆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89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A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5C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9673">
            <w:pPr>
              <w:jc w:val="center"/>
            </w:pPr>
            <w:r>
              <w:rPr>
                <w:rFonts w:ascii="宋体" w:hAnsi="宋体" w:eastAsia="宋体"/>
                <w:sz w:val="16"/>
              </w:rPr>
              <w:t>&gt;=10辆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F7C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B301">
            <w:pPr>
              <w:jc w:val="center"/>
            </w:pPr>
          </w:p>
        </w:tc>
      </w:tr>
      <w:tr w14:paraId="67D28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98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66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28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053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5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FD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7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48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C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A4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0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5A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644C">
            <w:pPr>
              <w:jc w:val="center"/>
            </w:pPr>
          </w:p>
        </w:tc>
      </w:tr>
      <w:tr w14:paraId="54527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A9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249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4C8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D28D">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EF9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0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1CD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9A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D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B2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53E2">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857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28F0">
            <w:pPr>
              <w:jc w:val="center"/>
            </w:pPr>
          </w:p>
        </w:tc>
      </w:tr>
      <w:tr w14:paraId="56327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D1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E0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24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34CF">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1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8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C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4F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C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8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C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E7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4A85">
            <w:pPr>
              <w:jc w:val="center"/>
            </w:pPr>
          </w:p>
        </w:tc>
      </w:tr>
      <w:tr w14:paraId="77FC3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BBC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C984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A2C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E004">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6571">
            <w:pPr>
              <w:jc w:val="center"/>
            </w:pPr>
            <w:r>
              <w:rPr>
                <w:rFonts w:ascii="宋体" w:hAnsi="宋体" w:eastAsia="宋体"/>
                <w:sz w:val="16"/>
              </w:rPr>
              <w:t>&lt;=207.76万元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9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0D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6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3E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4D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5A02">
            <w:pPr>
              <w:jc w:val="center"/>
            </w:pPr>
            <w:r>
              <w:rPr>
                <w:rFonts w:ascii="宋体" w:hAnsi="宋体" w:eastAsia="宋体"/>
                <w:sz w:val="16"/>
              </w:rPr>
              <w:t>&lt;=207.76万元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1F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526C">
            <w:pPr>
              <w:jc w:val="center"/>
            </w:pPr>
          </w:p>
        </w:tc>
      </w:tr>
      <w:tr w14:paraId="7222D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93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37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9D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AEB9">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30CB">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8B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F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D2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8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FFB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5675">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28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52A5">
            <w:pPr>
              <w:jc w:val="center"/>
            </w:pPr>
          </w:p>
        </w:tc>
      </w:tr>
      <w:tr w14:paraId="0517B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8D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4B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44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824B">
            <w:pPr>
              <w:jc w:val="center"/>
            </w:pPr>
            <w:r>
              <w:rPr>
                <w:rFonts w:ascii="宋体" w:hAnsi="宋体" w:eastAsia="宋体"/>
                <w:sz w:val="16"/>
              </w:rPr>
              <w:t>提升社会公众服务能力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0D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A8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94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C5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F9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55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34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FF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05A7F">
            <w:pPr>
              <w:jc w:val="center"/>
            </w:pPr>
          </w:p>
        </w:tc>
      </w:tr>
      <w:tr w14:paraId="71CC2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9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C7D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9F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C95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0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6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5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00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34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82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A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D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7B04">
            <w:pPr>
              <w:jc w:val="center"/>
            </w:pPr>
          </w:p>
        </w:tc>
      </w:tr>
      <w:tr w14:paraId="045395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BA0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B5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42E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727EF5">
            <w:pPr>
              <w:jc w:val="center"/>
            </w:pPr>
            <w:r>
              <w:rPr>
                <w:rFonts w:ascii="宋体" w:hAnsi="宋体" w:eastAsia="宋体"/>
                <w:sz w:val="16"/>
              </w:rPr>
              <w:t>100分</w:t>
            </w:r>
          </w:p>
        </w:tc>
      </w:tr>
    </w:tbl>
    <w:p w14:paraId="43C2CC3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20873DD">
        <w:tblPrEx>
          <w:tblCellMar>
            <w:top w:w="0" w:type="dxa"/>
            <w:left w:w="108" w:type="dxa"/>
            <w:bottom w:w="0" w:type="dxa"/>
            <w:right w:w="108" w:type="dxa"/>
          </w:tblCellMar>
        </w:tblPrEx>
        <w:tc>
          <w:tcPr>
            <w:tcW w:w="8848" w:type="dxa"/>
            <w:gridSpan w:val="14"/>
            <w:vAlign w:val="center"/>
          </w:tcPr>
          <w:p w14:paraId="66CCB47C">
            <w:pPr>
              <w:jc w:val="center"/>
            </w:pPr>
            <w:r>
              <w:rPr>
                <w:rFonts w:ascii="宋体" w:hAnsi="宋体" w:eastAsia="宋体"/>
                <w:sz w:val="24"/>
              </w:rPr>
              <w:t>项目支出绩效自评表</w:t>
            </w:r>
          </w:p>
        </w:tc>
      </w:tr>
      <w:tr w14:paraId="2D979E0D">
        <w:tblPrEx>
          <w:tblCellMar>
            <w:top w:w="0" w:type="dxa"/>
            <w:left w:w="108" w:type="dxa"/>
            <w:bottom w:w="0" w:type="dxa"/>
            <w:right w:w="108" w:type="dxa"/>
          </w:tblCellMar>
        </w:tblPrEx>
        <w:tc>
          <w:tcPr>
            <w:tcW w:w="8848" w:type="dxa"/>
            <w:gridSpan w:val="14"/>
            <w:vAlign w:val="center"/>
          </w:tcPr>
          <w:p w14:paraId="4CFE85DC">
            <w:pPr>
              <w:jc w:val="center"/>
            </w:pPr>
            <w:r>
              <w:rPr>
                <w:rFonts w:ascii="宋体" w:hAnsi="宋体" w:eastAsia="宋体"/>
                <w:sz w:val="24"/>
              </w:rPr>
              <w:t>(2024年度)</w:t>
            </w:r>
          </w:p>
        </w:tc>
      </w:tr>
      <w:tr w14:paraId="521BDC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4E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B1338B">
            <w:pPr>
              <w:jc w:val="center"/>
            </w:pPr>
            <w:r>
              <w:rPr>
                <w:rFonts w:ascii="宋体" w:hAnsi="宋体" w:eastAsia="宋体"/>
                <w:sz w:val="16"/>
              </w:rPr>
              <w:t>麦盖提县吐曼塔勒乡人民政府债务化解项目</w:t>
            </w:r>
          </w:p>
        </w:tc>
      </w:tr>
      <w:tr w14:paraId="0ECC0C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12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3A9FE">
            <w:pPr>
              <w:jc w:val="center"/>
            </w:pPr>
            <w:r>
              <w:rPr>
                <w:rFonts w:ascii="宋体" w:hAnsi="宋体" w:eastAsia="宋体"/>
                <w:sz w:val="16"/>
              </w:rPr>
              <w:t>麦盖提县吐曼塔勒乡人民政府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A4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3B5E4">
            <w:pPr>
              <w:jc w:val="center"/>
            </w:pPr>
            <w:r>
              <w:rPr>
                <w:rFonts w:ascii="宋体" w:hAnsi="宋体" w:eastAsia="宋体"/>
                <w:sz w:val="16"/>
              </w:rPr>
              <w:t>麦盖提县吐曼塔勒乡人民政府</w:t>
            </w:r>
          </w:p>
        </w:tc>
      </w:tr>
      <w:tr w14:paraId="741CBA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26C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36A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A58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76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64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AC2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79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4F24">
            <w:pPr>
              <w:jc w:val="center"/>
            </w:pPr>
            <w:r>
              <w:rPr>
                <w:rFonts w:ascii="宋体" w:hAnsi="宋体" w:eastAsia="宋体"/>
                <w:sz w:val="16"/>
              </w:rPr>
              <w:t>得分</w:t>
            </w:r>
          </w:p>
        </w:tc>
      </w:tr>
      <w:tr w14:paraId="488A2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9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71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A5D80">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EC90">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545B9">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64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E0F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15D5">
            <w:pPr>
              <w:jc w:val="center"/>
            </w:pPr>
            <w:r>
              <w:rPr>
                <w:rFonts w:ascii="宋体" w:hAnsi="宋体" w:eastAsia="宋体"/>
                <w:sz w:val="16"/>
              </w:rPr>
              <w:t>10.00分</w:t>
            </w:r>
          </w:p>
        </w:tc>
      </w:tr>
      <w:tr w14:paraId="674D4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D3B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C31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9DD98">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36B31">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6FC2">
            <w:pPr>
              <w:jc w:val="center"/>
            </w:pPr>
            <w:r>
              <w:rPr>
                <w:rFonts w:ascii="宋体" w:hAnsi="宋体" w:eastAsia="宋体"/>
                <w:sz w:val="16"/>
              </w:rPr>
              <w:t>11.95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26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F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F876">
            <w:pPr>
              <w:jc w:val="center"/>
            </w:pPr>
            <w:r>
              <w:rPr>
                <w:rFonts w:ascii="宋体" w:hAnsi="宋体" w:eastAsia="宋体"/>
                <w:sz w:val="16"/>
              </w:rPr>
              <w:t>—</w:t>
            </w:r>
          </w:p>
        </w:tc>
      </w:tr>
      <w:tr w14:paraId="2B73A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602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E6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91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BF7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82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273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260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9094">
            <w:pPr>
              <w:jc w:val="center"/>
            </w:pPr>
            <w:r>
              <w:rPr>
                <w:rFonts w:ascii="宋体" w:hAnsi="宋体" w:eastAsia="宋体"/>
                <w:sz w:val="16"/>
              </w:rPr>
              <w:t>—</w:t>
            </w:r>
          </w:p>
        </w:tc>
      </w:tr>
      <w:tr w14:paraId="394A69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EB2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05F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DB75AD">
            <w:pPr>
              <w:jc w:val="center"/>
            </w:pPr>
            <w:r>
              <w:rPr>
                <w:rFonts w:ascii="宋体" w:hAnsi="宋体" w:eastAsia="宋体"/>
                <w:sz w:val="16"/>
              </w:rPr>
              <w:t>实际完成情况</w:t>
            </w:r>
          </w:p>
        </w:tc>
      </w:tr>
      <w:tr w14:paraId="2C1C8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D3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D633C">
            <w:pPr>
              <w:jc w:val="both"/>
            </w:pPr>
            <w:r>
              <w:rPr>
                <w:rFonts w:ascii="宋体" w:hAnsi="宋体" w:eastAsia="宋体"/>
                <w:sz w:val="16"/>
              </w:rPr>
              <w:t>本项目2024年总投资为11.95万元，主要用于支付我单位2023年村级组织活动场所建设项目尾款，项目的实施可提高工作人员积极性，进一步提升政府公信力。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A5ACBD">
            <w:pPr>
              <w:jc w:val="both"/>
            </w:pPr>
            <w:r>
              <w:rPr>
                <w:rFonts w:hint="eastAsia" w:ascii="宋体" w:hAnsi="宋体"/>
                <w:sz w:val="16"/>
                <w:lang w:eastAsia="zh-CN"/>
              </w:rPr>
              <w:t>截至</w:t>
            </w:r>
            <w:r>
              <w:rPr>
                <w:rFonts w:ascii="宋体" w:hAnsi="宋体" w:eastAsia="宋体"/>
                <w:sz w:val="16"/>
              </w:rPr>
              <w:t>绩效自评日，本项目实际支出为11.95万元，已完成支付我单位2023年村级组织活动场所建设项目尾款，项目的实施提高了工作人员积极性，进一步提升了政府公信力。</w:t>
            </w:r>
          </w:p>
        </w:tc>
      </w:tr>
      <w:tr w14:paraId="634938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A8C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41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C6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89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DB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7C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4B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95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96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05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F5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58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C1AC">
            <w:pPr>
              <w:jc w:val="center"/>
            </w:pPr>
            <w:r>
              <w:rPr>
                <w:rFonts w:ascii="宋体" w:hAnsi="宋体" w:eastAsia="宋体"/>
                <w:sz w:val="16"/>
              </w:rPr>
              <w:t>偏差原因分析及改进措施</w:t>
            </w:r>
          </w:p>
        </w:tc>
      </w:tr>
      <w:tr w14:paraId="1E2152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C32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D41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7E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896E">
            <w:pPr>
              <w:jc w:val="center"/>
            </w:pPr>
            <w:r>
              <w:rPr>
                <w:rFonts w:ascii="宋体" w:hAnsi="宋体" w:eastAsia="宋体"/>
                <w:sz w:val="16"/>
              </w:rPr>
              <w:t>支付工程尾款项目数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1DC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A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83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98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0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0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C7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7B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4078F">
            <w:pPr>
              <w:jc w:val="center"/>
            </w:pPr>
          </w:p>
        </w:tc>
      </w:tr>
      <w:tr w14:paraId="3F165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674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F68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B51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E298">
            <w:pPr>
              <w:jc w:val="center"/>
            </w:pPr>
            <w:r>
              <w:rPr>
                <w:rFonts w:ascii="宋体" w:hAnsi="宋体" w:eastAsia="宋体"/>
                <w:sz w:val="16"/>
              </w:rPr>
              <w:t>尾款支付完成率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D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5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2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40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2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154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1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92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F9A89">
            <w:pPr>
              <w:jc w:val="center"/>
            </w:pPr>
          </w:p>
        </w:tc>
      </w:tr>
      <w:tr w14:paraId="416B2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7C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B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F4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E60C">
            <w:pPr>
              <w:jc w:val="center"/>
            </w:pPr>
            <w:r>
              <w:rPr>
                <w:rFonts w:ascii="宋体" w:hAnsi="宋体" w:eastAsia="宋体"/>
                <w:sz w:val="16"/>
              </w:rPr>
              <w:t>尾款支付合规率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2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D9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0B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1F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4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948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D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DF55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34766">
            <w:pPr>
              <w:jc w:val="center"/>
            </w:pPr>
          </w:p>
        </w:tc>
      </w:tr>
      <w:tr w14:paraId="240F9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8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4F0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35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0CBF">
            <w:pPr>
              <w:jc w:val="center"/>
            </w:pPr>
            <w:r>
              <w:rPr>
                <w:rFonts w:ascii="宋体" w:hAnsi="宋体" w:eastAsia="宋体"/>
                <w:sz w:val="16"/>
              </w:rPr>
              <w:t>化解完成时限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4503">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DF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C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F8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D2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43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F16C">
            <w:pPr>
              <w:jc w:val="center"/>
            </w:pPr>
            <w:r>
              <w:rPr>
                <w:rFonts w:ascii="宋体" w:hAnsi="宋体" w:eastAsia="宋体"/>
                <w:sz w:val="16"/>
              </w:rPr>
              <w:t>=2024年5月25日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E2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C452">
            <w:pPr>
              <w:jc w:val="center"/>
            </w:pPr>
          </w:p>
        </w:tc>
      </w:tr>
      <w:tr w14:paraId="15E5A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0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F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7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FEB9">
            <w:pPr>
              <w:jc w:val="center"/>
            </w:pPr>
            <w:r>
              <w:rPr>
                <w:rFonts w:ascii="宋体" w:hAnsi="宋体" w:eastAsia="宋体"/>
                <w:sz w:val="16"/>
              </w:rPr>
              <w:t>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1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B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E88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59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0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D7B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A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B9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6998">
            <w:pPr>
              <w:jc w:val="center"/>
            </w:pPr>
          </w:p>
        </w:tc>
      </w:tr>
      <w:tr w14:paraId="2A1D3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9E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C5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C4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1873">
            <w:pPr>
              <w:jc w:val="center"/>
            </w:pPr>
            <w:r>
              <w:rPr>
                <w:rFonts w:ascii="宋体" w:hAnsi="宋体" w:eastAsia="宋体"/>
                <w:sz w:val="16"/>
              </w:rPr>
              <w:t>支付项目尾款金额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486D">
            <w:pPr>
              <w:jc w:val="center"/>
            </w:pPr>
            <w:r>
              <w:rPr>
                <w:rFonts w:ascii="宋体" w:hAnsi="宋体" w:eastAsia="宋体"/>
                <w:sz w:val="16"/>
              </w:rPr>
              <w:t>&lt;=11.95万元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FA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DE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28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06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D67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F39A">
            <w:pPr>
              <w:jc w:val="center"/>
            </w:pPr>
            <w:r>
              <w:rPr>
                <w:rFonts w:ascii="宋体" w:hAnsi="宋体" w:eastAsia="宋体"/>
                <w:sz w:val="16"/>
              </w:rPr>
              <w:t>=11.95万元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971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9E1E7">
            <w:pPr>
              <w:jc w:val="center"/>
            </w:pPr>
          </w:p>
        </w:tc>
      </w:tr>
      <w:tr w14:paraId="0A941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9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93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AC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BE6F">
            <w:pPr>
              <w:jc w:val="center"/>
            </w:pPr>
            <w:r>
              <w:rPr>
                <w:rFonts w:ascii="宋体" w:hAnsi="宋体" w:eastAsia="宋体"/>
                <w:sz w:val="16"/>
              </w:rPr>
              <w:t>提高服务社会发展能力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938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9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6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C6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46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2D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F9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FF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B025">
            <w:pPr>
              <w:jc w:val="center"/>
            </w:pPr>
          </w:p>
        </w:tc>
      </w:tr>
      <w:tr w14:paraId="38652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D2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3E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D0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1220">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E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B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FA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B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61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8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8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37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EA65">
            <w:pPr>
              <w:jc w:val="center"/>
            </w:pPr>
          </w:p>
        </w:tc>
      </w:tr>
      <w:tr w14:paraId="48A248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306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27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E6A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DD7B8">
            <w:pPr>
              <w:jc w:val="center"/>
            </w:pPr>
            <w:r>
              <w:rPr>
                <w:rFonts w:ascii="宋体" w:hAnsi="宋体" w:eastAsia="宋体"/>
                <w:sz w:val="16"/>
              </w:rPr>
              <w:t>100分</w:t>
            </w:r>
          </w:p>
        </w:tc>
      </w:tr>
    </w:tbl>
    <w:p w14:paraId="1E987F44">
      <w:r>
        <w:br w:type="page"/>
      </w:r>
    </w:p>
    <w:p w14:paraId="7D8564ED">
      <w:pPr>
        <w:spacing w:line="640" w:lineRule="exact"/>
        <w:ind w:firstLine="640"/>
        <w:jc w:val="both"/>
        <w:outlineLvl w:val="2"/>
      </w:pPr>
      <w:r>
        <w:rPr>
          <w:rFonts w:ascii="黑体" w:hAnsi="黑体" w:eastAsia="黑体"/>
          <w:sz w:val="32"/>
        </w:rPr>
        <w:t>十二、其他需说明的事项</w:t>
      </w:r>
    </w:p>
    <w:p w14:paraId="46E75267">
      <w:pPr>
        <w:spacing w:line="580" w:lineRule="exact"/>
        <w:ind w:firstLine="640"/>
        <w:jc w:val="both"/>
      </w:pPr>
      <w:r>
        <w:rPr>
          <w:rFonts w:ascii="仿宋_GB2312" w:hAnsi="仿宋_GB2312" w:eastAsia="仿宋_GB2312"/>
          <w:b w:val="0"/>
          <w:sz w:val="32"/>
        </w:rPr>
        <w:t>本单位无其他需说明的事项。</w:t>
      </w:r>
    </w:p>
    <w:p w14:paraId="3C3EB5C2">
      <w:r>
        <w:br w:type="page"/>
      </w:r>
    </w:p>
    <w:p w14:paraId="021192B5">
      <w:pPr>
        <w:spacing w:line="240" w:lineRule="auto"/>
        <w:jc w:val="center"/>
        <w:outlineLvl w:val="1"/>
      </w:pPr>
      <w:r>
        <w:rPr>
          <w:rFonts w:ascii="黑体" w:hAnsi="黑体" w:eastAsia="黑体"/>
          <w:sz w:val="32"/>
        </w:rPr>
        <w:t>第三部分 专业名词解释</w:t>
      </w:r>
    </w:p>
    <w:p w14:paraId="6D940ED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9CA37F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6C2CF9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D218C6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8078F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FB1EA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842FE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7F322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3FDE4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02344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C696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19F9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AA4D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201E6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2ECFF8">
      <w:r>
        <w:br w:type="page"/>
      </w:r>
    </w:p>
    <w:p w14:paraId="0D5DFF69">
      <w:pPr>
        <w:spacing w:line="240" w:lineRule="auto"/>
        <w:jc w:val="center"/>
        <w:outlineLvl w:val="1"/>
      </w:pPr>
      <w:r>
        <w:rPr>
          <w:rFonts w:ascii="黑体" w:hAnsi="黑体" w:eastAsia="黑体"/>
          <w:sz w:val="32"/>
        </w:rPr>
        <w:t>第四部分 部门决算报表（见附表）</w:t>
      </w:r>
    </w:p>
    <w:p w14:paraId="7E4B375B">
      <w:pPr>
        <w:spacing w:line="240" w:lineRule="auto"/>
        <w:ind w:firstLine="640"/>
        <w:jc w:val="both"/>
      </w:pPr>
      <w:r>
        <w:rPr>
          <w:rFonts w:ascii="仿宋_GB2312" w:hAnsi="仿宋_GB2312" w:eastAsia="仿宋_GB2312"/>
          <w:b w:val="0"/>
          <w:sz w:val="32"/>
        </w:rPr>
        <w:t>一、《收入支出决算总表》</w:t>
      </w:r>
    </w:p>
    <w:p w14:paraId="6C3158A6">
      <w:pPr>
        <w:spacing w:line="240" w:lineRule="auto"/>
        <w:ind w:firstLine="640"/>
        <w:jc w:val="both"/>
      </w:pPr>
      <w:r>
        <w:rPr>
          <w:rFonts w:ascii="仿宋_GB2312" w:hAnsi="仿宋_GB2312" w:eastAsia="仿宋_GB2312"/>
          <w:b w:val="0"/>
          <w:sz w:val="32"/>
        </w:rPr>
        <w:t>二、《收入决算表》</w:t>
      </w:r>
    </w:p>
    <w:p w14:paraId="1A83C214">
      <w:pPr>
        <w:spacing w:line="240" w:lineRule="auto"/>
        <w:ind w:firstLine="640"/>
        <w:jc w:val="both"/>
      </w:pPr>
      <w:r>
        <w:rPr>
          <w:rFonts w:ascii="仿宋_GB2312" w:hAnsi="仿宋_GB2312" w:eastAsia="仿宋_GB2312"/>
          <w:b w:val="0"/>
          <w:sz w:val="32"/>
        </w:rPr>
        <w:t>三、《支出决算表》</w:t>
      </w:r>
    </w:p>
    <w:p w14:paraId="0E2F805C">
      <w:pPr>
        <w:spacing w:line="240" w:lineRule="auto"/>
        <w:ind w:firstLine="640"/>
        <w:jc w:val="both"/>
      </w:pPr>
      <w:r>
        <w:rPr>
          <w:rFonts w:ascii="仿宋_GB2312" w:hAnsi="仿宋_GB2312" w:eastAsia="仿宋_GB2312"/>
          <w:b w:val="0"/>
          <w:sz w:val="32"/>
        </w:rPr>
        <w:t>四、《财政拨款收入支出决算总表》</w:t>
      </w:r>
    </w:p>
    <w:p w14:paraId="18326A70">
      <w:pPr>
        <w:spacing w:line="240" w:lineRule="auto"/>
        <w:ind w:firstLine="640"/>
        <w:jc w:val="both"/>
      </w:pPr>
      <w:r>
        <w:rPr>
          <w:rFonts w:ascii="仿宋_GB2312" w:hAnsi="仿宋_GB2312" w:eastAsia="仿宋_GB2312"/>
          <w:b w:val="0"/>
          <w:sz w:val="32"/>
        </w:rPr>
        <w:t>五、《一般公共预算财政拨款支出决算表》</w:t>
      </w:r>
    </w:p>
    <w:p w14:paraId="44B76321">
      <w:pPr>
        <w:spacing w:line="240" w:lineRule="auto"/>
        <w:ind w:firstLine="640"/>
        <w:jc w:val="both"/>
      </w:pPr>
      <w:r>
        <w:rPr>
          <w:rFonts w:ascii="仿宋_GB2312" w:hAnsi="仿宋_GB2312" w:eastAsia="仿宋_GB2312"/>
          <w:b w:val="0"/>
          <w:sz w:val="32"/>
        </w:rPr>
        <w:t>六、《一般公共预算财政拨款基本支出决算表》</w:t>
      </w:r>
    </w:p>
    <w:p w14:paraId="6F128C79">
      <w:pPr>
        <w:spacing w:line="240" w:lineRule="auto"/>
        <w:ind w:firstLine="640"/>
        <w:jc w:val="both"/>
      </w:pPr>
      <w:r>
        <w:rPr>
          <w:rFonts w:ascii="仿宋_GB2312" w:hAnsi="仿宋_GB2312" w:eastAsia="仿宋_GB2312"/>
          <w:b w:val="0"/>
          <w:sz w:val="32"/>
        </w:rPr>
        <w:t>七、《政府性基金预算财政拨款收入支出决算表》</w:t>
      </w:r>
    </w:p>
    <w:p w14:paraId="6AB085AF">
      <w:pPr>
        <w:spacing w:line="240" w:lineRule="auto"/>
        <w:ind w:firstLine="640"/>
        <w:jc w:val="both"/>
      </w:pPr>
      <w:r>
        <w:rPr>
          <w:rFonts w:ascii="仿宋_GB2312" w:hAnsi="仿宋_GB2312" w:eastAsia="仿宋_GB2312"/>
          <w:b w:val="0"/>
          <w:sz w:val="32"/>
        </w:rPr>
        <w:t>八、《国有资本经营预算财政拨款收入支出决算表》</w:t>
      </w:r>
    </w:p>
    <w:p w14:paraId="3802A4C8">
      <w:pPr>
        <w:spacing w:line="240" w:lineRule="auto"/>
        <w:ind w:firstLine="640"/>
        <w:jc w:val="both"/>
      </w:pPr>
      <w:r>
        <w:rPr>
          <w:rFonts w:ascii="仿宋_GB2312" w:hAnsi="仿宋_GB2312" w:eastAsia="仿宋_GB2312"/>
          <w:b w:val="0"/>
          <w:sz w:val="32"/>
        </w:rPr>
        <w:t>九、《财政拨款“三公”经费支出决算表》</w:t>
      </w:r>
    </w:p>
    <w:p w14:paraId="64AF3439">
      <w:pPr>
        <w:spacing w:line="240" w:lineRule="auto"/>
        <w:ind w:firstLine="640"/>
        <w:jc w:val="both"/>
      </w:pPr>
    </w:p>
    <w:p w14:paraId="0520ADB3">
      <w:pPr>
        <w:spacing w:line="240" w:lineRule="auto"/>
        <w:ind w:firstLine="640"/>
        <w:jc w:val="both"/>
      </w:pPr>
    </w:p>
    <w:p w14:paraId="1A12BB13">
      <w:pPr>
        <w:spacing w:line="240" w:lineRule="auto"/>
        <w:ind w:firstLine="640"/>
        <w:jc w:val="both"/>
      </w:pPr>
    </w:p>
    <w:p w14:paraId="601E40E8">
      <w:pPr>
        <w:spacing w:line="240" w:lineRule="auto"/>
        <w:ind w:firstLine="640"/>
        <w:jc w:val="both"/>
      </w:pPr>
    </w:p>
    <w:p w14:paraId="6F6AA2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2C2DDA"/>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E105FB"/>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151F0E"/>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6046</Words>
  <Characters>6980</Characters>
  <Lines>0</Lines>
  <Paragraphs>0</Paragraphs>
  <TotalTime>3</TotalTime>
  <ScaleCrop>false</ScaleCrop>
  <LinksUpToDate>false</LinksUpToDate>
  <CharactersWithSpaces>6988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