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E96BCB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麦盖提县央塔克乡人民政府</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DFCB815">
      <w:r>
        <w:br w:type="page"/>
      </w:r>
    </w:p>
    <w:p w14:paraId="2A1B7C7C">
      <w:pPr>
        <w:spacing w:line="640" w:lineRule="exact"/>
        <w:jc w:val="center"/>
        <w:outlineLvl w:val="1"/>
      </w:pPr>
      <w:r>
        <w:rPr>
          <w:rFonts w:ascii="黑体" w:hAnsi="黑体" w:eastAsia="黑体"/>
          <w:sz w:val="32"/>
        </w:rPr>
        <w:t>第一部分 单位概况</w:t>
      </w:r>
    </w:p>
    <w:p w14:paraId="262BA7FE">
      <w:pPr>
        <w:spacing w:line="640" w:lineRule="exact"/>
        <w:ind w:firstLine="640"/>
        <w:jc w:val="both"/>
        <w:outlineLvl w:val="2"/>
      </w:pPr>
      <w:r>
        <w:rPr>
          <w:rFonts w:ascii="黑体" w:hAnsi="黑体" w:eastAsia="黑体"/>
          <w:sz w:val="32"/>
        </w:rPr>
        <w:t>一、主要职能</w:t>
      </w:r>
    </w:p>
    <w:p w14:paraId="29C823BA">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负责落实国家、自治区各项强农惠农政策；负责农业产业化调整规划和引导工作；负责制定并组织实施村镇建设规划、乡村道路建设和公共设施建设；负责土地、林木、水等自然资源和</w:t>
      </w:r>
      <w:r>
        <w:rPr>
          <w:rFonts w:hint="eastAsia" w:ascii="仿宋_GB2312" w:hAnsi="仿宋_GB2312" w:eastAsia="仿宋_GB2312"/>
          <w:sz w:val="32"/>
          <w:lang w:eastAsia="zh-CN"/>
        </w:rPr>
        <w:t>生态环境保护</w:t>
      </w:r>
      <w:r>
        <w:rPr>
          <w:rFonts w:ascii="仿宋_GB2312" w:hAnsi="仿宋_GB2312" w:eastAsia="仿宋_GB2312"/>
          <w:sz w:val="32"/>
        </w:rPr>
        <w:t>；负责农业生产环境监管和农产品质量安全；负责农村经营管理和指导；负责村级财务和土地承包流转监管工作，负责基本农田保护和农业科学技术推广工作；负责动植物防疫检疫工作；负责农田水利基本建设、防汛抗旱工作；负责指导农机安全管理、监督和检查工作；负责扶贫政策宣传、项目开发、技能培训，协调信贷扶贫工作。</w:t>
      </w:r>
    </w:p>
    <w:p w14:paraId="73D935C1">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本行政区域内的人口工作：协助配合教育行政部门做好幼儿教育、九年制义务教育、成人教育等工作；负责实施城乡居民就业、社会保险、卫生防疫和妇幼保健等工作；组织开展爱国卫生运动，实施农村公共卫生管理工作；负责组织实施社会救助救济、就业、养老、优抚、残疾人等管理服务工作；组织开展各类文化体育活动。</w:t>
      </w:r>
    </w:p>
    <w:p w14:paraId="632C64D9">
      <w:pPr>
        <w:spacing w:line="640" w:lineRule="exact"/>
        <w:ind w:firstLine="640"/>
        <w:jc w:val="both"/>
        <w:outlineLvl w:val="2"/>
      </w:pPr>
      <w:r>
        <w:rPr>
          <w:rFonts w:ascii="黑体" w:hAnsi="黑体" w:eastAsia="黑体"/>
          <w:sz w:val="32"/>
        </w:rPr>
        <w:t>二、机构设置及人员情况</w:t>
      </w:r>
    </w:p>
    <w:p w14:paraId="15125245">
      <w:pPr>
        <w:spacing w:line="580" w:lineRule="exact"/>
        <w:ind w:firstLine="640"/>
        <w:jc w:val="both"/>
      </w:pPr>
      <w:r>
        <w:rPr>
          <w:rFonts w:ascii="仿宋_GB2312" w:hAnsi="仿宋_GB2312" w:eastAsia="仿宋_GB2312"/>
          <w:sz w:val="32"/>
        </w:rPr>
        <w:t>麦盖提县央塔克乡人民政府2024年度，实有人数166人，其中：在职人员142人，减少11人；离休人员0人，增加0人；退休人员24人,增加2人。</w:t>
      </w:r>
    </w:p>
    <w:p w14:paraId="79435277">
      <w:pPr>
        <w:spacing w:line="580" w:lineRule="exact"/>
        <w:ind w:firstLine="640"/>
        <w:jc w:val="both"/>
      </w:pPr>
      <w:r>
        <w:rPr>
          <w:rFonts w:ascii="仿宋_GB2312" w:hAnsi="仿宋_GB2312" w:eastAsia="仿宋_GB2312"/>
          <w:sz w:val="32"/>
        </w:rPr>
        <w:t>麦盖提县央塔克乡人民政府无下属预算单位，下设10个科室，分别是：党政综合办公室、党建工作办公室、经济发展和财政办公室、社会事务办公室（退役军人服务站）、综合执法办公室、农业发展服务中心、公共文化服务中心、村镇建设发展中心、综治和网格化服务中心、便民服务中心。</w:t>
      </w:r>
    </w:p>
    <w:p w14:paraId="78FCC6EE">
      <w:r>
        <w:br w:type="page"/>
      </w:r>
    </w:p>
    <w:p w14:paraId="567BC943">
      <w:pPr>
        <w:spacing w:line="240" w:lineRule="auto"/>
        <w:jc w:val="center"/>
        <w:outlineLvl w:val="1"/>
      </w:pPr>
      <w:r>
        <w:rPr>
          <w:rFonts w:ascii="黑体" w:hAnsi="黑体" w:eastAsia="黑体"/>
          <w:sz w:val="32"/>
        </w:rPr>
        <w:t>第二部分 部门决算情况说明</w:t>
      </w:r>
    </w:p>
    <w:p w14:paraId="5337736E">
      <w:pPr>
        <w:spacing w:line="640" w:lineRule="exact"/>
        <w:ind w:firstLine="640"/>
        <w:jc w:val="both"/>
        <w:outlineLvl w:val="2"/>
      </w:pPr>
      <w:r>
        <w:rPr>
          <w:rFonts w:ascii="黑体" w:hAnsi="黑体" w:eastAsia="黑体"/>
          <w:sz w:val="32"/>
        </w:rPr>
        <w:t>一、收入支出决算总体情况说明</w:t>
      </w:r>
    </w:p>
    <w:p w14:paraId="56F01D73">
      <w:pPr>
        <w:spacing w:line="580" w:lineRule="exact"/>
        <w:ind w:firstLine="640"/>
        <w:jc w:val="both"/>
      </w:pPr>
      <w:r>
        <w:rPr>
          <w:rFonts w:ascii="仿宋_GB2312" w:hAnsi="仿宋_GB2312" w:eastAsia="仿宋_GB2312"/>
          <w:b/>
          <w:sz w:val="32"/>
        </w:rPr>
        <w:t>2024年度收入总计4,989.85万元，</w:t>
      </w:r>
      <w:r>
        <w:rPr>
          <w:rFonts w:ascii="仿宋_GB2312" w:hAnsi="仿宋_GB2312" w:eastAsia="仿宋_GB2312"/>
          <w:b w:val="0"/>
          <w:sz w:val="32"/>
        </w:rPr>
        <w:t>其中：本年收入合计4,989.85万元，使用非财政拨款结余（含专用结余）0.00万元，年初结转和结余0.00万元。</w:t>
      </w:r>
    </w:p>
    <w:p w14:paraId="5F622460">
      <w:pPr>
        <w:spacing w:line="580" w:lineRule="exact"/>
        <w:ind w:firstLine="640"/>
        <w:jc w:val="both"/>
      </w:pPr>
      <w:r>
        <w:rPr>
          <w:rFonts w:ascii="仿宋_GB2312" w:hAnsi="仿宋_GB2312" w:eastAsia="仿宋_GB2312"/>
          <w:b/>
          <w:sz w:val="32"/>
        </w:rPr>
        <w:t>2024年度支出总计4,989.85万元，</w:t>
      </w:r>
      <w:r>
        <w:rPr>
          <w:rFonts w:ascii="仿宋_GB2312" w:hAnsi="仿宋_GB2312" w:eastAsia="仿宋_GB2312"/>
          <w:b w:val="0"/>
          <w:sz w:val="32"/>
        </w:rPr>
        <w:t>其中：本年支出合计4,989.85万元，结余分配0.00万元，年末结转和结余0.00万元。</w:t>
      </w:r>
    </w:p>
    <w:p w14:paraId="75920617">
      <w:pPr>
        <w:spacing w:line="580" w:lineRule="exact"/>
        <w:ind w:firstLine="640"/>
        <w:jc w:val="both"/>
      </w:pPr>
      <w:r>
        <w:rPr>
          <w:rFonts w:ascii="仿宋_GB2312" w:hAnsi="仿宋_GB2312" w:eastAsia="仿宋_GB2312"/>
          <w:b w:val="0"/>
          <w:sz w:val="32"/>
        </w:rPr>
        <w:t>收入支出总体与上年相比，减少4,082.29万元，下降45.00%，主要原因是：本年减少麦盖提县央塔克乡克亚克勒克乌依村自治区重点示范村创建项目、央塔克乡办公等基础设施提升改造项目、2023年麦盖提县红枣特色小镇建设项目（农业一二三产融和项目）、2023年麦盖提县乡村振兴建设项目--乡村振兴示范村建设项目、2023年麦盖提县抓党建促稳定促振兴示范乡镇建设项目，奥依布格达依村美丽庭院项目，导致经费较上年减少。</w:t>
      </w:r>
    </w:p>
    <w:p w14:paraId="5BE59BFE">
      <w:pPr>
        <w:spacing w:line="640" w:lineRule="exact"/>
        <w:ind w:firstLine="640"/>
        <w:jc w:val="both"/>
        <w:outlineLvl w:val="2"/>
      </w:pPr>
      <w:r>
        <w:rPr>
          <w:rFonts w:ascii="黑体" w:hAnsi="黑体" w:eastAsia="黑体"/>
          <w:sz w:val="32"/>
        </w:rPr>
        <w:t>二、收入决算情况说明</w:t>
      </w:r>
    </w:p>
    <w:p w14:paraId="73E33D9D">
      <w:pPr>
        <w:spacing w:line="580" w:lineRule="exact"/>
        <w:ind w:firstLine="640"/>
        <w:jc w:val="both"/>
      </w:pPr>
      <w:r>
        <w:rPr>
          <w:rFonts w:ascii="仿宋_GB2312" w:hAnsi="仿宋_GB2312" w:eastAsia="仿宋_GB2312"/>
          <w:b/>
          <w:sz w:val="32"/>
        </w:rPr>
        <w:t>本年收入4,989.85万元，</w:t>
      </w:r>
      <w:r>
        <w:rPr>
          <w:rFonts w:ascii="仿宋_GB2312" w:hAnsi="仿宋_GB2312" w:eastAsia="仿宋_GB2312"/>
          <w:b w:val="0"/>
          <w:sz w:val="32"/>
        </w:rPr>
        <w:t>其中：财政拨款收入4,010.29万元，占80.37%；上级补助收入0.00万元，占0.00%；事业收入0.00万元，占0.00%；经营收入0.00万元，占0.00%；附属单位上缴收入0.00万元，占0.00%；其他收入979.56万元，占19.63%。</w:t>
      </w:r>
    </w:p>
    <w:p w14:paraId="74607589">
      <w:pPr>
        <w:spacing w:line="640" w:lineRule="exact"/>
        <w:ind w:firstLine="640"/>
        <w:jc w:val="both"/>
        <w:outlineLvl w:val="2"/>
      </w:pPr>
      <w:r>
        <w:rPr>
          <w:rFonts w:ascii="黑体" w:hAnsi="黑体" w:eastAsia="黑体"/>
          <w:sz w:val="32"/>
        </w:rPr>
        <w:t>三、支出决算情况说明</w:t>
      </w:r>
    </w:p>
    <w:p w14:paraId="3933084C">
      <w:pPr>
        <w:spacing w:line="580" w:lineRule="exact"/>
        <w:ind w:firstLine="640"/>
        <w:jc w:val="both"/>
      </w:pPr>
      <w:r>
        <w:rPr>
          <w:rFonts w:ascii="仿宋_GB2312" w:hAnsi="仿宋_GB2312" w:eastAsia="仿宋_GB2312"/>
          <w:b/>
          <w:sz w:val="32"/>
        </w:rPr>
        <w:t>本年支出4,989.85万元，</w:t>
      </w:r>
      <w:r>
        <w:rPr>
          <w:rFonts w:ascii="仿宋_GB2312" w:hAnsi="仿宋_GB2312" w:eastAsia="仿宋_GB2312"/>
          <w:b w:val="0"/>
          <w:sz w:val="32"/>
        </w:rPr>
        <w:t>其中：基本支出2,721.10万元，占54.53%；项目支出2,268.75万元，占45.47%；上缴上级支出0.00万元，占0.00%；经营支出0.00万元，占0.00%；对附属单位补助支出0.00万元，占0.00%。</w:t>
      </w:r>
    </w:p>
    <w:p w14:paraId="7C29F17C">
      <w:pPr>
        <w:spacing w:line="640" w:lineRule="exact"/>
        <w:ind w:firstLine="640"/>
        <w:jc w:val="both"/>
        <w:outlineLvl w:val="2"/>
      </w:pPr>
      <w:r>
        <w:rPr>
          <w:rFonts w:ascii="黑体" w:hAnsi="黑体" w:eastAsia="黑体"/>
          <w:sz w:val="32"/>
        </w:rPr>
        <w:t>四、财政拨款收入支出决算总体情况说明</w:t>
      </w:r>
    </w:p>
    <w:p w14:paraId="6FB55E09">
      <w:pPr>
        <w:spacing w:line="580" w:lineRule="exact"/>
        <w:ind w:firstLine="640"/>
        <w:jc w:val="both"/>
      </w:pPr>
      <w:r>
        <w:rPr>
          <w:rFonts w:ascii="仿宋_GB2312" w:hAnsi="仿宋_GB2312" w:eastAsia="仿宋_GB2312"/>
          <w:b/>
          <w:sz w:val="32"/>
        </w:rPr>
        <w:t>2024年度财政拨款收入总计4,010.29万元，</w:t>
      </w:r>
      <w:r>
        <w:rPr>
          <w:rFonts w:ascii="仿宋_GB2312" w:hAnsi="仿宋_GB2312" w:eastAsia="仿宋_GB2312"/>
          <w:b w:val="0"/>
          <w:sz w:val="32"/>
        </w:rPr>
        <w:t>其中：年初财政拨款结转和结余0.00万元，本年财政拨款收入4,010.29万元。</w:t>
      </w:r>
      <w:r>
        <w:rPr>
          <w:rFonts w:ascii="仿宋_GB2312" w:hAnsi="仿宋_GB2312" w:eastAsia="仿宋_GB2312"/>
          <w:b/>
          <w:sz w:val="32"/>
        </w:rPr>
        <w:t>财政拨款支出总计4,010.29万元，</w:t>
      </w:r>
      <w:r>
        <w:rPr>
          <w:rFonts w:ascii="仿宋_GB2312" w:hAnsi="仿宋_GB2312" w:eastAsia="仿宋_GB2312"/>
          <w:b w:val="0"/>
          <w:sz w:val="32"/>
        </w:rPr>
        <w:t>其中：年末财政拨款结转和结余0.00万元，本年财政拨款支出4,010.29万元。</w:t>
      </w:r>
    </w:p>
    <w:p w14:paraId="6AB9C06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1,398.04万元，下降25.85%，主要原因是：本年减少麦盖提县央塔克乡克亚克勒克乌依村自治区重点示范村创建项目、央塔克乡办公等基础设施提升改造项目、2023年麦盖提县红枣特色小镇建设项目（农业一二三产融和项目）、2023年麦盖提县乡村振兴建设项目--乡村振兴示范村建设项目、2023年麦盖提县抓党建促稳定促振兴示范乡镇建设项目，奥依布格达依村美丽庭院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2,774.42万元，决算数4,010.29万元，预决算差异率44.55%，主要原因是：本年度在职人员工资调薪，工资、社保、住房公积金等相关人员经费增加，年中追加人员经费；年中追加公共文化服务项目幸福大院运转经费、中央综合改革转移支付资金等项目经费，导致预决算存在差异。</w:t>
      </w:r>
    </w:p>
    <w:p w14:paraId="0A370627">
      <w:pPr>
        <w:spacing w:line="640" w:lineRule="exact"/>
        <w:ind w:firstLine="640"/>
        <w:jc w:val="both"/>
        <w:outlineLvl w:val="2"/>
      </w:pPr>
      <w:r>
        <w:rPr>
          <w:rFonts w:ascii="黑体" w:hAnsi="黑体" w:eastAsia="黑体"/>
          <w:sz w:val="32"/>
        </w:rPr>
        <w:t>五、一般公共预算财政拨款支出决算情况说明</w:t>
      </w:r>
    </w:p>
    <w:p w14:paraId="51CBEDC8">
      <w:pPr>
        <w:spacing w:line="640" w:lineRule="exact"/>
        <w:ind w:firstLine="640"/>
        <w:jc w:val="both"/>
        <w:outlineLvl w:val="3"/>
      </w:pPr>
      <w:r>
        <w:rPr>
          <w:rFonts w:ascii="楷体_GB2312" w:hAnsi="楷体_GB2312" w:eastAsia="楷体_GB2312"/>
          <w:b/>
          <w:sz w:val="32"/>
        </w:rPr>
        <w:t>（一）一般公共预算财政拨款支出决算总体情况</w:t>
      </w:r>
    </w:p>
    <w:p w14:paraId="6C76893A">
      <w:pPr>
        <w:spacing w:line="580" w:lineRule="exact"/>
        <w:ind w:firstLine="640"/>
        <w:jc w:val="both"/>
      </w:pPr>
      <w:r>
        <w:rPr>
          <w:rFonts w:ascii="仿宋_GB2312" w:hAnsi="仿宋_GB2312" w:eastAsia="仿宋_GB2312"/>
          <w:b/>
          <w:sz w:val="32"/>
        </w:rPr>
        <w:t>2024年度一般公共预算财政拨款支出3,982.79万元，</w:t>
      </w:r>
      <w:r>
        <w:rPr>
          <w:rFonts w:ascii="仿宋_GB2312" w:hAnsi="仿宋_GB2312" w:eastAsia="仿宋_GB2312"/>
          <w:b w:val="0"/>
          <w:sz w:val="32"/>
        </w:rPr>
        <w:t>占本年支出合计的79.82%。</w:t>
      </w:r>
      <w:r>
        <w:rPr>
          <w:rFonts w:ascii="仿宋_GB2312" w:hAnsi="仿宋_GB2312" w:eastAsia="仿宋_GB2312"/>
          <w:b/>
          <w:sz w:val="32"/>
        </w:rPr>
        <w:t>与上年相比，</w:t>
      </w:r>
      <w:r>
        <w:rPr>
          <w:rFonts w:ascii="仿宋_GB2312" w:hAnsi="仿宋_GB2312" w:eastAsia="仿宋_GB2312"/>
          <w:b w:val="0"/>
          <w:sz w:val="32"/>
        </w:rPr>
        <w:t>减少1,425.54万元，下降26.36%，主要原因是：本年减少麦盖提县央塔克乡克亚克勒克乌依村自治区重点示范村创建项目、央塔克乡办公等基础设施提升改造项目、2023年麦盖提县红枣特色小镇建设项目（农业一二三产融和项目）、2023年麦盖提县乡村振兴建设项目--乡村振兴示范村建设项目、2023年麦盖提县抓党建促稳定促振兴示范乡镇建设项目，奥依布格达依村美丽庭院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2,774.42万元，决算数3,982.79万元，预决算差异率43.55%，主要原因是：本年度在职人员工资调薪，工资、社保、住房公积金等相关人员经费增加，年中追加人员经费；年中追加公共文化服务项目幸福大院运转经费、中央综合改革转移支付资金等项目经费，导致预决算存在差异。</w:t>
      </w:r>
    </w:p>
    <w:p w14:paraId="15E7ACBD">
      <w:pPr>
        <w:spacing w:line="640" w:lineRule="exact"/>
        <w:ind w:firstLine="640"/>
        <w:jc w:val="both"/>
        <w:outlineLvl w:val="3"/>
      </w:pPr>
      <w:r>
        <w:rPr>
          <w:rFonts w:ascii="楷体_GB2312" w:hAnsi="楷体_GB2312" w:eastAsia="楷体_GB2312"/>
          <w:b/>
          <w:sz w:val="32"/>
        </w:rPr>
        <w:t>（二）一般公共预算财政拨款支出决算结构情况</w:t>
      </w:r>
    </w:p>
    <w:p w14:paraId="027D5405">
      <w:pPr>
        <w:spacing w:line="580" w:lineRule="exact"/>
        <w:ind w:firstLine="640"/>
        <w:jc w:val="both"/>
      </w:pPr>
      <w:r>
        <w:rPr>
          <w:rFonts w:ascii="仿宋_GB2312" w:hAnsi="仿宋_GB2312" w:eastAsia="仿宋_GB2312"/>
          <w:b w:val="0"/>
          <w:sz w:val="32"/>
        </w:rPr>
        <w:t>1.一般公共服务支出(类)2,430.86万元,占61.03%。</w:t>
      </w:r>
    </w:p>
    <w:p w14:paraId="595626B7">
      <w:pPr>
        <w:spacing w:line="580" w:lineRule="exact"/>
        <w:ind w:firstLine="640"/>
        <w:jc w:val="both"/>
      </w:pPr>
      <w:r>
        <w:rPr>
          <w:rFonts w:ascii="仿宋_GB2312" w:hAnsi="仿宋_GB2312" w:eastAsia="仿宋_GB2312"/>
          <w:b w:val="0"/>
          <w:sz w:val="32"/>
        </w:rPr>
        <w:t>2.文化旅游体育与传媒支出(类)30.30万元,占0.76%。</w:t>
      </w:r>
    </w:p>
    <w:p w14:paraId="5AA9A02E">
      <w:pPr>
        <w:spacing w:line="580" w:lineRule="exact"/>
        <w:ind w:firstLine="640"/>
        <w:jc w:val="both"/>
      </w:pPr>
      <w:r>
        <w:rPr>
          <w:rFonts w:ascii="仿宋_GB2312" w:hAnsi="仿宋_GB2312" w:eastAsia="仿宋_GB2312"/>
          <w:b w:val="0"/>
          <w:sz w:val="32"/>
        </w:rPr>
        <w:t>3.社会保障和就业支出(类)307.37万元,占7.72%。</w:t>
      </w:r>
    </w:p>
    <w:p w14:paraId="798E4A0B">
      <w:pPr>
        <w:spacing w:line="580" w:lineRule="exact"/>
        <w:ind w:firstLine="640"/>
        <w:jc w:val="both"/>
      </w:pPr>
      <w:r>
        <w:rPr>
          <w:rFonts w:ascii="仿宋_GB2312" w:hAnsi="仿宋_GB2312" w:eastAsia="仿宋_GB2312"/>
          <w:b w:val="0"/>
          <w:sz w:val="32"/>
        </w:rPr>
        <w:t>4.卫生健康支出(类)122.17万元,占3.07%。</w:t>
      </w:r>
    </w:p>
    <w:p w14:paraId="67F69B05">
      <w:pPr>
        <w:spacing w:line="580" w:lineRule="exact"/>
        <w:ind w:firstLine="640"/>
        <w:jc w:val="both"/>
      </w:pPr>
      <w:r>
        <w:rPr>
          <w:rFonts w:ascii="仿宋_GB2312" w:hAnsi="仿宋_GB2312" w:eastAsia="仿宋_GB2312"/>
          <w:b w:val="0"/>
          <w:sz w:val="32"/>
        </w:rPr>
        <w:t>5.节能环保支出(类)17.09万元,占0.43%。</w:t>
      </w:r>
    </w:p>
    <w:p w14:paraId="4FAD72A5">
      <w:pPr>
        <w:spacing w:line="580" w:lineRule="exact"/>
        <w:ind w:firstLine="640"/>
        <w:jc w:val="both"/>
      </w:pPr>
      <w:r>
        <w:rPr>
          <w:rFonts w:ascii="仿宋_GB2312" w:hAnsi="仿宋_GB2312" w:eastAsia="仿宋_GB2312"/>
          <w:b w:val="0"/>
          <w:sz w:val="32"/>
        </w:rPr>
        <w:t>6.农林水支出(类)872.91万元,占21.92%。</w:t>
      </w:r>
    </w:p>
    <w:p w14:paraId="3311FC55">
      <w:pPr>
        <w:spacing w:line="580" w:lineRule="exact"/>
        <w:ind w:firstLine="640"/>
        <w:jc w:val="both"/>
      </w:pPr>
      <w:r>
        <w:rPr>
          <w:rFonts w:ascii="仿宋_GB2312" w:hAnsi="仿宋_GB2312" w:eastAsia="仿宋_GB2312"/>
          <w:b w:val="0"/>
          <w:sz w:val="32"/>
        </w:rPr>
        <w:t>7.住房保障支出(类)196.20万元,占4.93%。</w:t>
      </w:r>
    </w:p>
    <w:p w14:paraId="33448F3C">
      <w:pPr>
        <w:spacing w:line="580" w:lineRule="exact"/>
        <w:ind w:firstLine="640"/>
        <w:jc w:val="both"/>
      </w:pPr>
      <w:r>
        <w:rPr>
          <w:rFonts w:ascii="仿宋_GB2312" w:hAnsi="仿宋_GB2312" w:eastAsia="仿宋_GB2312"/>
          <w:b w:val="0"/>
          <w:sz w:val="32"/>
        </w:rPr>
        <w:t>8.其他支出(类)5.89万元,占0.15%。</w:t>
      </w:r>
    </w:p>
    <w:p w14:paraId="77C31903">
      <w:pPr>
        <w:spacing w:line="640" w:lineRule="exact"/>
        <w:ind w:firstLine="640"/>
        <w:jc w:val="both"/>
        <w:outlineLvl w:val="3"/>
      </w:pPr>
      <w:r>
        <w:rPr>
          <w:rFonts w:ascii="楷体_GB2312" w:hAnsi="楷体_GB2312" w:eastAsia="楷体_GB2312"/>
          <w:b/>
          <w:sz w:val="32"/>
        </w:rPr>
        <w:t>（三）一般公共预算财政拨款支出决算具体情况</w:t>
      </w:r>
    </w:p>
    <w:p w14:paraId="4CEFF27E">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1.一般公共服务支出(类)政府办公厅（室）及相关机构事务(款)行政运行(项):支出决算数为2,110.36万元，比上年决算减少119.25万元，下降5.35%,主要原因是：本年在职人员减少，相应人员经费较上年减少。</w:t>
      </w:r>
    </w:p>
    <w:p w14:paraId="6993AC40">
      <w:pPr>
        <w:spacing w:line="580" w:lineRule="exact"/>
        <w:ind w:firstLine="640"/>
        <w:jc w:val="both"/>
      </w:pPr>
      <w:r>
        <w:rPr>
          <w:rFonts w:ascii="仿宋_GB2312" w:hAnsi="仿宋_GB2312" w:eastAsia="仿宋_GB2312"/>
          <w:b w:val="0"/>
          <w:sz w:val="32"/>
        </w:rPr>
        <w:t>2.一般公共服务支出(类)纪检监察事务(款)其他纪检监察事务支出(项):支出决算数为2.00万元，比上年决算增加0.50万元，增长33.33%,主要原因是：本年度纪检办公室办案经费增加，办公费用增加。</w:t>
      </w:r>
    </w:p>
    <w:p w14:paraId="79680A8E">
      <w:pPr>
        <w:spacing w:line="580" w:lineRule="exact"/>
        <w:ind w:firstLine="640"/>
        <w:jc w:val="both"/>
      </w:pPr>
      <w:r>
        <w:rPr>
          <w:rFonts w:ascii="仿宋_GB2312" w:hAnsi="仿宋_GB2312" w:eastAsia="仿宋_GB2312"/>
          <w:b w:val="0"/>
          <w:sz w:val="32"/>
        </w:rPr>
        <w:t>3.一般公共服务支出(类)组织事务(款)其他组织事务支出(项):支出决算数为318.50万元，比上年决算增加203.34万元，增长176.57%,主要原因是：本年增加第一书记为民办实事经费，导致相关经费增加。</w:t>
      </w:r>
    </w:p>
    <w:p w14:paraId="12F29E0D">
      <w:pPr>
        <w:spacing w:line="580" w:lineRule="exact"/>
        <w:ind w:firstLine="640"/>
        <w:jc w:val="both"/>
      </w:pPr>
      <w:r>
        <w:rPr>
          <w:rFonts w:ascii="仿宋_GB2312" w:hAnsi="仿宋_GB2312" w:eastAsia="仿宋_GB2312"/>
          <w:b w:val="0"/>
          <w:sz w:val="32"/>
        </w:rPr>
        <w:t>4.文化旅游体育与传媒支出(类)文化和旅游(款)群众文化(项):支出决算数为30.30万元，比上年决算增加30.30万元，增长100.00%,主要原因是：本年功能科目调整，中央补助地方公共文化服务体系建设补助资金项目上年在其他文化旅游体育与传媒支出科目列支，本年在群众文化科目列支，导致经费较上年增加。</w:t>
      </w:r>
    </w:p>
    <w:p w14:paraId="527B9107">
      <w:pPr>
        <w:spacing w:line="580" w:lineRule="exact"/>
        <w:ind w:firstLine="640"/>
        <w:jc w:val="both"/>
      </w:pPr>
      <w:r>
        <w:rPr>
          <w:rFonts w:ascii="仿宋_GB2312" w:hAnsi="仿宋_GB2312" w:eastAsia="仿宋_GB2312"/>
          <w:b w:val="0"/>
          <w:sz w:val="32"/>
        </w:rPr>
        <w:t>5.文化旅游体育与传媒支出(类)其他文化旅游体育与传媒支出(款)其他文化旅游体育与传媒支出(项):支出决算数为0.00万元，比上年决算减少20.00万元，下降100.00%,主要原因是：本年功能科目调整，中央补助地方公共文化服务体系建设补助资金项目上年在其他文化旅游体育与传媒支出科目列支，本年在群众文化科目列支，导致经费较上年减少。</w:t>
      </w:r>
    </w:p>
    <w:p w14:paraId="35516988">
      <w:pPr>
        <w:spacing w:line="580" w:lineRule="exact"/>
        <w:ind w:firstLine="640"/>
        <w:jc w:val="both"/>
      </w:pPr>
      <w:r>
        <w:rPr>
          <w:rFonts w:ascii="仿宋_GB2312" w:hAnsi="仿宋_GB2312" w:eastAsia="仿宋_GB2312"/>
          <w:b w:val="0"/>
          <w:sz w:val="32"/>
        </w:rPr>
        <w:t>6.社会保障和就业支出(类)民政管理事务(款)其他民政管理事务支出(项):支出决算数为5.00万元，比上年决算减少5.80万元，下降53.70%,主要原因是：本年度减少幸福大院冬季取暖电费等项目，导致相关经费减少。</w:t>
      </w:r>
    </w:p>
    <w:p w14:paraId="613E5BDB">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7.社会保障和就业支出(类)行政事业单位养老支出(款)行政单位离退休(项):支出决算数为28.12万元，比上年决算增加7.48万元，增长36.24%,主要原因是：本年增加退休人员基础绩效奖，退休费支出增加。</w:t>
      </w:r>
    </w:p>
    <w:p w14:paraId="33DA1502">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242.74万元，比上年决算增加14.33万元，增长6.27%,主要原因是：本年在职人员工资基数调增，养老缴费基数上涨，相应支出增加。</w:t>
      </w:r>
    </w:p>
    <w:p w14:paraId="049D3638">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9.社会保障和就业支出(类)行政事业单位养老支出(款)机关事业单位职业年金缴费支出(项):支出决算数为21.50万元，比上年决算增加14.29万元，增长198.20%,主要原因是：本年新增调出人员</w:t>
      </w:r>
      <w:r>
        <w:rPr>
          <w:rFonts w:hint="eastAsia" w:ascii="仿宋_GB2312" w:hAnsi="仿宋_GB2312" w:eastAsia="仿宋_GB2312"/>
          <w:b w:val="0"/>
          <w:sz w:val="32"/>
          <w:lang w:val="en-US" w:eastAsia="zh-CN"/>
        </w:rPr>
        <w:t>较上年增加</w:t>
      </w:r>
      <w:r>
        <w:rPr>
          <w:rFonts w:ascii="仿宋_GB2312" w:hAnsi="仿宋_GB2312" w:eastAsia="仿宋_GB2312"/>
          <w:b w:val="0"/>
          <w:sz w:val="32"/>
        </w:rPr>
        <w:t>，职业年金缴费支出增加。</w:t>
      </w:r>
    </w:p>
    <w:p w14:paraId="3A085FDF">
      <w:pPr>
        <w:spacing w:line="580" w:lineRule="exact"/>
        <w:ind w:firstLine="640"/>
        <w:jc w:val="both"/>
      </w:pPr>
      <w:r>
        <w:rPr>
          <w:rFonts w:ascii="仿宋_GB2312" w:hAnsi="仿宋_GB2312" w:eastAsia="仿宋_GB2312"/>
          <w:b w:val="0"/>
          <w:sz w:val="32"/>
        </w:rPr>
        <w:t>10.社会保障和就业支出(类)临时救助(款)临时救助支出(项):支出决算数为10.00万元，比上年决算减少150.08万元，下降93.75%,主要原因是：本年减少2024困难群众救助补助项目，导致相关经费减少。</w:t>
      </w:r>
    </w:p>
    <w:p w14:paraId="5CDD509C">
      <w:pPr>
        <w:spacing w:line="580" w:lineRule="exact"/>
        <w:ind w:firstLine="640"/>
        <w:jc w:val="both"/>
      </w:pPr>
      <w:r>
        <w:rPr>
          <w:rFonts w:ascii="仿宋_GB2312" w:hAnsi="仿宋_GB2312" w:eastAsia="仿宋_GB2312"/>
          <w:b w:val="0"/>
          <w:sz w:val="32"/>
        </w:rPr>
        <w:t>11.卫生健康支出(类)行政事业单位医疗(款)行政单位医疗(项):支出决算数为103.03万元，比上年决算增加8.96万元，增长9.52%,主要原因是：本年在职人员工资基数调增，医疗缴费基数上涨，相应支出增加。</w:t>
      </w:r>
    </w:p>
    <w:p w14:paraId="46227095">
      <w:pPr>
        <w:spacing w:line="580" w:lineRule="exact"/>
        <w:ind w:firstLine="640"/>
        <w:jc w:val="both"/>
      </w:pPr>
      <w:r>
        <w:rPr>
          <w:rFonts w:ascii="仿宋_GB2312" w:hAnsi="仿宋_GB2312" w:eastAsia="仿宋_GB2312"/>
          <w:b w:val="0"/>
          <w:sz w:val="32"/>
        </w:rPr>
        <w:t>12.卫生健康支出(类)行政事业单位医疗(款)公务员医疗补助(项):支出决算数为19.15万元，比上年决算增加0.98万元，增长5.39%,主要原因是：本年在职人员工资基数调增，医疗缴费基数上涨，相应支出增加。</w:t>
      </w:r>
    </w:p>
    <w:p w14:paraId="370C9E35">
      <w:pPr>
        <w:spacing w:line="580" w:lineRule="exact"/>
        <w:ind w:firstLine="640"/>
        <w:jc w:val="both"/>
      </w:pPr>
      <w:r>
        <w:rPr>
          <w:rFonts w:ascii="仿宋_GB2312" w:hAnsi="仿宋_GB2312" w:eastAsia="仿宋_GB2312"/>
          <w:b w:val="0"/>
          <w:sz w:val="32"/>
        </w:rPr>
        <w:t>13.节能环保支出(类)能源管理事务(款)能源行业管理(项):支出决算数为17.09万元，比上年决算增加17.09万元，增长100.00%,主要原因是：本年度增加2021年“煤改电”项目前期备用项目，导致相关经费增加。</w:t>
      </w:r>
    </w:p>
    <w:p w14:paraId="41D131FD">
      <w:pPr>
        <w:spacing w:line="580" w:lineRule="exact"/>
        <w:ind w:firstLine="640"/>
        <w:jc w:val="both"/>
      </w:pPr>
      <w:r>
        <w:rPr>
          <w:rFonts w:ascii="仿宋_GB2312" w:hAnsi="仿宋_GB2312" w:eastAsia="仿宋_GB2312"/>
          <w:b w:val="0"/>
          <w:sz w:val="32"/>
        </w:rPr>
        <w:t>14.农林水支出(类)巩固脱贫攻坚成果衔接乡村振兴(款)农村基础设施建设(项):支出决算数为0.00万元，比上年决算减少2,033.47万元，下降100.00%,主要原因是：本年减少麦盖提县央塔克乡克亚克勒克乌依村自治区重点示范村创建项目，导致相关经费减少。</w:t>
      </w:r>
    </w:p>
    <w:p w14:paraId="26707102">
      <w:pPr>
        <w:spacing w:line="580" w:lineRule="exact"/>
        <w:ind w:firstLine="640"/>
        <w:jc w:val="both"/>
      </w:pPr>
      <w:r>
        <w:rPr>
          <w:rFonts w:ascii="仿宋_GB2312" w:hAnsi="仿宋_GB2312" w:eastAsia="仿宋_GB2312"/>
          <w:b w:val="0"/>
          <w:sz w:val="32"/>
        </w:rPr>
        <w:t>15.农林水支出(类)巩固脱贫攻坚成果衔接乡村振兴(款)生产发展(项):支出决算数为73.48万元，比上年决算增加73.48万元，增长100.00%,主要原因是：本年增加央塔克乡产业（林果业）扶持以奖代补项目，导致相关经费增加。</w:t>
      </w:r>
    </w:p>
    <w:p w14:paraId="156A96D5">
      <w:pPr>
        <w:spacing w:line="580" w:lineRule="exact"/>
        <w:ind w:firstLine="640"/>
        <w:jc w:val="both"/>
      </w:pPr>
      <w:r>
        <w:rPr>
          <w:rFonts w:ascii="仿宋_GB2312" w:hAnsi="仿宋_GB2312" w:eastAsia="仿宋_GB2312"/>
          <w:b w:val="0"/>
          <w:sz w:val="32"/>
        </w:rPr>
        <w:t>16.农林水支出(类)农村综合改革(款)对村级公益事业建设的补助(项):支出决算数为199.97万元，比上年决算增加199.97万元，增长100.00%,主要原因是：本年新增农村综合改革转移支付（农村事业财政奖补）项目、中央综合改革转移支付资金项目（阿恰墩村）、中央综合改革转移支付资金项目（包勒喀村）、中央综合改革转移支付资金项目（央塔克村），导致相关经费增加。</w:t>
      </w:r>
    </w:p>
    <w:p w14:paraId="3709E206">
      <w:pPr>
        <w:spacing w:line="580" w:lineRule="exact"/>
        <w:ind w:firstLine="640"/>
        <w:jc w:val="both"/>
      </w:pPr>
      <w:r>
        <w:rPr>
          <w:rFonts w:ascii="仿宋_GB2312" w:hAnsi="仿宋_GB2312" w:eastAsia="仿宋_GB2312"/>
          <w:b w:val="0"/>
          <w:sz w:val="32"/>
        </w:rPr>
        <w:t>17.农林水支出(类)其他农林水支出(款)其他农林水支出(项):支出决算数为599.45万元，比上年决算增加572.00万元，增长2,083.79%,主要原因是：本年度新增麦盖提县2024美丽庭院建设项目、麦盖提县央塔克乡土地平整项目、麦盖提县央塔克乡土地平整项目（增减挂），导致相关经费增加。</w:t>
      </w:r>
    </w:p>
    <w:p w14:paraId="2C09A440">
      <w:pPr>
        <w:spacing w:line="580" w:lineRule="exact"/>
        <w:ind w:firstLine="640"/>
        <w:jc w:val="both"/>
      </w:pPr>
      <w:r>
        <w:rPr>
          <w:rFonts w:ascii="仿宋_GB2312" w:hAnsi="仿宋_GB2312" w:eastAsia="仿宋_GB2312"/>
          <w:b w:val="0"/>
          <w:sz w:val="32"/>
        </w:rPr>
        <w:t>18.住房保障支出(类)住房改革支出(款)住房公积金(项):支出决算数为196.20万元，比上年决算增加9.37万元，增长5.02%,主要原因是：本年在职人员工资基数调增，公积金缴费基数上涨，相应支出增加。</w:t>
      </w:r>
    </w:p>
    <w:p w14:paraId="7CF127FB">
      <w:pPr>
        <w:spacing w:line="580" w:lineRule="exact"/>
        <w:ind w:firstLine="640"/>
        <w:jc w:val="both"/>
      </w:pPr>
      <w:r>
        <w:rPr>
          <w:rFonts w:ascii="仿宋_GB2312" w:hAnsi="仿宋_GB2312" w:eastAsia="仿宋_GB2312"/>
          <w:b w:val="0"/>
          <w:sz w:val="32"/>
        </w:rPr>
        <w:t>19.其他支出(类)其他支出(款)其他支出(项):支出决算数为5.89万元，比上年决算减少249.04万元，下降97.69%,主要原因是：本年减少2023年</w:t>
      </w:r>
      <w:r>
        <w:rPr>
          <w:rFonts w:hint="eastAsia" w:ascii="仿宋_GB2312" w:hAnsi="仿宋_GB2312" w:eastAsia="仿宋_GB2312"/>
          <w:b w:val="0"/>
          <w:sz w:val="32"/>
          <w:lang w:eastAsia="zh-CN"/>
        </w:rPr>
        <w:t>为民办实事</w:t>
      </w:r>
      <w:r>
        <w:rPr>
          <w:rFonts w:ascii="仿宋_GB2312" w:hAnsi="仿宋_GB2312" w:eastAsia="仿宋_GB2312"/>
          <w:b w:val="0"/>
          <w:sz w:val="32"/>
        </w:rPr>
        <w:t>工作经费、2022年五小工程等项目，导致相关经费减少。</w:t>
      </w:r>
    </w:p>
    <w:p w14:paraId="46DE9A5D">
      <w:pPr>
        <w:spacing w:line="640" w:lineRule="exact"/>
        <w:ind w:firstLine="640"/>
        <w:jc w:val="both"/>
        <w:outlineLvl w:val="2"/>
      </w:pPr>
      <w:r>
        <w:rPr>
          <w:rFonts w:ascii="黑体" w:hAnsi="黑体" w:eastAsia="黑体"/>
          <w:sz w:val="32"/>
        </w:rPr>
        <w:t>六、一般公共预算财政拨款基本支出决算情况说明</w:t>
      </w:r>
    </w:p>
    <w:p w14:paraId="62220CC2">
      <w:pPr>
        <w:spacing w:line="580" w:lineRule="exact"/>
        <w:ind w:firstLine="640"/>
        <w:jc w:val="both"/>
      </w:pPr>
      <w:r>
        <w:rPr>
          <w:rFonts w:ascii="仿宋_GB2312" w:hAnsi="仿宋_GB2312" w:eastAsia="仿宋_GB2312"/>
          <w:b w:val="0"/>
          <w:sz w:val="32"/>
        </w:rPr>
        <w:t>2024年度一般公共预算财政拨款基本支出2,721.10万元，其中：</w:t>
      </w:r>
      <w:r>
        <w:rPr>
          <w:rFonts w:ascii="仿宋_GB2312" w:hAnsi="仿宋_GB2312" w:eastAsia="仿宋_GB2312"/>
          <w:b/>
          <w:sz w:val="32"/>
        </w:rPr>
        <w:t>人员经费2,539.04万元，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0B588E56">
      <w:pPr>
        <w:spacing w:line="580" w:lineRule="exact"/>
        <w:ind w:firstLine="640"/>
        <w:jc w:val="both"/>
      </w:pPr>
      <w:r>
        <w:rPr>
          <w:rFonts w:ascii="仿宋_GB2312" w:hAnsi="仿宋_GB2312" w:eastAsia="仿宋_GB2312"/>
          <w:b/>
          <w:sz w:val="32"/>
        </w:rPr>
        <w:t>公用经费182.06万元，</w:t>
      </w:r>
      <w:r>
        <w:rPr>
          <w:rFonts w:ascii="仿宋_GB2312" w:hAnsi="仿宋_GB2312" w:eastAsia="仿宋_GB2312"/>
          <w:b w:val="0"/>
          <w:sz w:val="32"/>
        </w:rPr>
        <w:t>包括：办公费、印刷费、咨询费、电费、邮电费、取暖费、差旅费、维修（护）费、委托业务费、公务用车运行维护费、其他交通费用、其他商品和服务支出。</w:t>
      </w:r>
    </w:p>
    <w:p w14:paraId="2C44D14A">
      <w:pPr>
        <w:spacing w:line="640" w:lineRule="exact"/>
        <w:ind w:firstLine="640"/>
        <w:jc w:val="both"/>
        <w:outlineLvl w:val="2"/>
      </w:pPr>
      <w:r>
        <w:rPr>
          <w:rFonts w:ascii="黑体" w:hAnsi="黑体" w:eastAsia="黑体"/>
          <w:sz w:val="32"/>
        </w:rPr>
        <w:t>七、政府性基金预算财政拨款收入支出决算情况说明</w:t>
      </w:r>
    </w:p>
    <w:p w14:paraId="30461CF1">
      <w:pPr>
        <w:spacing w:line="580" w:lineRule="exact"/>
        <w:ind w:firstLine="640"/>
        <w:jc w:val="both"/>
      </w:pPr>
      <w:r>
        <w:rPr>
          <w:rFonts w:ascii="仿宋_GB2312" w:hAnsi="仿宋_GB2312" w:eastAsia="仿宋_GB2312"/>
          <w:b/>
          <w:sz w:val="32"/>
        </w:rPr>
        <w:t>2024年度政府性基金预算财政拨款收入总计27.50万元，</w:t>
      </w:r>
      <w:r>
        <w:rPr>
          <w:rFonts w:ascii="仿宋_GB2312" w:hAnsi="仿宋_GB2312" w:eastAsia="仿宋_GB2312"/>
          <w:b w:val="0"/>
          <w:sz w:val="32"/>
        </w:rPr>
        <w:t>其中：年初结转和结余0.00万元，本年收入27.50万元。</w:t>
      </w:r>
      <w:r>
        <w:rPr>
          <w:rFonts w:ascii="仿宋_GB2312" w:hAnsi="仿宋_GB2312" w:eastAsia="仿宋_GB2312"/>
          <w:b/>
          <w:sz w:val="32"/>
        </w:rPr>
        <w:t>政府性基金预算财政拨款支出总计27.50万元，</w:t>
      </w:r>
      <w:r>
        <w:rPr>
          <w:rFonts w:ascii="仿宋_GB2312" w:hAnsi="仿宋_GB2312" w:eastAsia="仿宋_GB2312"/>
          <w:b w:val="0"/>
          <w:sz w:val="32"/>
        </w:rPr>
        <w:t>其中：年末结转和结余0.00万元，本年支出27.50万元。</w:t>
      </w:r>
    </w:p>
    <w:p w14:paraId="7371A914">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增加27.50万元，增长100.00%，主要原因是：本年增加老年助餐设施设备一次性补助示范、2024年喀什地区本级福利彩票公益金支持社会组织参与基层社会治理等项目，导致相关经费增加。</w:t>
      </w:r>
      <w:r>
        <w:rPr>
          <w:rFonts w:ascii="仿宋_GB2312" w:hAnsi="仿宋_GB2312" w:eastAsia="仿宋_GB2312"/>
          <w:b/>
          <w:sz w:val="32"/>
        </w:rPr>
        <w:t>与年初预算相比，</w:t>
      </w:r>
      <w:r>
        <w:rPr>
          <w:rFonts w:ascii="仿宋_GB2312" w:hAnsi="仿宋_GB2312" w:eastAsia="仿宋_GB2312"/>
          <w:b w:val="0"/>
          <w:sz w:val="32"/>
        </w:rPr>
        <w:t>年初预算数0.00万元，决算数27.50万元，预决算差异率100.00%，主要原因是：年中追加老年助餐设施设备一次性补助示范、2024年喀什地区本级福利彩票公益金支持社会组织参与基层社会治理等项目，导致预决算存在差异。</w:t>
      </w:r>
    </w:p>
    <w:p w14:paraId="5A9538C1">
      <w:pPr>
        <w:spacing w:line="580" w:lineRule="exact"/>
        <w:ind w:firstLine="640"/>
        <w:jc w:val="both"/>
      </w:pPr>
      <w:r>
        <w:rPr>
          <w:rFonts w:ascii="仿宋_GB2312" w:hAnsi="仿宋_GB2312" w:eastAsia="仿宋_GB2312"/>
          <w:b w:val="0"/>
          <w:sz w:val="32"/>
        </w:rPr>
        <w:t>政府性基金预算财政拨款支出27.50万元。</w:t>
      </w:r>
    </w:p>
    <w:p w14:paraId="00604A93">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27.50万元，比上年决算增加27.50万元，增长100.00%,主要原因是：本年增加老年助餐设施设备一次性补助示范、2024年喀什地区本级福利彩票公益金支持社会组织参与基层社会治理等项目，导致相关经费增加。</w:t>
      </w:r>
    </w:p>
    <w:p w14:paraId="629E74EF">
      <w:pPr>
        <w:spacing w:line="640" w:lineRule="exact"/>
        <w:ind w:firstLine="640"/>
        <w:jc w:val="both"/>
        <w:outlineLvl w:val="2"/>
      </w:pPr>
      <w:r>
        <w:rPr>
          <w:rFonts w:ascii="黑体" w:hAnsi="黑体" w:eastAsia="黑体"/>
          <w:sz w:val="32"/>
        </w:rPr>
        <w:t>八、国有资本经营预算财政拨款收入支出决算情况说明</w:t>
      </w:r>
    </w:p>
    <w:p w14:paraId="4EAC49B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3197CAB">
      <w:pPr>
        <w:spacing w:line="640" w:lineRule="exact"/>
        <w:ind w:firstLine="640"/>
        <w:jc w:val="both"/>
        <w:outlineLvl w:val="2"/>
      </w:pPr>
      <w:r>
        <w:rPr>
          <w:rFonts w:ascii="黑体" w:hAnsi="黑体" w:eastAsia="黑体"/>
          <w:sz w:val="32"/>
        </w:rPr>
        <w:t>九、财政拨款“三公”经费支出决算情况说明</w:t>
      </w:r>
    </w:p>
    <w:p w14:paraId="36DDED7D">
      <w:pPr>
        <w:spacing w:line="580" w:lineRule="exact"/>
        <w:ind w:firstLine="640"/>
        <w:jc w:val="both"/>
      </w:pPr>
      <w:r>
        <w:rPr>
          <w:rFonts w:ascii="仿宋_GB2312" w:hAnsi="仿宋_GB2312" w:eastAsia="仿宋_GB2312"/>
          <w:b/>
          <w:sz w:val="32"/>
        </w:rPr>
        <w:t>2024年度财政拨款“三公”经费支出15.98万元，</w:t>
      </w:r>
      <w:r>
        <w:rPr>
          <w:rFonts w:ascii="仿宋_GB2312" w:hAnsi="仿宋_GB2312" w:eastAsia="仿宋_GB2312"/>
          <w:b w:val="0"/>
          <w:sz w:val="32"/>
        </w:rPr>
        <w:t>比上年减少16.98万元，下降51.52%，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15.98万元，占100.00%，比上年减少16.98万元，下降51.52%，主要原因是：严格落实中央八项规定精神，厉行节约，减少公务用车运行维护费。公务接待费支出0.00万元，占0.00%，比上年增加0.00万元，增长0.00%，主要原因是：2023年与2024年均未安排公务接待费支出。</w:t>
      </w:r>
    </w:p>
    <w:p w14:paraId="484846BA">
      <w:pPr>
        <w:spacing w:line="580" w:lineRule="exact"/>
        <w:ind w:firstLine="640"/>
        <w:jc w:val="both"/>
      </w:pPr>
      <w:r>
        <w:rPr>
          <w:rFonts w:ascii="仿宋_GB2312" w:hAnsi="仿宋_GB2312" w:eastAsia="仿宋_GB2312"/>
          <w:b/>
          <w:sz w:val="32"/>
        </w:rPr>
        <w:t>具体情况如下：</w:t>
      </w:r>
    </w:p>
    <w:p w14:paraId="5C4DD92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7EFDEB5">
      <w:pPr>
        <w:spacing w:line="580" w:lineRule="exact"/>
        <w:ind w:firstLine="640"/>
        <w:jc w:val="both"/>
      </w:pPr>
      <w:r>
        <w:rPr>
          <w:rFonts w:ascii="仿宋_GB2312" w:hAnsi="仿宋_GB2312" w:eastAsia="仿宋_GB2312"/>
          <w:b w:val="0"/>
          <w:sz w:val="32"/>
        </w:rPr>
        <w:t>公务用车购置及运行维护费15.98万元，其中：公务用车购置费0.00万元，公务用车运行维护费15.98万元。公务用车运行维护费开支内容包括车辆燃油费、保险费、维修维护费。公务用车购置数0辆，公务用车保有量7辆。国有资产占用情况中固定资产车辆7辆，与公务用车保有量差异原因是：本单位固定资产车辆与公务用车保有量一致无差异。</w:t>
      </w:r>
    </w:p>
    <w:p w14:paraId="4DC96A1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ED44ED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15.98万元，决算数15.98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15.98万元，决算数15.98万元，预决算差异率0.00%，主要原因是：严格按照预算执行，预决算无差异。公务接待费全年预算数0.00万元，决算数0.00万元，预决算差异率0.00%，主要原因是：本单位无公务接待费。</w:t>
      </w:r>
    </w:p>
    <w:p w14:paraId="1BBB4DDB">
      <w:pPr>
        <w:spacing w:line="640" w:lineRule="exact"/>
        <w:ind w:firstLine="640"/>
        <w:jc w:val="both"/>
        <w:outlineLvl w:val="2"/>
      </w:pPr>
      <w:r>
        <w:rPr>
          <w:rFonts w:ascii="黑体" w:hAnsi="黑体" w:eastAsia="黑体"/>
          <w:sz w:val="32"/>
        </w:rPr>
        <w:t>十、其他重要事项的情况说明</w:t>
      </w:r>
    </w:p>
    <w:p w14:paraId="4D05A924">
      <w:pPr>
        <w:spacing w:line="640" w:lineRule="exact"/>
        <w:ind w:firstLine="640"/>
        <w:jc w:val="both"/>
        <w:outlineLvl w:val="3"/>
      </w:pPr>
      <w:r>
        <w:rPr>
          <w:rFonts w:ascii="楷体_GB2312" w:hAnsi="楷体_GB2312" w:eastAsia="楷体_GB2312"/>
          <w:b/>
          <w:sz w:val="32"/>
        </w:rPr>
        <w:t>（一）机关运行经费及公用经费支出情况</w:t>
      </w:r>
    </w:p>
    <w:p w14:paraId="5C926F21">
      <w:pPr>
        <w:spacing w:line="580" w:lineRule="exact"/>
        <w:ind w:firstLine="640"/>
        <w:jc w:val="both"/>
      </w:pPr>
      <w:r>
        <w:rPr>
          <w:rFonts w:ascii="仿宋_GB2312" w:hAnsi="仿宋_GB2312" w:eastAsia="仿宋_GB2312"/>
          <w:b w:val="0"/>
          <w:sz w:val="32"/>
        </w:rPr>
        <w:t>2024年度麦盖提县央塔克乡人民政府（行政单位和参照公务员法管理事业单位）机关运行经费支出182.06万元，比上年减少101.25万元，下降35.74%，主要原因是：本年减少办公经费、委托业务费等，导致机关运行经费支出减少。</w:t>
      </w:r>
    </w:p>
    <w:p w14:paraId="5D8C59B8">
      <w:pPr>
        <w:spacing w:line="640" w:lineRule="exact"/>
        <w:ind w:firstLine="640"/>
        <w:jc w:val="both"/>
        <w:outlineLvl w:val="3"/>
      </w:pPr>
      <w:r>
        <w:rPr>
          <w:rFonts w:ascii="楷体_GB2312" w:hAnsi="楷体_GB2312" w:eastAsia="楷体_GB2312"/>
          <w:b/>
          <w:sz w:val="32"/>
        </w:rPr>
        <w:t>（二）政府采购情况</w:t>
      </w:r>
    </w:p>
    <w:p w14:paraId="57437CA7">
      <w:pPr>
        <w:spacing w:line="580" w:lineRule="exact"/>
        <w:ind w:firstLine="640"/>
        <w:jc w:val="both"/>
      </w:pPr>
      <w:r>
        <w:rPr>
          <w:rFonts w:ascii="仿宋_GB2312" w:hAnsi="仿宋_GB2312" w:eastAsia="仿宋_GB2312"/>
          <w:b w:val="0"/>
          <w:sz w:val="32"/>
        </w:rPr>
        <w:t>2024年度政府采购支出总额251.49万元，其中：政府采购货物支出219.79万元、政府采购工程支出16.14万元、政府采购服务支出15.56万元。</w:t>
      </w:r>
    </w:p>
    <w:p w14:paraId="604BCE09">
      <w:pPr>
        <w:spacing w:line="580" w:lineRule="exact"/>
        <w:ind w:firstLine="640"/>
        <w:jc w:val="both"/>
      </w:pPr>
      <w:r>
        <w:rPr>
          <w:rFonts w:ascii="仿宋_GB2312" w:hAnsi="仿宋_GB2312" w:eastAsia="仿宋_GB2312"/>
          <w:b w:val="0"/>
          <w:sz w:val="32"/>
        </w:rPr>
        <w:t>授予中小企业合同金额240.41万元，占政府采购支出总额的95.59%，其中：授予小微企业合同金额65.07万元，占政府采购支出总额的25.87%。</w:t>
      </w:r>
    </w:p>
    <w:p w14:paraId="61201E68">
      <w:pPr>
        <w:spacing w:line="640" w:lineRule="exact"/>
        <w:ind w:firstLine="640"/>
        <w:jc w:val="both"/>
        <w:outlineLvl w:val="3"/>
      </w:pPr>
      <w:r>
        <w:rPr>
          <w:rFonts w:ascii="楷体_GB2312" w:hAnsi="楷体_GB2312" w:eastAsia="楷体_GB2312"/>
          <w:b/>
          <w:sz w:val="32"/>
        </w:rPr>
        <w:t>（三）国有资产占用情况说明</w:t>
      </w:r>
    </w:p>
    <w:p w14:paraId="17C9C104">
      <w:pPr>
        <w:spacing w:line="580" w:lineRule="exact"/>
        <w:ind w:firstLine="640"/>
        <w:jc w:val="both"/>
      </w:pPr>
      <w:r>
        <w:rPr>
          <w:rFonts w:ascii="仿宋_GB2312" w:hAnsi="仿宋_GB2312" w:eastAsia="仿宋_GB2312"/>
          <w:b w:val="0"/>
          <w:sz w:val="32"/>
        </w:rPr>
        <w:t>截至2024年12月31日，房屋8,756.33平方米，价值1,880.83万元。车辆7辆，价值74.96万元，其中：副部（省）级及以上领导用车0辆、主要负责人用车0辆、机要通信用车0辆、应急保障用车0辆、执法执勤用车0辆、特种专业技术用车0辆、离退休干部服务用车0辆、其他用车7辆，其他用车主要是：一般公务用车。单价100万元（含）以上设备（不含车辆）1台（套）。</w:t>
      </w:r>
    </w:p>
    <w:p w14:paraId="2F70D068">
      <w:pPr>
        <w:spacing w:line="640" w:lineRule="exact"/>
        <w:ind w:firstLine="640"/>
        <w:jc w:val="both"/>
        <w:outlineLvl w:val="2"/>
      </w:pPr>
      <w:r>
        <w:rPr>
          <w:rFonts w:ascii="黑体" w:hAnsi="黑体" w:eastAsia="黑体"/>
          <w:sz w:val="32"/>
        </w:rPr>
        <w:t>十一、预算绩效的情况说明</w:t>
      </w:r>
    </w:p>
    <w:p w14:paraId="071AE45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5,122.12万元，实际执行总额4,989.85万元；预算绩效评价项目4个，全年预算数1,230.84万元，全年执行数1,230.83万元。预算绩效管理取得的成效：一是预算绩效管理制度建设不断完善。围绕建立“全方位、全过程、全覆盖”的预算绩效管理体系目标，强化制度设计，建立健全制度办法和工作机制，涵盖了事前绩效评估、绩效目标管理、绩效运行监控、绩效评价及结果应用等各环节，为推动预算绩效管理工作奠定了坚实的制度基础。二是预算绩效管理格局初步形成。将本级预算收支全部纳入预算绩效管理，提高财政资源配置效益和可持续性。在逐步深化项目绩效管理的基础上，不断提升管理层级，加快推动预算绩效管理。积极探索开展部门整体绩效目标编报；积极发挥考核“指挥棒”作用，把部门绩效管理工作纳入年底工作考核。发现的问题及原因：一是预算绩效观念不深入。</w:t>
      </w:r>
      <w:r>
        <w:rPr>
          <w:rFonts w:hint="eastAsia" w:ascii="仿宋_GB2312" w:hAnsi="仿宋_GB2312" w:eastAsia="仿宋_GB2312"/>
          <w:b w:val="0"/>
          <w:sz w:val="32"/>
          <w:lang w:eastAsia="zh-CN"/>
        </w:rPr>
        <w:t>本单位</w:t>
      </w:r>
      <w:r>
        <w:rPr>
          <w:rFonts w:ascii="仿宋_GB2312" w:hAnsi="仿宋_GB2312" w:eastAsia="仿宋_GB2312"/>
          <w:b w:val="0"/>
          <w:sz w:val="32"/>
        </w:rPr>
        <w:t>在日常财务工作中存在着一定程度的“重分配、轻管理、重支出、轻绩效”的情况，造成该问题的主要原因是自身绩效理念较薄弱，在绩效目标指标编制上仍有缺失，需要进一步加强对绩效管理工作的重视程度；二是预算绩效规范管理有盲点。在县财政逐步加强绩效管理的情况下，</w:t>
      </w:r>
      <w:r>
        <w:rPr>
          <w:rFonts w:hint="eastAsia" w:ascii="仿宋_GB2312" w:hAnsi="仿宋_GB2312" w:eastAsia="仿宋_GB2312"/>
          <w:b w:val="0"/>
          <w:sz w:val="32"/>
          <w:lang w:eastAsia="zh-CN"/>
        </w:rPr>
        <w:t>本单位</w:t>
      </w:r>
      <w:r>
        <w:rPr>
          <w:rFonts w:ascii="仿宋_GB2312" w:hAnsi="仿宋_GB2312" w:eastAsia="仿宋_GB2312"/>
          <w:b w:val="0"/>
          <w:sz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下一步改进措施：一是进一步增强绩效管理理念。在管理和使用预算资金的过程中，</w:t>
      </w:r>
      <w:r>
        <w:rPr>
          <w:rFonts w:hint="eastAsia" w:ascii="仿宋_GB2312" w:hAnsi="仿宋_GB2312" w:eastAsia="仿宋_GB2312"/>
          <w:b w:val="0"/>
          <w:sz w:val="32"/>
          <w:lang w:eastAsia="zh-CN"/>
        </w:rPr>
        <w:t>本单位</w:t>
      </w:r>
      <w:r>
        <w:rPr>
          <w:rFonts w:ascii="仿宋_GB2312" w:hAnsi="仿宋_GB2312" w:eastAsia="仿宋_GB2312"/>
          <w:b w:val="0"/>
          <w:sz w:val="32"/>
        </w:rPr>
        <w:t>将更加突出资金使用效益，做到“花钱必问效，无效必问责”。加强与县财政绩效评价股和第三方之间的沟通，严格按照绩效评价原则，开展资金安全性、规范性的监督，确保专项资金的使用符合绩效管理要求；二是进一步加强财务素养和专业技能培训。</w:t>
      </w:r>
      <w:r>
        <w:rPr>
          <w:rFonts w:hint="eastAsia" w:ascii="仿宋_GB2312" w:hAnsi="仿宋_GB2312" w:eastAsia="仿宋_GB2312"/>
          <w:b w:val="0"/>
          <w:sz w:val="32"/>
          <w:lang w:eastAsia="zh-CN"/>
        </w:rPr>
        <w:t>本单位</w:t>
      </w:r>
      <w:r>
        <w:rPr>
          <w:rFonts w:ascii="仿宋_GB2312" w:hAnsi="仿宋_GB2312" w:eastAsia="仿宋_GB2312"/>
          <w:b w:val="0"/>
          <w:sz w:val="32"/>
        </w:rPr>
        <w:t>希望邀请县财政局，针对预算资金绩效管理和相关法律法规开展培训，学习预算绩效管理的法律法规、规范要求，让绩效理念深入人心、让绩效管理人员熟知政策、知行合一。具体附整体支出绩效自评表，项目支出绩效自评表和评价报告。</w:t>
      </w:r>
    </w:p>
    <w:p w14:paraId="6A9E4E8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420C1C5">
        <w:tblPrEx>
          <w:tblCellMar>
            <w:top w:w="0" w:type="dxa"/>
            <w:left w:w="108" w:type="dxa"/>
            <w:bottom w:w="0" w:type="dxa"/>
            <w:right w:w="108" w:type="dxa"/>
          </w:tblCellMar>
        </w:tblPrEx>
        <w:tc>
          <w:tcPr>
            <w:tcW w:w="8847" w:type="dxa"/>
            <w:gridSpan w:val="9"/>
            <w:vAlign w:val="center"/>
          </w:tcPr>
          <w:p w14:paraId="30D160FF">
            <w:pPr>
              <w:jc w:val="center"/>
            </w:pPr>
            <w:r>
              <w:rPr>
                <w:rFonts w:ascii="宋体" w:hAnsi="宋体" w:eastAsia="宋体"/>
                <w:sz w:val="24"/>
              </w:rPr>
              <w:t>单位整体支出绩效自评表</w:t>
            </w:r>
          </w:p>
        </w:tc>
      </w:tr>
      <w:tr w14:paraId="0CF927C5">
        <w:tblPrEx>
          <w:tblCellMar>
            <w:top w:w="0" w:type="dxa"/>
            <w:left w:w="108" w:type="dxa"/>
            <w:bottom w:w="0" w:type="dxa"/>
            <w:right w:w="108" w:type="dxa"/>
          </w:tblCellMar>
        </w:tblPrEx>
        <w:tc>
          <w:tcPr>
            <w:tcW w:w="8847" w:type="dxa"/>
            <w:gridSpan w:val="9"/>
            <w:vAlign w:val="center"/>
          </w:tcPr>
          <w:p w14:paraId="1B4E7064">
            <w:pPr>
              <w:jc w:val="center"/>
            </w:pPr>
            <w:r>
              <w:rPr>
                <w:rFonts w:ascii="宋体" w:hAnsi="宋体" w:eastAsia="宋体"/>
                <w:sz w:val="24"/>
              </w:rPr>
              <w:t>（2024年度）</w:t>
            </w:r>
          </w:p>
        </w:tc>
      </w:tr>
      <w:tr w14:paraId="6A2657B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41144">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3E99313">
            <w:pPr>
              <w:jc w:val="center"/>
            </w:pPr>
            <w:r>
              <w:rPr>
                <w:rFonts w:ascii="宋体" w:hAnsi="宋体" w:eastAsia="宋体"/>
                <w:sz w:val="16"/>
              </w:rPr>
              <w:t>麦盖提县央塔克乡人民政府</w:t>
            </w:r>
          </w:p>
        </w:tc>
      </w:tr>
      <w:tr w14:paraId="04FA9AF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174BF0">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70033">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1A3C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D1541">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6A3E2">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D757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6D0A4">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D083B">
            <w:pPr>
              <w:jc w:val="center"/>
            </w:pPr>
            <w:r>
              <w:rPr>
                <w:rFonts w:ascii="宋体" w:hAnsi="宋体" w:eastAsia="宋体"/>
                <w:sz w:val="16"/>
              </w:rPr>
              <w:t>得分</w:t>
            </w:r>
          </w:p>
        </w:tc>
      </w:tr>
      <w:tr w14:paraId="1BEB8A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5D59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3BD2F">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889B2">
            <w:pPr>
              <w:jc w:val="center"/>
            </w:pPr>
            <w:r>
              <w:rPr>
                <w:rFonts w:ascii="宋体" w:hAnsi="宋体" w:eastAsia="宋体"/>
                <w:sz w:val="16"/>
              </w:rPr>
              <w:t>2,774.44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02901">
            <w:pPr>
              <w:jc w:val="center"/>
            </w:pPr>
            <w:r>
              <w:rPr>
                <w:rFonts w:ascii="宋体" w:hAnsi="宋体" w:eastAsia="宋体"/>
                <w:sz w:val="16"/>
              </w:rPr>
              <w:t>5,122.12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4B2D4">
            <w:pPr>
              <w:jc w:val="center"/>
            </w:pPr>
            <w:r>
              <w:rPr>
                <w:rFonts w:ascii="宋体" w:hAnsi="宋体" w:eastAsia="宋体"/>
                <w:sz w:val="16"/>
              </w:rPr>
              <w:t>4,989.85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D647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46436">
            <w:pPr>
              <w:jc w:val="center"/>
            </w:pPr>
            <w:r>
              <w:rPr>
                <w:rFonts w:ascii="宋体" w:hAnsi="宋体" w:eastAsia="宋体"/>
                <w:sz w:val="16"/>
              </w:rPr>
              <w:t>97.42%</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8A92C">
            <w:pPr>
              <w:jc w:val="center"/>
            </w:pPr>
            <w:r>
              <w:rPr>
                <w:rFonts w:ascii="宋体" w:hAnsi="宋体" w:eastAsia="宋体"/>
                <w:sz w:val="16"/>
              </w:rPr>
              <w:t>9.74</w:t>
            </w:r>
          </w:p>
        </w:tc>
      </w:tr>
      <w:tr w14:paraId="10E7B3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7439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B0EE7">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FC8FE">
            <w:pPr>
              <w:jc w:val="center"/>
            </w:pPr>
            <w:r>
              <w:rPr>
                <w:rFonts w:ascii="宋体" w:hAnsi="宋体" w:eastAsia="宋体"/>
                <w:sz w:val="16"/>
              </w:rPr>
              <w:t>104.50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12FBE">
            <w:pPr>
              <w:jc w:val="center"/>
            </w:pPr>
            <w:r>
              <w:rPr>
                <w:rFonts w:ascii="宋体" w:hAnsi="宋体" w:eastAsia="宋体"/>
                <w:sz w:val="16"/>
              </w:rPr>
              <w:t>1,782.60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6589D">
            <w:pPr>
              <w:jc w:val="center"/>
            </w:pPr>
            <w:r>
              <w:rPr>
                <w:rFonts w:ascii="宋体" w:hAnsi="宋体" w:eastAsia="宋体"/>
                <w:sz w:val="16"/>
              </w:rPr>
              <w:t>1,725.86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40EE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CC5E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F1E00">
            <w:pPr>
              <w:jc w:val="center"/>
            </w:pPr>
            <w:r>
              <w:rPr>
                <w:rFonts w:ascii="宋体" w:hAnsi="宋体" w:eastAsia="宋体"/>
                <w:sz w:val="16"/>
              </w:rPr>
              <w:t>—</w:t>
            </w:r>
          </w:p>
        </w:tc>
      </w:tr>
      <w:tr w14:paraId="404662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E1612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BA94C">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1830B">
            <w:pPr>
              <w:jc w:val="center"/>
            </w:pPr>
            <w:r>
              <w:rPr>
                <w:rFonts w:ascii="宋体" w:hAnsi="宋体" w:eastAsia="宋体"/>
                <w:sz w:val="16"/>
              </w:rPr>
              <w:t>2,669.94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32943">
            <w:pPr>
              <w:jc w:val="center"/>
            </w:pPr>
            <w:r>
              <w:rPr>
                <w:rFonts w:ascii="宋体" w:hAnsi="宋体" w:eastAsia="宋体"/>
                <w:sz w:val="16"/>
              </w:rPr>
              <w:t>2,322.51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DAA9C">
            <w:pPr>
              <w:jc w:val="center"/>
            </w:pPr>
            <w:r>
              <w:rPr>
                <w:rFonts w:ascii="宋体" w:hAnsi="宋体" w:eastAsia="宋体"/>
                <w:sz w:val="16"/>
              </w:rPr>
              <w:t>2,294.43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95E8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0015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208CF">
            <w:pPr>
              <w:jc w:val="center"/>
            </w:pPr>
            <w:r>
              <w:rPr>
                <w:rFonts w:ascii="宋体" w:hAnsi="宋体" w:eastAsia="宋体"/>
                <w:sz w:val="16"/>
              </w:rPr>
              <w:t>—</w:t>
            </w:r>
          </w:p>
        </w:tc>
      </w:tr>
      <w:tr w14:paraId="2F3DEE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9032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342F4">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942B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DFB56">
            <w:pPr>
              <w:jc w:val="center"/>
            </w:pPr>
            <w:r>
              <w:rPr>
                <w:rFonts w:ascii="宋体" w:hAnsi="宋体" w:eastAsia="宋体"/>
                <w:sz w:val="16"/>
              </w:rPr>
              <w:t>1,017.01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62506">
            <w:pPr>
              <w:jc w:val="center"/>
            </w:pPr>
            <w:r>
              <w:rPr>
                <w:rFonts w:ascii="宋体" w:hAnsi="宋体" w:eastAsia="宋体"/>
                <w:sz w:val="16"/>
              </w:rPr>
              <w:t>969.56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7AB6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F420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4E9C0">
            <w:pPr>
              <w:jc w:val="center"/>
            </w:pPr>
            <w:r>
              <w:rPr>
                <w:rFonts w:ascii="宋体" w:hAnsi="宋体" w:eastAsia="宋体"/>
                <w:sz w:val="16"/>
              </w:rPr>
              <w:t>—</w:t>
            </w:r>
          </w:p>
        </w:tc>
      </w:tr>
      <w:tr w14:paraId="2BA408D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DD859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01A43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852045">
            <w:pPr>
              <w:jc w:val="center"/>
              <w:rPr>
                <w:rFonts w:hint="eastAsia" w:eastAsia="宋体"/>
                <w:lang w:eastAsia="zh-CN"/>
              </w:rPr>
            </w:pPr>
            <w:r>
              <w:rPr>
                <w:rFonts w:hint="eastAsia" w:ascii="宋体" w:hAnsi="宋体"/>
                <w:sz w:val="16"/>
                <w:lang w:eastAsia="zh-CN"/>
              </w:rPr>
              <w:t>实际完成情况</w:t>
            </w:r>
          </w:p>
        </w:tc>
      </w:tr>
      <w:tr w14:paraId="395B5C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DDF46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B9127D">
            <w:pPr>
              <w:jc w:val="both"/>
            </w:pPr>
            <w:r>
              <w:rPr>
                <w:rFonts w:ascii="宋体" w:hAnsi="宋体" w:eastAsia="宋体"/>
                <w:sz w:val="16"/>
              </w:rPr>
              <w:t>1.管理本乡内的经济、教育、科技、文化、卫生、体育事业和财政、民政、治安、人民调解、安全生产监督管理等行政工作；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2.保护社会主义的全民财产和劳动群体集体所有财产，保护公民私人的合法所有财产，维护社会秩序，保障公民的</w:t>
            </w:r>
            <w:r>
              <w:rPr>
                <w:rFonts w:hint="eastAsia" w:ascii="宋体" w:hAnsi="宋体"/>
                <w:sz w:val="16"/>
                <w:lang w:eastAsia="zh-CN"/>
              </w:rPr>
              <w:t>人身权利</w:t>
            </w:r>
            <w:r>
              <w:rPr>
                <w:rFonts w:ascii="宋体" w:hAnsi="宋体" w:eastAsia="宋体"/>
                <w:sz w:val="16"/>
              </w:rPr>
              <w:t>、民主权利和其他权利；</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3.完成</w:t>
            </w:r>
            <w:r>
              <w:rPr>
                <w:rFonts w:hint="eastAsia" w:ascii="宋体" w:hAnsi="宋体"/>
                <w:sz w:val="16"/>
                <w:lang w:eastAsia="zh-CN"/>
              </w:rPr>
              <w:t>县委、县政府</w:t>
            </w:r>
            <w:r>
              <w:rPr>
                <w:rFonts w:ascii="宋体" w:hAnsi="宋体" w:eastAsia="宋体"/>
                <w:sz w:val="16"/>
              </w:rPr>
              <w:t>及上级主管部门交办的其他任务。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FDA5D1">
            <w:pPr>
              <w:jc w:val="both"/>
            </w:pPr>
            <w:r>
              <w:rPr>
                <w:rFonts w:ascii="宋体" w:hAnsi="宋体" w:eastAsia="宋体"/>
                <w:sz w:val="16"/>
              </w:rPr>
              <w:t>2024年度部门整体支出绩效自评综合得分99.74分，评价结果为“优”。</w:t>
            </w:r>
            <w:r>
              <w:rPr>
                <w:rFonts w:hint="eastAsia" w:ascii="宋体" w:hAnsi="宋体"/>
                <w:sz w:val="16"/>
                <w:lang w:eastAsia="zh-CN"/>
              </w:rPr>
              <w:t>本单位</w:t>
            </w:r>
            <w:r>
              <w:rPr>
                <w:rFonts w:ascii="宋体" w:hAnsi="宋体" w:eastAsia="宋体"/>
                <w:sz w:val="16"/>
              </w:rPr>
              <w:t>按照地委、行署、自治区要求，帮助群众树立了正确的价值观念和行为规范，增强了社会的凝聚力和向心力，减少了社会不平等现象，提高了民众的收入水平，确保了耕地占补平衡。2024年开展宣传教育活动12次，劳动力就业率达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保护社会主义的全民财产和劳动群体集体所有财产，保护公民私人的合法所有财产，维护社会秩序，保障公民的</w:t>
            </w:r>
            <w:r>
              <w:rPr>
                <w:rFonts w:hint="eastAsia" w:ascii="宋体" w:hAnsi="宋体"/>
                <w:sz w:val="16"/>
                <w:lang w:eastAsia="zh-CN"/>
              </w:rPr>
              <w:t>人身权利</w:t>
            </w:r>
            <w:r>
              <w:rPr>
                <w:rFonts w:ascii="宋体" w:hAnsi="宋体" w:eastAsia="宋体"/>
                <w:sz w:val="16"/>
              </w:rPr>
              <w:t>、民主权利和其他权利，本年度群众困难诉求解决完成率、防返贫监测覆盖率、耕地保护覆盖率均达100%。</w:t>
            </w:r>
          </w:p>
        </w:tc>
      </w:tr>
      <w:tr w14:paraId="05E041B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8845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CA6A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8DFE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DE56B">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73F22">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AEFF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84AB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78F29">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1B44E">
            <w:pPr>
              <w:jc w:val="center"/>
            </w:pPr>
            <w:r>
              <w:rPr>
                <w:rFonts w:ascii="宋体" w:hAnsi="宋体" w:eastAsia="宋体"/>
                <w:sz w:val="16"/>
              </w:rPr>
              <w:t>得分</w:t>
            </w:r>
          </w:p>
        </w:tc>
      </w:tr>
      <w:tr w14:paraId="26439FD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C3CDD">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1F82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AD272">
            <w:pPr>
              <w:jc w:val="center"/>
            </w:pPr>
            <w:r>
              <w:rPr>
                <w:rFonts w:ascii="宋体" w:hAnsi="宋体" w:eastAsia="宋体"/>
                <w:sz w:val="16"/>
              </w:rPr>
              <w:t>宣传教育活动次数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D7ABF">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A3950">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4A081">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78EDC">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CA13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5C6DB">
            <w:pPr>
              <w:jc w:val="center"/>
            </w:pPr>
            <w:r>
              <w:rPr>
                <w:rFonts w:ascii="宋体" w:hAnsi="宋体" w:eastAsia="宋体"/>
                <w:sz w:val="16"/>
              </w:rPr>
              <w:t>18</w:t>
            </w:r>
          </w:p>
        </w:tc>
      </w:tr>
      <w:tr w14:paraId="24CA47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09D84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5CE2E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85F6B">
            <w:pPr>
              <w:jc w:val="center"/>
            </w:pPr>
            <w:r>
              <w:rPr>
                <w:rFonts w:ascii="宋体" w:hAnsi="宋体" w:eastAsia="宋体"/>
                <w:sz w:val="16"/>
              </w:rPr>
              <w:t>劳动力就业率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CB56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44B9E">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3AFB1">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5063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4D10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8A4D0">
            <w:pPr>
              <w:jc w:val="center"/>
            </w:pPr>
            <w:r>
              <w:rPr>
                <w:rFonts w:ascii="宋体" w:hAnsi="宋体" w:eastAsia="宋体"/>
                <w:sz w:val="16"/>
              </w:rPr>
              <w:t>18</w:t>
            </w:r>
          </w:p>
        </w:tc>
      </w:tr>
      <w:tr w14:paraId="1DB02A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9A1B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03B2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F51E5">
            <w:pPr>
              <w:jc w:val="center"/>
            </w:pPr>
            <w:r>
              <w:rPr>
                <w:rFonts w:ascii="宋体" w:hAnsi="宋体" w:eastAsia="宋体"/>
                <w:sz w:val="16"/>
              </w:rPr>
              <w:t>群众困难诉求解决完成率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6EFA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8729F">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07BB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64B1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EDA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04EBC">
            <w:pPr>
              <w:jc w:val="center"/>
            </w:pPr>
            <w:r>
              <w:rPr>
                <w:rFonts w:ascii="宋体" w:hAnsi="宋体" w:eastAsia="宋体"/>
                <w:sz w:val="16"/>
              </w:rPr>
              <w:t>18</w:t>
            </w:r>
          </w:p>
        </w:tc>
      </w:tr>
      <w:tr w14:paraId="7DB6F3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27D19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FD82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FAEB6">
            <w:pPr>
              <w:jc w:val="center"/>
            </w:pPr>
            <w:r>
              <w:rPr>
                <w:rFonts w:ascii="宋体" w:hAnsi="宋体" w:eastAsia="宋体"/>
                <w:sz w:val="16"/>
              </w:rPr>
              <w:t>防返贫监测覆盖率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A5B3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C4DD7">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696C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6637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83A1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88065">
            <w:pPr>
              <w:jc w:val="center"/>
            </w:pPr>
            <w:r>
              <w:rPr>
                <w:rFonts w:ascii="宋体" w:hAnsi="宋体" w:eastAsia="宋体"/>
                <w:sz w:val="16"/>
              </w:rPr>
              <w:t>18</w:t>
            </w:r>
          </w:p>
        </w:tc>
      </w:tr>
      <w:tr w14:paraId="15299C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AA65E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B7B0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9AE1B">
            <w:pPr>
              <w:jc w:val="center"/>
            </w:pPr>
            <w:r>
              <w:rPr>
                <w:rFonts w:ascii="宋体" w:hAnsi="宋体" w:eastAsia="宋体"/>
                <w:sz w:val="16"/>
              </w:rPr>
              <w:t>耕地保护覆盖率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533B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0C33D">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DF8FA">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5245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1450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82746">
            <w:pPr>
              <w:jc w:val="center"/>
            </w:pPr>
            <w:r>
              <w:rPr>
                <w:rFonts w:ascii="宋体" w:hAnsi="宋体" w:eastAsia="宋体"/>
                <w:sz w:val="16"/>
              </w:rPr>
              <w:t>18</w:t>
            </w:r>
          </w:p>
        </w:tc>
      </w:tr>
    </w:tbl>
    <w:p w14:paraId="23939346">
      <w:r>
        <w:br w:type="page"/>
      </w:r>
    </w:p>
    <w:tbl>
      <w:tblPr>
        <w:tblStyle w:val="9"/>
        <w:tblW w:w="0" w:type="auto"/>
        <w:tblInd w:w="0" w:type="dxa"/>
        <w:tblLayout w:type="autofit"/>
        <w:tblCellMar>
          <w:top w:w="0" w:type="dxa"/>
          <w:left w:w="108" w:type="dxa"/>
          <w:bottom w:w="0" w:type="dxa"/>
          <w:right w:w="108" w:type="dxa"/>
        </w:tblCellMar>
      </w:tblPr>
      <w:tblGrid>
        <w:gridCol w:w="625"/>
        <w:gridCol w:w="616"/>
        <w:gridCol w:w="616"/>
        <w:gridCol w:w="616"/>
        <w:gridCol w:w="856"/>
        <w:gridCol w:w="616"/>
        <w:gridCol w:w="626"/>
        <w:gridCol w:w="616"/>
        <w:gridCol w:w="616"/>
        <w:gridCol w:w="621"/>
        <w:gridCol w:w="776"/>
        <w:gridCol w:w="631"/>
        <w:gridCol w:w="598"/>
        <w:gridCol w:w="631"/>
      </w:tblGrid>
      <w:tr w14:paraId="671B0280">
        <w:tblPrEx>
          <w:tblCellMar>
            <w:top w:w="0" w:type="dxa"/>
            <w:left w:w="108" w:type="dxa"/>
            <w:bottom w:w="0" w:type="dxa"/>
            <w:right w:w="108" w:type="dxa"/>
          </w:tblCellMar>
        </w:tblPrEx>
        <w:tc>
          <w:tcPr>
            <w:tcW w:w="8848" w:type="dxa"/>
            <w:gridSpan w:val="14"/>
            <w:vAlign w:val="center"/>
          </w:tcPr>
          <w:p w14:paraId="176EB786">
            <w:pPr>
              <w:jc w:val="center"/>
            </w:pPr>
            <w:r>
              <w:rPr>
                <w:rFonts w:ascii="宋体" w:hAnsi="宋体" w:eastAsia="宋体"/>
                <w:sz w:val="24"/>
              </w:rPr>
              <w:t>项目支出绩效自评表</w:t>
            </w:r>
          </w:p>
        </w:tc>
      </w:tr>
      <w:tr w14:paraId="6EF9A571">
        <w:tblPrEx>
          <w:tblCellMar>
            <w:top w:w="0" w:type="dxa"/>
            <w:left w:w="108" w:type="dxa"/>
            <w:bottom w:w="0" w:type="dxa"/>
            <w:right w:w="108" w:type="dxa"/>
          </w:tblCellMar>
        </w:tblPrEx>
        <w:tc>
          <w:tcPr>
            <w:tcW w:w="8848" w:type="dxa"/>
            <w:gridSpan w:val="14"/>
            <w:vAlign w:val="center"/>
          </w:tcPr>
          <w:p w14:paraId="22F24E2F">
            <w:pPr>
              <w:jc w:val="center"/>
            </w:pPr>
            <w:r>
              <w:rPr>
                <w:rFonts w:ascii="宋体" w:hAnsi="宋体" w:eastAsia="宋体"/>
                <w:sz w:val="24"/>
              </w:rPr>
              <w:t>(2024年度)</w:t>
            </w:r>
          </w:p>
        </w:tc>
      </w:tr>
      <w:tr w14:paraId="24897F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7825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337410">
            <w:pPr>
              <w:jc w:val="center"/>
            </w:pPr>
            <w:r>
              <w:rPr>
                <w:rFonts w:ascii="宋体" w:hAnsi="宋体" w:eastAsia="宋体"/>
                <w:sz w:val="16"/>
              </w:rPr>
              <w:t>2024年麦盖提县央塔克乡业务活动项目</w:t>
            </w:r>
          </w:p>
        </w:tc>
      </w:tr>
      <w:tr w14:paraId="52108D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C520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9119C5">
            <w:pPr>
              <w:jc w:val="center"/>
            </w:pPr>
            <w:r>
              <w:rPr>
                <w:rFonts w:ascii="宋体" w:hAnsi="宋体" w:eastAsia="宋体"/>
                <w:sz w:val="16"/>
              </w:rPr>
              <w:t>麦盖提县央塔克乡人民政府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54EE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3291A9">
            <w:pPr>
              <w:jc w:val="center"/>
            </w:pPr>
            <w:r>
              <w:rPr>
                <w:rFonts w:ascii="宋体" w:hAnsi="宋体" w:eastAsia="宋体"/>
                <w:sz w:val="16"/>
              </w:rPr>
              <w:t>麦盖提县央塔克乡人民政府</w:t>
            </w:r>
          </w:p>
        </w:tc>
      </w:tr>
      <w:tr w14:paraId="1FB66C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EB859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36AE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1086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72DA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5262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A31F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E89A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7E16C">
            <w:pPr>
              <w:jc w:val="center"/>
            </w:pPr>
            <w:r>
              <w:rPr>
                <w:rFonts w:ascii="宋体" w:hAnsi="宋体" w:eastAsia="宋体"/>
                <w:sz w:val="16"/>
              </w:rPr>
              <w:t>得分</w:t>
            </w:r>
          </w:p>
        </w:tc>
      </w:tr>
      <w:tr w14:paraId="5C74CA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105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9B2C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9781D">
            <w:pPr>
              <w:jc w:val="center"/>
            </w:pPr>
            <w:r>
              <w:rPr>
                <w:rFonts w:ascii="宋体" w:hAnsi="宋体" w:eastAsia="宋体"/>
                <w:sz w:val="16"/>
              </w:rPr>
              <w:t>79.50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5B14B">
            <w:pPr>
              <w:jc w:val="center"/>
            </w:pPr>
            <w:r>
              <w:rPr>
                <w:rFonts w:ascii="宋体" w:hAnsi="宋体" w:eastAsia="宋体"/>
                <w:sz w:val="16"/>
              </w:rPr>
              <w:t>140.27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40C71">
            <w:pPr>
              <w:jc w:val="center"/>
            </w:pPr>
            <w:r>
              <w:rPr>
                <w:rFonts w:ascii="宋体" w:hAnsi="宋体" w:eastAsia="宋体"/>
                <w:sz w:val="16"/>
              </w:rPr>
              <w:t>140.27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649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4E70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98804">
            <w:pPr>
              <w:jc w:val="center"/>
            </w:pPr>
            <w:r>
              <w:rPr>
                <w:rFonts w:ascii="宋体" w:hAnsi="宋体" w:eastAsia="宋体"/>
                <w:sz w:val="16"/>
              </w:rPr>
              <w:t>10.00分</w:t>
            </w:r>
          </w:p>
        </w:tc>
      </w:tr>
      <w:tr w14:paraId="5F10C3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D0E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4E02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AB954">
            <w:pPr>
              <w:jc w:val="center"/>
            </w:pPr>
            <w:r>
              <w:rPr>
                <w:rFonts w:ascii="宋体" w:hAnsi="宋体" w:eastAsia="宋体"/>
                <w:sz w:val="16"/>
              </w:rPr>
              <w:t>79.50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C29BD">
            <w:pPr>
              <w:jc w:val="center"/>
            </w:pPr>
            <w:r>
              <w:rPr>
                <w:rFonts w:ascii="宋体" w:hAnsi="宋体" w:eastAsia="宋体"/>
                <w:sz w:val="16"/>
              </w:rPr>
              <w:t>140.27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9C44F">
            <w:pPr>
              <w:jc w:val="center"/>
            </w:pPr>
            <w:r>
              <w:rPr>
                <w:rFonts w:ascii="宋体" w:hAnsi="宋体" w:eastAsia="宋体"/>
                <w:sz w:val="16"/>
              </w:rPr>
              <w:t>140.27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F71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3B9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DF7D0">
            <w:pPr>
              <w:jc w:val="center"/>
            </w:pPr>
            <w:r>
              <w:rPr>
                <w:rFonts w:ascii="宋体" w:hAnsi="宋体" w:eastAsia="宋体"/>
                <w:sz w:val="16"/>
              </w:rPr>
              <w:t>—</w:t>
            </w:r>
          </w:p>
        </w:tc>
      </w:tr>
      <w:tr w14:paraId="359316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36E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670F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95E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30F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3A1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F22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97D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D565F">
            <w:pPr>
              <w:jc w:val="center"/>
            </w:pPr>
            <w:r>
              <w:rPr>
                <w:rFonts w:ascii="宋体" w:hAnsi="宋体" w:eastAsia="宋体"/>
                <w:sz w:val="16"/>
              </w:rPr>
              <w:t>—</w:t>
            </w:r>
          </w:p>
        </w:tc>
      </w:tr>
      <w:tr w14:paraId="1B57F0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11623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52D78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CC0655">
            <w:pPr>
              <w:jc w:val="center"/>
            </w:pPr>
            <w:r>
              <w:rPr>
                <w:rFonts w:ascii="宋体" w:hAnsi="宋体" w:eastAsia="宋体"/>
                <w:sz w:val="16"/>
              </w:rPr>
              <w:t>实际完成情况</w:t>
            </w:r>
          </w:p>
        </w:tc>
      </w:tr>
      <w:tr w14:paraId="596047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DF8E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4026AA">
            <w:pPr>
              <w:jc w:val="both"/>
            </w:pPr>
            <w:r>
              <w:rPr>
                <w:rFonts w:ascii="宋体" w:hAnsi="宋体" w:eastAsia="宋体"/>
                <w:sz w:val="16"/>
              </w:rPr>
              <w:t>本项目总投资为140.27万元，主要用于保障</w:t>
            </w:r>
            <w:r>
              <w:rPr>
                <w:rFonts w:hint="eastAsia" w:ascii="宋体" w:hAnsi="宋体"/>
                <w:sz w:val="16"/>
                <w:lang w:eastAsia="zh-CN"/>
              </w:rPr>
              <w:t>本单位</w:t>
            </w:r>
            <w:r>
              <w:rPr>
                <w:rFonts w:ascii="宋体" w:hAnsi="宋体" w:eastAsia="宋体"/>
                <w:sz w:val="16"/>
              </w:rPr>
              <w:t>5个内设股室日常运转及7辆公务用车日常运行维护。项目的实施可有效提升社会公众服务能力，保障单位日常工作正常开展。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119F16">
            <w:pPr>
              <w:jc w:val="both"/>
            </w:pPr>
            <w:r>
              <w:rPr>
                <w:rFonts w:hint="eastAsia" w:ascii="宋体" w:hAnsi="宋体"/>
                <w:sz w:val="16"/>
                <w:lang w:eastAsia="zh-CN"/>
              </w:rPr>
              <w:t>截至2024</w:t>
            </w:r>
            <w:r>
              <w:rPr>
                <w:rFonts w:ascii="宋体" w:hAnsi="宋体" w:eastAsia="宋体"/>
                <w:sz w:val="16"/>
              </w:rPr>
              <w:t>年12月31日，项目实际支出140.27万元，支付日常办公运转产生的各类费用，保障了5个内设股室日常运转及7辆公务用车日常运行维护，项目的实施有效提升了社会公众服务能力，保障了单位日常工作正常开展。</w:t>
            </w:r>
          </w:p>
        </w:tc>
      </w:tr>
      <w:tr w14:paraId="5EBCE9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6160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0B0B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B8A1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F661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CE76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CABE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C39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84B7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D61D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E76B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4039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A53A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B3A2E">
            <w:pPr>
              <w:jc w:val="center"/>
            </w:pPr>
            <w:r>
              <w:rPr>
                <w:rFonts w:ascii="宋体" w:hAnsi="宋体" w:eastAsia="宋体"/>
                <w:sz w:val="16"/>
              </w:rPr>
              <w:t>偏差原因分析及改进措施</w:t>
            </w:r>
          </w:p>
        </w:tc>
      </w:tr>
      <w:tr w14:paraId="538DDE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EA4C8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6A13D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EA5CA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2BD79">
            <w:pPr>
              <w:jc w:val="center"/>
            </w:pPr>
            <w:r>
              <w:rPr>
                <w:rFonts w:ascii="宋体" w:hAnsi="宋体" w:eastAsia="宋体"/>
                <w:sz w:val="16"/>
              </w:rPr>
              <w:t>保障办公室数量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B751D">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4A8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CD1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DB6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401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901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A3947">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570C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63EBE">
            <w:pPr>
              <w:jc w:val="center"/>
            </w:pPr>
          </w:p>
        </w:tc>
      </w:tr>
      <w:tr w14:paraId="6AA6BB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122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27F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4C7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96BB3">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091A9">
            <w:pPr>
              <w:jc w:val="center"/>
            </w:pPr>
            <w:r>
              <w:rPr>
                <w:rFonts w:ascii="宋体" w:hAnsi="宋体" w:eastAsia="宋体"/>
                <w:sz w:val="16"/>
              </w:rPr>
              <w:t>&gt;=7辆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B2E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2C5C8">
            <w:pPr>
              <w:jc w:val="center"/>
            </w:pPr>
            <w:r>
              <w:rPr>
                <w:rFonts w:ascii="宋体" w:hAnsi="宋体" w:eastAsia="宋体"/>
                <w:sz w:val="16"/>
              </w:rPr>
              <w:t>7辆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3D7E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535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323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8D181">
            <w:pPr>
              <w:jc w:val="center"/>
            </w:pPr>
            <w:r>
              <w:rPr>
                <w:rFonts w:ascii="宋体" w:hAnsi="宋体" w:eastAsia="宋体"/>
                <w:sz w:val="16"/>
              </w:rPr>
              <w:t>=7辆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D041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F2EAD">
            <w:pPr>
              <w:jc w:val="center"/>
            </w:pPr>
          </w:p>
        </w:tc>
      </w:tr>
      <w:tr w14:paraId="69C5B9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76E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D55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A2E9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E65F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016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AB7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F9C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9237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2C1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335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30D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959D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C00D4">
            <w:pPr>
              <w:jc w:val="center"/>
            </w:pPr>
          </w:p>
        </w:tc>
      </w:tr>
      <w:tr w14:paraId="08389A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7D2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5CDA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8E4EC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0B409">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B872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49B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F1201">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4255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651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32A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D55F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AAA4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FB724">
            <w:pPr>
              <w:jc w:val="center"/>
            </w:pPr>
          </w:p>
        </w:tc>
      </w:tr>
      <w:tr w14:paraId="24F9EC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220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B09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E33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507A5">
            <w:pPr>
              <w:jc w:val="center"/>
            </w:pPr>
            <w:r>
              <w:rPr>
                <w:rFonts w:ascii="宋体" w:hAnsi="宋体" w:eastAsia="宋体"/>
                <w:sz w:val="16"/>
              </w:rPr>
              <w:t>公用经费支付及时率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EA5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9F1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ED8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DAB7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9A0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3A3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199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0F90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A1921">
            <w:pPr>
              <w:jc w:val="center"/>
            </w:pPr>
          </w:p>
        </w:tc>
      </w:tr>
      <w:tr w14:paraId="76EC02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A3B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4F157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570CD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02418">
            <w:pPr>
              <w:jc w:val="center"/>
            </w:pPr>
            <w:r>
              <w:rPr>
                <w:rFonts w:ascii="宋体" w:hAnsi="宋体" w:eastAsia="宋体"/>
                <w:sz w:val="16"/>
              </w:rPr>
              <w:t>保障办公运转成本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B0F6D">
            <w:pPr>
              <w:jc w:val="center"/>
            </w:pPr>
            <w:r>
              <w:rPr>
                <w:rFonts w:ascii="宋体" w:hAnsi="宋体" w:eastAsia="宋体"/>
                <w:sz w:val="16"/>
              </w:rPr>
              <w:t>&lt;=114.88万元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A4F4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E85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7AB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311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1F2D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6A2E5">
            <w:pPr>
              <w:jc w:val="center"/>
            </w:pPr>
            <w:r>
              <w:rPr>
                <w:rFonts w:ascii="宋体" w:hAnsi="宋体" w:eastAsia="宋体"/>
                <w:sz w:val="16"/>
              </w:rPr>
              <w:t>=114.88万元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806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A20E1">
            <w:pPr>
              <w:jc w:val="center"/>
            </w:pPr>
          </w:p>
        </w:tc>
      </w:tr>
      <w:tr w14:paraId="6A4CDD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9A3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772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C0E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A469A">
            <w:pPr>
              <w:jc w:val="center"/>
            </w:pPr>
            <w:r>
              <w:rPr>
                <w:rFonts w:ascii="宋体" w:hAnsi="宋体" w:eastAsia="宋体"/>
                <w:sz w:val="16"/>
              </w:rPr>
              <w:t>保障公务用车运行成本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119B0">
            <w:pPr>
              <w:jc w:val="center"/>
            </w:pPr>
            <w:r>
              <w:rPr>
                <w:rFonts w:ascii="宋体" w:hAnsi="宋体" w:eastAsia="宋体"/>
                <w:sz w:val="16"/>
              </w:rPr>
              <w:t>&lt;=25.39万元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64C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904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EB1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9AA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51B7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063E2">
            <w:pPr>
              <w:jc w:val="center"/>
            </w:pPr>
            <w:r>
              <w:rPr>
                <w:rFonts w:ascii="宋体" w:hAnsi="宋体" w:eastAsia="宋体"/>
                <w:sz w:val="16"/>
              </w:rPr>
              <w:t>=25.39万元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5D5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CA68B">
            <w:pPr>
              <w:jc w:val="center"/>
            </w:pPr>
          </w:p>
        </w:tc>
      </w:tr>
      <w:tr w14:paraId="34B093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93C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F42C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14CF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F7E58">
            <w:pPr>
              <w:jc w:val="center"/>
            </w:pPr>
            <w:r>
              <w:rPr>
                <w:rFonts w:ascii="宋体" w:hAnsi="宋体" w:eastAsia="宋体"/>
                <w:sz w:val="16"/>
              </w:rPr>
              <w:t>提升社会公众服务能力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EA78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CFF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B20B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DD51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2077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B08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50BF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B0EC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3BE4E">
            <w:pPr>
              <w:jc w:val="center"/>
            </w:pPr>
          </w:p>
        </w:tc>
      </w:tr>
      <w:tr w14:paraId="403B36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2F8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78F5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5E60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EE961">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42B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59D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B60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083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975E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025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FC7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E2A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5E693">
            <w:pPr>
              <w:jc w:val="center"/>
            </w:pPr>
          </w:p>
        </w:tc>
      </w:tr>
      <w:tr w14:paraId="2D024E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99B55">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33D5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EF773">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EABBD1">
            <w:pPr>
              <w:jc w:val="center"/>
            </w:pPr>
            <w:r>
              <w:rPr>
                <w:rFonts w:ascii="宋体" w:hAnsi="宋体" w:eastAsia="宋体"/>
                <w:sz w:val="16"/>
              </w:rPr>
              <w:t>100分</w:t>
            </w:r>
          </w:p>
        </w:tc>
      </w:tr>
    </w:tbl>
    <w:p w14:paraId="33E5E575">
      <w:r>
        <w:br w:type="page"/>
      </w:r>
    </w:p>
    <w:tbl>
      <w:tblPr>
        <w:tblStyle w:val="9"/>
        <w:tblW w:w="0" w:type="auto"/>
        <w:tblInd w:w="0" w:type="dxa"/>
        <w:tblLayout w:type="autofit"/>
        <w:tblCellMar>
          <w:top w:w="0" w:type="dxa"/>
          <w:left w:w="108" w:type="dxa"/>
          <w:bottom w:w="0" w:type="dxa"/>
          <w:right w:w="108" w:type="dxa"/>
        </w:tblCellMar>
      </w:tblPr>
      <w:tblGrid>
        <w:gridCol w:w="620"/>
        <w:gridCol w:w="599"/>
        <w:gridCol w:w="599"/>
        <w:gridCol w:w="620"/>
        <w:gridCol w:w="936"/>
        <w:gridCol w:w="599"/>
        <w:gridCol w:w="599"/>
        <w:gridCol w:w="599"/>
        <w:gridCol w:w="599"/>
        <w:gridCol w:w="610"/>
        <w:gridCol w:w="856"/>
        <w:gridCol w:w="629"/>
        <w:gridCol w:w="564"/>
        <w:gridCol w:w="631"/>
      </w:tblGrid>
      <w:tr w14:paraId="4C4C81C2">
        <w:tblPrEx>
          <w:tblCellMar>
            <w:top w:w="0" w:type="dxa"/>
            <w:left w:w="108" w:type="dxa"/>
            <w:bottom w:w="0" w:type="dxa"/>
            <w:right w:w="108" w:type="dxa"/>
          </w:tblCellMar>
        </w:tblPrEx>
        <w:tc>
          <w:tcPr>
            <w:tcW w:w="8848" w:type="dxa"/>
            <w:gridSpan w:val="14"/>
            <w:vAlign w:val="center"/>
          </w:tcPr>
          <w:p w14:paraId="3C9B83DF">
            <w:pPr>
              <w:jc w:val="center"/>
            </w:pPr>
            <w:r>
              <w:rPr>
                <w:rFonts w:ascii="宋体" w:hAnsi="宋体" w:eastAsia="宋体"/>
                <w:sz w:val="24"/>
              </w:rPr>
              <w:t>项目支出绩效自评表</w:t>
            </w:r>
          </w:p>
        </w:tc>
      </w:tr>
      <w:tr w14:paraId="742A5363">
        <w:tblPrEx>
          <w:tblCellMar>
            <w:top w:w="0" w:type="dxa"/>
            <w:left w:w="108" w:type="dxa"/>
            <w:bottom w:w="0" w:type="dxa"/>
            <w:right w:w="108" w:type="dxa"/>
          </w:tblCellMar>
        </w:tblPrEx>
        <w:tc>
          <w:tcPr>
            <w:tcW w:w="8848" w:type="dxa"/>
            <w:gridSpan w:val="14"/>
            <w:vAlign w:val="center"/>
          </w:tcPr>
          <w:p w14:paraId="5C3AAFBA">
            <w:pPr>
              <w:jc w:val="center"/>
            </w:pPr>
            <w:r>
              <w:rPr>
                <w:rFonts w:ascii="宋体" w:hAnsi="宋体" w:eastAsia="宋体"/>
                <w:sz w:val="24"/>
              </w:rPr>
              <w:t>(2024年度)</w:t>
            </w:r>
          </w:p>
        </w:tc>
      </w:tr>
      <w:tr w14:paraId="0A5C75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577F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F6F37B">
            <w:pPr>
              <w:jc w:val="center"/>
            </w:pPr>
            <w:r>
              <w:rPr>
                <w:rFonts w:ascii="宋体" w:hAnsi="宋体" w:eastAsia="宋体"/>
                <w:sz w:val="16"/>
              </w:rPr>
              <w:t>央塔克乡土地平整项目（增减挂)</w:t>
            </w:r>
          </w:p>
        </w:tc>
      </w:tr>
      <w:tr w14:paraId="6D9107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4355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81C5A0">
            <w:pPr>
              <w:jc w:val="center"/>
            </w:pPr>
            <w:r>
              <w:rPr>
                <w:rFonts w:ascii="宋体" w:hAnsi="宋体" w:eastAsia="宋体"/>
                <w:sz w:val="16"/>
              </w:rPr>
              <w:t>麦盖提县央塔克乡人民政府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4109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64D701">
            <w:pPr>
              <w:jc w:val="center"/>
            </w:pPr>
            <w:r>
              <w:rPr>
                <w:rFonts w:ascii="宋体" w:hAnsi="宋体" w:eastAsia="宋体"/>
                <w:sz w:val="16"/>
              </w:rPr>
              <w:t>麦盖提县央塔克乡人民政府</w:t>
            </w:r>
          </w:p>
        </w:tc>
      </w:tr>
      <w:tr w14:paraId="6584B0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77E1F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146A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004D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434D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EB40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3A92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44E2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33199">
            <w:pPr>
              <w:jc w:val="center"/>
            </w:pPr>
            <w:r>
              <w:rPr>
                <w:rFonts w:ascii="宋体" w:hAnsi="宋体" w:eastAsia="宋体"/>
                <w:sz w:val="16"/>
              </w:rPr>
              <w:t>得分</w:t>
            </w:r>
          </w:p>
        </w:tc>
      </w:tr>
      <w:tr w14:paraId="1AC79A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F27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EDEF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F0463">
            <w:pPr>
              <w:jc w:val="center"/>
            </w:pPr>
            <w:r>
              <w:rPr>
                <w:rFonts w:ascii="宋体" w:hAnsi="宋体" w:eastAsia="宋体"/>
                <w:sz w:val="16"/>
              </w:rPr>
              <w:t>238.00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9D1BF">
            <w:pPr>
              <w:jc w:val="center"/>
            </w:pPr>
            <w:r>
              <w:rPr>
                <w:rFonts w:ascii="宋体" w:hAnsi="宋体" w:eastAsia="宋体"/>
                <w:sz w:val="16"/>
              </w:rPr>
              <w:t>238.00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E1731">
            <w:pPr>
              <w:jc w:val="center"/>
            </w:pPr>
            <w:r>
              <w:rPr>
                <w:rFonts w:ascii="宋体" w:hAnsi="宋体" w:eastAsia="宋体"/>
                <w:sz w:val="16"/>
              </w:rPr>
              <w:t>237.99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B0A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633C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9715A">
            <w:pPr>
              <w:jc w:val="center"/>
            </w:pPr>
            <w:r>
              <w:rPr>
                <w:rFonts w:ascii="宋体" w:hAnsi="宋体" w:eastAsia="宋体"/>
                <w:sz w:val="16"/>
              </w:rPr>
              <w:t>10.00分</w:t>
            </w:r>
          </w:p>
        </w:tc>
      </w:tr>
      <w:tr w14:paraId="74A1CB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6A0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2825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457D5">
            <w:pPr>
              <w:jc w:val="center"/>
            </w:pPr>
            <w:r>
              <w:rPr>
                <w:rFonts w:ascii="宋体" w:hAnsi="宋体" w:eastAsia="宋体"/>
                <w:sz w:val="16"/>
              </w:rPr>
              <w:t>238.00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499A0">
            <w:pPr>
              <w:jc w:val="center"/>
            </w:pPr>
            <w:r>
              <w:rPr>
                <w:rFonts w:ascii="宋体" w:hAnsi="宋体" w:eastAsia="宋体"/>
                <w:sz w:val="16"/>
              </w:rPr>
              <w:t>238.00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25DF6">
            <w:pPr>
              <w:jc w:val="center"/>
            </w:pPr>
            <w:r>
              <w:rPr>
                <w:rFonts w:ascii="宋体" w:hAnsi="宋体" w:eastAsia="宋体"/>
                <w:sz w:val="16"/>
              </w:rPr>
              <w:t>237.99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4BA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337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A136B">
            <w:pPr>
              <w:jc w:val="center"/>
            </w:pPr>
            <w:r>
              <w:rPr>
                <w:rFonts w:ascii="宋体" w:hAnsi="宋体" w:eastAsia="宋体"/>
                <w:sz w:val="16"/>
              </w:rPr>
              <w:t>—</w:t>
            </w:r>
          </w:p>
        </w:tc>
      </w:tr>
      <w:tr w14:paraId="50B2B0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E67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863E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DEF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2D1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B90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4D19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D13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1DF85">
            <w:pPr>
              <w:jc w:val="center"/>
            </w:pPr>
            <w:r>
              <w:rPr>
                <w:rFonts w:ascii="宋体" w:hAnsi="宋体" w:eastAsia="宋体"/>
                <w:sz w:val="16"/>
              </w:rPr>
              <w:t>—</w:t>
            </w:r>
          </w:p>
        </w:tc>
      </w:tr>
      <w:tr w14:paraId="6D69BC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7E3E4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2D38D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EE16D9">
            <w:pPr>
              <w:jc w:val="center"/>
            </w:pPr>
            <w:r>
              <w:rPr>
                <w:rFonts w:ascii="宋体" w:hAnsi="宋体" w:eastAsia="宋体"/>
                <w:sz w:val="16"/>
              </w:rPr>
              <w:t>实际完成情况</w:t>
            </w:r>
          </w:p>
        </w:tc>
      </w:tr>
      <w:tr w14:paraId="10000F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8313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F14EE9">
            <w:pPr>
              <w:jc w:val="both"/>
            </w:pPr>
            <w:r>
              <w:rPr>
                <w:rFonts w:ascii="宋体" w:hAnsi="宋体" w:eastAsia="宋体"/>
                <w:sz w:val="16"/>
              </w:rPr>
              <w:t>本项目总投资为238万元，主要用于央塔克乡奥依布格达依（1）村实施复垦耕地 187.65 亩，深耕及精平土地 450 亩，</w:t>
            </w:r>
            <w:r>
              <w:rPr>
                <w:rFonts w:hint="eastAsia" w:ascii="宋体" w:hAnsi="宋体"/>
                <w:sz w:val="16"/>
                <w:lang w:eastAsia="zh-CN"/>
              </w:rPr>
              <w:t>滴灌</w:t>
            </w:r>
            <w:r>
              <w:rPr>
                <w:rFonts w:ascii="宋体" w:hAnsi="宋体" w:eastAsia="宋体"/>
                <w:sz w:val="16"/>
              </w:rPr>
              <w:t>管道安装 10km，购买农家肥 2035m3，矿源黄腐酸甲 15 吨，以及种子化肥等农资。该项目的实施，提高了耕地的保水保肥能力，促进当地农业经济发展，优化农业产业结构、推进农业现代化进程。</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BA4132">
            <w:pPr>
              <w:jc w:val="both"/>
            </w:pPr>
            <w:r>
              <w:rPr>
                <w:rFonts w:ascii="宋体" w:hAnsi="宋体" w:eastAsia="宋体"/>
                <w:sz w:val="16"/>
              </w:rPr>
              <w:t>本项目总支出为237.99万元，已完成央塔克乡奥依布格达依（1）村实施复垦耕地 187.65 亩，深耕及精平土地 450 亩，</w:t>
            </w:r>
            <w:r>
              <w:rPr>
                <w:rFonts w:hint="eastAsia" w:ascii="宋体" w:hAnsi="宋体"/>
                <w:sz w:val="16"/>
                <w:lang w:eastAsia="zh-CN"/>
              </w:rPr>
              <w:t>滴灌</w:t>
            </w:r>
            <w:r>
              <w:rPr>
                <w:rFonts w:ascii="宋体" w:hAnsi="宋体" w:eastAsia="宋体"/>
                <w:sz w:val="16"/>
              </w:rPr>
              <w:t>管道安装 10km，购买了农家肥 2035m3，矿源黄腐酸甲 15 吨，以及种子化肥等农资，项目的实施有效提高了耕地的保水保肥能力，促进了当地农业经济发展，优化了农业产业结构、推进了农业现代化进程。</w:t>
            </w:r>
          </w:p>
        </w:tc>
      </w:tr>
      <w:tr w14:paraId="70D144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C517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ACBE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5AB1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3714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50B5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34AA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85C1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1D97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3768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ED7B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9EE0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B715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1654A">
            <w:pPr>
              <w:jc w:val="center"/>
            </w:pPr>
            <w:r>
              <w:rPr>
                <w:rFonts w:ascii="宋体" w:hAnsi="宋体" w:eastAsia="宋体"/>
                <w:sz w:val="16"/>
              </w:rPr>
              <w:t>偏差原因分析及改进措施</w:t>
            </w:r>
          </w:p>
        </w:tc>
      </w:tr>
      <w:tr w14:paraId="2455CE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60BF9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7F665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9B71C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2722B">
            <w:pPr>
              <w:jc w:val="center"/>
            </w:pPr>
            <w:r>
              <w:rPr>
                <w:rFonts w:ascii="宋体" w:hAnsi="宋体" w:eastAsia="宋体"/>
                <w:sz w:val="16"/>
              </w:rPr>
              <w:t>土地平整改良面积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47B65">
            <w:pPr>
              <w:jc w:val="center"/>
            </w:pPr>
            <w:r>
              <w:rPr>
                <w:rFonts w:ascii="宋体" w:hAnsi="宋体" w:eastAsia="宋体"/>
                <w:sz w:val="16"/>
              </w:rPr>
              <w:t>&gt;=450亩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8D1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C74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C17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61F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B50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1E780">
            <w:pPr>
              <w:jc w:val="center"/>
            </w:pPr>
            <w:r>
              <w:rPr>
                <w:rFonts w:ascii="宋体" w:hAnsi="宋体" w:eastAsia="宋体"/>
                <w:sz w:val="16"/>
              </w:rPr>
              <w:t>=450亩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EB8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4EDFB">
            <w:pPr>
              <w:jc w:val="center"/>
            </w:pPr>
          </w:p>
        </w:tc>
      </w:tr>
      <w:tr w14:paraId="099503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C44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3EA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1D3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593E1">
            <w:pPr>
              <w:jc w:val="center"/>
            </w:pPr>
            <w:r>
              <w:rPr>
                <w:rFonts w:ascii="宋体" w:hAnsi="宋体" w:eastAsia="宋体"/>
                <w:sz w:val="16"/>
              </w:rPr>
              <w:t>涉及村数量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73FC0">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10D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DEF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8D5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8D1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F79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1D68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358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4A26A">
            <w:pPr>
              <w:jc w:val="center"/>
            </w:pPr>
          </w:p>
        </w:tc>
      </w:tr>
      <w:tr w14:paraId="3C4382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D17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524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B149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89AC0">
            <w:pPr>
              <w:jc w:val="center"/>
            </w:pPr>
            <w:r>
              <w:rPr>
                <w:rFonts w:ascii="宋体" w:hAnsi="宋体" w:eastAsia="宋体"/>
                <w:sz w:val="16"/>
              </w:rPr>
              <w:t>项目（工程）验收合格率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7C2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6B7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C08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763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FD5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62E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407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4E7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DFBC1">
            <w:pPr>
              <w:jc w:val="center"/>
            </w:pPr>
          </w:p>
        </w:tc>
      </w:tr>
      <w:tr w14:paraId="080374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FBA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AC3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3583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F9E50">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8B6A6">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F50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022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8EB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2CB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E2C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555AA">
            <w:pPr>
              <w:jc w:val="center"/>
            </w:pPr>
            <w:r>
              <w:rPr>
                <w:rFonts w:ascii="宋体" w:hAnsi="宋体" w:eastAsia="宋体"/>
                <w:sz w:val="16"/>
              </w:rPr>
              <w:t>=2024年5月21日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467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6B104">
            <w:pPr>
              <w:jc w:val="center"/>
            </w:pPr>
          </w:p>
        </w:tc>
      </w:tr>
      <w:tr w14:paraId="5DDD40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130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CA91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4244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06166">
            <w:pPr>
              <w:jc w:val="center"/>
            </w:pPr>
            <w:r>
              <w:rPr>
                <w:rFonts w:ascii="宋体" w:hAnsi="宋体" w:eastAsia="宋体"/>
                <w:sz w:val="16"/>
              </w:rPr>
              <w:t>平均每亩土地平整改良成本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7111E">
            <w:pPr>
              <w:jc w:val="center"/>
            </w:pPr>
            <w:r>
              <w:rPr>
                <w:rFonts w:ascii="宋体" w:hAnsi="宋体" w:eastAsia="宋体"/>
                <w:sz w:val="16"/>
              </w:rPr>
              <w:t>&lt;=5288.89元/亩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16F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676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44A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6C9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AAB3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1D42B">
            <w:pPr>
              <w:jc w:val="center"/>
            </w:pPr>
            <w:r>
              <w:rPr>
                <w:rFonts w:ascii="宋体" w:hAnsi="宋体" w:eastAsia="宋体"/>
                <w:sz w:val="16"/>
              </w:rPr>
              <w:t>=5288.67元/亩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3F03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15A28">
            <w:pPr>
              <w:jc w:val="center"/>
            </w:pPr>
          </w:p>
        </w:tc>
      </w:tr>
      <w:tr w14:paraId="0CD350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437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C444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9F42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E9DC3">
            <w:pPr>
              <w:jc w:val="center"/>
            </w:pPr>
            <w:r>
              <w:rPr>
                <w:rFonts w:ascii="宋体" w:hAnsi="宋体" w:eastAsia="宋体"/>
                <w:sz w:val="16"/>
              </w:rPr>
              <w:t>提高了耕地的保水保肥能力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9922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452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E50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AB2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4719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9E0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31CD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0CAA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DD02A">
            <w:pPr>
              <w:jc w:val="center"/>
            </w:pPr>
          </w:p>
        </w:tc>
      </w:tr>
      <w:tr w14:paraId="365220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B34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F86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81AB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3ABE6">
            <w:pPr>
              <w:jc w:val="center"/>
            </w:pPr>
            <w:r>
              <w:rPr>
                <w:rFonts w:ascii="宋体" w:hAnsi="宋体" w:eastAsia="宋体"/>
                <w:sz w:val="16"/>
              </w:rPr>
              <w:t>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DBD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448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6A0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95E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F748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98A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92E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ED5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CD583">
            <w:pPr>
              <w:jc w:val="center"/>
            </w:pPr>
          </w:p>
        </w:tc>
      </w:tr>
      <w:tr w14:paraId="0517FA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FF101">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C487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5CF97">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54FC7F">
            <w:pPr>
              <w:jc w:val="center"/>
            </w:pPr>
            <w:r>
              <w:rPr>
                <w:rFonts w:ascii="宋体" w:hAnsi="宋体" w:eastAsia="宋体"/>
                <w:sz w:val="16"/>
              </w:rPr>
              <w:t>100分</w:t>
            </w:r>
          </w:p>
        </w:tc>
      </w:tr>
    </w:tbl>
    <w:p w14:paraId="71F1E440">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17"/>
        <w:gridCol w:w="617"/>
        <w:gridCol w:w="622"/>
        <w:gridCol w:w="776"/>
        <w:gridCol w:w="631"/>
        <w:gridCol w:w="600"/>
        <w:gridCol w:w="631"/>
      </w:tblGrid>
      <w:tr w14:paraId="2B6533F9">
        <w:tblPrEx>
          <w:tblCellMar>
            <w:top w:w="0" w:type="dxa"/>
            <w:left w:w="108" w:type="dxa"/>
            <w:bottom w:w="0" w:type="dxa"/>
            <w:right w:w="108" w:type="dxa"/>
          </w:tblCellMar>
        </w:tblPrEx>
        <w:tc>
          <w:tcPr>
            <w:tcW w:w="8848" w:type="dxa"/>
            <w:gridSpan w:val="14"/>
            <w:vAlign w:val="center"/>
          </w:tcPr>
          <w:p w14:paraId="485FCF15">
            <w:pPr>
              <w:jc w:val="center"/>
            </w:pPr>
            <w:r>
              <w:rPr>
                <w:rFonts w:ascii="宋体" w:hAnsi="宋体" w:eastAsia="宋体"/>
                <w:sz w:val="24"/>
              </w:rPr>
              <w:t>项目支出绩效自评表</w:t>
            </w:r>
          </w:p>
        </w:tc>
      </w:tr>
      <w:tr w14:paraId="0D8597B4">
        <w:tblPrEx>
          <w:tblCellMar>
            <w:top w:w="0" w:type="dxa"/>
            <w:left w:w="108" w:type="dxa"/>
            <w:bottom w:w="0" w:type="dxa"/>
            <w:right w:w="108" w:type="dxa"/>
          </w:tblCellMar>
        </w:tblPrEx>
        <w:tc>
          <w:tcPr>
            <w:tcW w:w="8848" w:type="dxa"/>
            <w:gridSpan w:val="14"/>
            <w:vAlign w:val="center"/>
          </w:tcPr>
          <w:p w14:paraId="53A9D246">
            <w:pPr>
              <w:jc w:val="center"/>
            </w:pPr>
            <w:r>
              <w:rPr>
                <w:rFonts w:ascii="宋体" w:hAnsi="宋体" w:eastAsia="宋体"/>
                <w:sz w:val="24"/>
              </w:rPr>
              <w:t>(2024年度)</w:t>
            </w:r>
          </w:p>
        </w:tc>
      </w:tr>
      <w:tr w14:paraId="49567A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E4B6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0EBA7B">
            <w:pPr>
              <w:jc w:val="center"/>
            </w:pPr>
            <w:r>
              <w:rPr>
                <w:rFonts w:ascii="宋体" w:hAnsi="宋体" w:eastAsia="宋体"/>
                <w:sz w:val="16"/>
              </w:rPr>
              <w:t>麦盖提县央塔克乡乡村振兴示范片区建设项目（山东援疆）</w:t>
            </w:r>
          </w:p>
        </w:tc>
      </w:tr>
      <w:tr w14:paraId="16E1F7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87FC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23784E">
            <w:pPr>
              <w:jc w:val="center"/>
            </w:pPr>
            <w:r>
              <w:rPr>
                <w:rFonts w:ascii="宋体" w:hAnsi="宋体" w:eastAsia="宋体"/>
                <w:sz w:val="16"/>
              </w:rPr>
              <w:t>麦盖提县央塔克乡人民政府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F66E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F0DA4D">
            <w:pPr>
              <w:jc w:val="center"/>
            </w:pPr>
            <w:r>
              <w:rPr>
                <w:rFonts w:ascii="宋体" w:hAnsi="宋体" w:eastAsia="宋体"/>
                <w:sz w:val="16"/>
              </w:rPr>
              <w:t>麦盖提县央塔克乡人民政府</w:t>
            </w:r>
          </w:p>
        </w:tc>
      </w:tr>
      <w:tr w14:paraId="4CA691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056C9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20D0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3C00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05F4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5879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9A87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D531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2E1D5">
            <w:pPr>
              <w:jc w:val="center"/>
            </w:pPr>
            <w:r>
              <w:rPr>
                <w:rFonts w:ascii="宋体" w:hAnsi="宋体" w:eastAsia="宋体"/>
                <w:sz w:val="16"/>
              </w:rPr>
              <w:t>得分</w:t>
            </w:r>
          </w:p>
        </w:tc>
      </w:tr>
      <w:tr w14:paraId="07BDD1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F29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BFEA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8A585">
            <w:pPr>
              <w:jc w:val="center"/>
            </w:pPr>
            <w:r>
              <w:rPr>
                <w:rFonts w:ascii="宋体" w:hAnsi="宋体" w:eastAsia="宋体"/>
                <w:sz w:val="16"/>
              </w:rPr>
              <w:t>661.31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BD71F">
            <w:pPr>
              <w:jc w:val="center"/>
            </w:pPr>
            <w:r>
              <w:rPr>
                <w:rFonts w:ascii="宋体" w:hAnsi="宋体" w:eastAsia="宋体"/>
                <w:sz w:val="16"/>
              </w:rPr>
              <w:t>661.31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7313A">
            <w:pPr>
              <w:jc w:val="center"/>
            </w:pPr>
            <w:r>
              <w:rPr>
                <w:rFonts w:ascii="宋体" w:hAnsi="宋体" w:eastAsia="宋体"/>
                <w:sz w:val="16"/>
              </w:rPr>
              <w:t>661.31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A11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BFB6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DA686">
            <w:pPr>
              <w:jc w:val="center"/>
            </w:pPr>
            <w:r>
              <w:rPr>
                <w:rFonts w:ascii="宋体" w:hAnsi="宋体" w:eastAsia="宋体"/>
                <w:sz w:val="16"/>
              </w:rPr>
              <w:t>10.00分</w:t>
            </w:r>
          </w:p>
        </w:tc>
      </w:tr>
      <w:tr w14:paraId="72F5C1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A17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05C0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D99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4BD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1B9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634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62D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5239A">
            <w:pPr>
              <w:jc w:val="center"/>
            </w:pPr>
            <w:r>
              <w:rPr>
                <w:rFonts w:ascii="宋体" w:hAnsi="宋体" w:eastAsia="宋体"/>
                <w:sz w:val="16"/>
              </w:rPr>
              <w:t>—</w:t>
            </w:r>
          </w:p>
        </w:tc>
      </w:tr>
      <w:tr w14:paraId="191704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BEF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B6B7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66451">
            <w:pPr>
              <w:jc w:val="center"/>
            </w:pPr>
            <w:r>
              <w:rPr>
                <w:rFonts w:ascii="宋体" w:hAnsi="宋体" w:eastAsia="宋体"/>
                <w:sz w:val="16"/>
              </w:rPr>
              <w:t>661.31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9B9F4">
            <w:pPr>
              <w:jc w:val="center"/>
            </w:pPr>
            <w:r>
              <w:rPr>
                <w:rFonts w:ascii="宋体" w:hAnsi="宋体" w:eastAsia="宋体"/>
                <w:sz w:val="16"/>
              </w:rPr>
              <w:t>661.31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A8068">
            <w:pPr>
              <w:jc w:val="center"/>
            </w:pPr>
            <w:r>
              <w:rPr>
                <w:rFonts w:ascii="宋体" w:hAnsi="宋体" w:eastAsia="宋体"/>
                <w:sz w:val="16"/>
              </w:rPr>
              <w:t>661.31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0F4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DA8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1DA4D">
            <w:pPr>
              <w:jc w:val="center"/>
            </w:pPr>
            <w:r>
              <w:rPr>
                <w:rFonts w:ascii="宋体" w:hAnsi="宋体" w:eastAsia="宋体"/>
                <w:sz w:val="16"/>
              </w:rPr>
              <w:t>—</w:t>
            </w:r>
          </w:p>
        </w:tc>
      </w:tr>
      <w:tr w14:paraId="333573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D9CFF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6FB8B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387A80">
            <w:pPr>
              <w:jc w:val="center"/>
            </w:pPr>
            <w:r>
              <w:rPr>
                <w:rFonts w:ascii="宋体" w:hAnsi="宋体" w:eastAsia="宋体"/>
                <w:sz w:val="16"/>
              </w:rPr>
              <w:t>实际完成情况</w:t>
            </w:r>
          </w:p>
        </w:tc>
      </w:tr>
      <w:tr w14:paraId="58641F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193E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6E26A0">
            <w:pPr>
              <w:jc w:val="both"/>
            </w:pPr>
            <w:r>
              <w:rPr>
                <w:rFonts w:ascii="宋体" w:hAnsi="宋体" w:eastAsia="宋体"/>
                <w:sz w:val="16"/>
              </w:rPr>
              <w:t>本项目资金661.31万元，主要用于完善提升村组织阵地建设，道路硬化、人居环境整治等工作。团结村乡村振兴示范片区建设，对街道、村组道路</w:t>
            </w:r>
            <w:r>
              <w:rPr>
                <w:rFonts w:hint="eastAsia" w:ascii="宋体" w:hAnsi="宋体"/>
                <w:sz w:val="16"/>
                <w:lang w:eastAsia="zh-CN"/>
              </w:rPr>
              <w:t>，以</w:t>
            </w:r>
            <w:r>
              <w:rPr>
                <w:rFonts w:ascii="宋体" w:hAnsi="宋体" w:eastAsia="宋体"/>
                <w:sz w:val="16"/>
              </w:rPr>
              <w:t>及农户门前公共区域以及围墙等进行村容村貌提升改造，主要用于绿化、美化、硬化等。对跃进村农户围墙进行村容村貌提升改造，美化。保障麦盖提县央塔克乡乡村振兴示范片区建设项目（山东援疆）的顺利完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CAE7BF">
            <w:pPr>
              <w:jc w:val="both"/>
            </w:pPr>
            <w:r>
              <w:rPr>
                <w:rFonts w:ascii="宋体" w:hAnsi="宋体" w:eastAsia="宋体"/>
                <w:sz w:val="16"/>
              </w:rPr>
              <w:t>央塔克乡2024年实施的麦盖提县央塔克乡乡村振兴示范片区建设项目，项目总投资661.31万元，资金来源为援疆资金。该项目主要对哈曼阔依地村乡村振兴示范片区街道、村组道路，及农户门前公共区域等约4.5公里进行村容村貌提升改造，主要用于美化、绿化、硬化等；克亚克勒克乌依村乡村振兴示范片区提升改造。于2024年9月2日完成竣工验收，工程款已全部支付完毕。项目的落地很大程度改善了居民居住环境，提升了乡村新面貌，村主干道更加干净整洁。</w:t>
            </w:r>
          </w:p>
        </w:tc>
      </w:tr>
      <w:tr w14:paraId="3047B7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0855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E0DE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41AC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B594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BB75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0FF2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3D70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0D61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86C4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A43E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AC7D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E82D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9699E">
            <w:pPr>
              <w:jc w:val="center"/>
            </w:pPr>
            <w:r>
              <w:rPr>
                <w:rFonts w:ascii="宋体" w:hAnsi="宋体" w:eastAsia="宋体"/>
                <w:sz w:val="16"/>
              </w:rPr>
              <w:t>偏差原因分析及改进措施</w:t>
            </w:r>
          </w:p>
        </w:tc>
      </w:tr>
      <w:tr w14:paraId="0E3E62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5BF56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C0488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3C62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DD194">
            <w:pPr>
              <w:jc w:val="center"/>
            </w:pPr>
            <w:r>
              <w:rPr>
                <w:rFonts w:ascii="宋体" w:hAnsi="宋体" w:eastAsia="宋体"/>
                <w:sz w:val="16"/>
              </w:rPr>
              <w:t>村容村貌改造提升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EF4C0">
            <w:pPr>
              <w:jc w:val="center"/>
            </w:pPr>
            <w:r>
              <w:rPr>
                <w:rFonts w:ascii="宋体" w:hAnsi="宋体" w:eastAsia="宋体"/>
                <w:sz w:val="16"/>
              </w:rPr>
              <w:t>&gt;=4.50公里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A28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2DB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477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1BF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22B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923EE">
            <w:pPr>
              <w:jc w:val="center"/>
            </w:pPr>
            <w:r>
              <w:rPr>
                <w:rFonts w:ascii="宋体" w:hAnsi="宋体" w:eastAsia="宋体"/>
                <w:sz w:val="16"/>
              </w:rPr>
              <w:t>=4.5公里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1C9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01509">
            <w:pPr>
              <w:jc w:val="center"/>
            </w:pPr>
          </w:p>
        </w:tc>
      </w:tr>
      <w:tr w14:paraId="70571D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662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3AA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405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2FBA4">
            <w:pPr>
              <w:jc w:val="center"/>
            </w:pPr>
            <w:r>
              <w:rPr>
                <w:rFonts w:ascii="宋体" w:hAnsi="宋体" w:eastAsia="宋体"/>
                <w:sz w:val="16"/>
              </w:rPr>
              <w:t>改造村数量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F922B">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92A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E39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FBA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B5E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55F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32A52">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062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C5861">
            <w:pPr>
              <w:jc w:val="center"/>
            </w:pPr>
          </w:p>
        </w:tc>
      </w:tr>
      <w:tr w14:paraId="530FD9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895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222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F4C1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D018E">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510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C5D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9CD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821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956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EF7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501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8E3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F71D9">
            <w:pPr>
              <w:jc w:val="center"/>
            </w:pPr>
          </w:p>
        </w:tc>
      </w:tr>
      <w:tr w14:paraId="0E310C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CB1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36B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1518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56B30">
            <w:pPr>
              <w:jc w:val="center"/>
            </w:pPr>
            <w:r>
              <w:rPr>
                <w:rFonts w:ascii="宋体" w:hAnsi="宋体" w:eastAsia="宋体"/>
                <w:sz w:val="16"/>
              </w:rPr>
              <w:t>工程</w:t>
            </w:r>
            <w:r>
              <w:rPr>
                <w:rFonts w:hint="eastAsia" w:ascii="宋体" w:hAnsi="宋体"/>
                <w:sz w:val="16"/>
                <w:lang w:eastAsia="zh-CN"/>
              </w:rPr>
              <w:t>完工</w:t>
            </w:r>
            <w:r>
              <w:rPr>
                <w:rFonts w:ascii="宋体" w:hAnsi="宋体" w:eastAsia="宋体"/>
                <w:sz w:val="16"/>
              </w:rPr>
              <w:t>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D6E2E">
            <w:pPr>
              <w:jc w:val="center"/>
            </w:pPr>
            <w:r>
              <w:rPr>
                <w:rFonts w:ascii="宋体" w:hAnsi="宋体" w:eastAsia="宋体"/>
                <w:sz w:val="16"/>
              </w:rPr>
              <w:t>=2024年8月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950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F30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8A4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DC1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320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6DB9C">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7DC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AE5BB">
            <w:pPr>
              <w:jc w:val="center"/>
            </w:pPr>
          </w:p>
        </w:tc>
      </w:tr>
      <w:tr w14:paraId="3093E8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1B0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169F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2204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FF8ED">
            <w:pPr>
              <w:jc w:val="center"/>
            </w:pPr>
            <w:r>
              <w:rPr>
                <w:rFonts w:ascii="宋体" w:hAnsi="宋体" w:eastAsia="宋体"/>
                <w:sz w:val="16"/>
              </w:rPr>
              <w:t>工程投入资金成本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199C6">
            <w:pPr>
              <w:jc w:val="center"/>
            </w:pPr>
            <w:r>
              <w:rPr>
                <w:rFonts w:ascii="宋体" w:hAnsi="宋体" w:eastAsia="宋体"/>
                <w:sz w:val="16"/>
              </w:rPr>
              <w:t>&lt;=661.31万元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CBE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4C5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5C34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744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0631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CD1E5">
            <w:pPr>
              <w:jc w:val="center"/>
            </w:pPr>
            <w:r>
              <w:rPr>
                <w:rFonts w:ascii="宋体" w:hAnsi="宋体" w:eastAsia="宋体"/>
                <w:sz w:val="16"/>
              </w:rPr>
              <w:t>=661.31万元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1627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CAFE0">
            <w:pPr>
              <w:jc w:val="center"/>
            </w:pPr>
          </w:p>
        </w:tc>
      </w:tr>
      <w:tr w14:paraId="07FAB33D">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DFB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C0F8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2B90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ED03A">
            <w:pPr>
              <w:jc w:val="center"/>
            </w:pPr>
            <w:r>
              <w:rPr>
                <w:rFonts w:ascii="宋体" w:hAnsi="宋体" w:eastAsia="宋体"/>
                <w:sz w:val="16"/>
              </w:rPr>
              <w:t>改善村容村貌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1050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C5D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1BE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B5D0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1D24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86D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6CFC1">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56BE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04C84">
            <w:pPr>
              <w:jc w:val="center"/>
            </w:pPr>
          </w:p>
        </w:tc>
      </w:tr>
      <w:tr w14:paraId="449AF1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5F9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39BD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060B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163B7">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495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852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982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771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B613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4D7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881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74C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32A24">
            <w:pPr>
              <w:jc w:val="center"/>
            </w:pPr>
          </w:p>
        </w:tc>
      </w:tr>
      <w:tr w14:paraId="094EE8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9B7A8">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FCED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71E85">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3813C8">
            <w:pPr>
              <w:jc w:val="center"/>
            </w:pPr>
            <w:r>
              <w:rPr>
                <w:rFonts w:ascii="宋体" w:hAnsi="宋体" w:eastAsia="宋体"/>
                <w:sz w:val="16"/>
              </w:rPr>
              <w:t>100分</w:t>
            </w:r>
          </w:p>
        </w:tc>
      </w:tr>
    </w:tbl>
    <w:p w14:paraId="41C56E52">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17"/>
        <w:gridCol w:w="617"/>
        <w:gridCol w:w="622"/>
        <w:gridCol w:w="776"/>
        <w:gridCol w:w="631"/>
        <w:gridCol w:w="600"/>
        <w:gridCol w:w="631"/>
      </w:tblGrid>
      <w:tr w14:paraId="508D14AE">
        <w:tblPrEx>
          <w:tblCellMar>
            <w:top w:w="0" w:type="dxa"/>
            <w:left w:w="108" w:type="dxa"/>
            <w:bottom w:w="0" w:type="dxa"/>
            <w:right w:w="108" w:type="dxa"/>
          </w:tblCellMar>
        </w:tblPrEx>
        <w:tc>
          <w:tcPr>
            <w:tcW w:w="8848" w:type="dxa"/>
            <w:gridSpan w:val="14"/>
            <w:vAlign w:val="center"/>
          </w:tcPr>
          <w:p w14:paraId="6B7CFD79">
            <w:pPr>
              <w:jc w:val="center"/>
            </w:pPr>
            <w:r>
              <w:rPr>
                <w:rFonts w:ascii="宋体" w:hAnsi="宋体" w:eastAsia="宋体"/>
                <w:sz w:val="24"/>
              </w:rPr>
              <w:t>项目支出绩效自评表</w:t>
            </w:r>
          </w:p>
        </w:tc>
      </w:tr>
      <w:tr w14:paraId="44132328">
        <w:tblPrEx>
          <w:tblCellMar>
            <w:top w:w="0" w:type="dxa"/>
            <w:left w:w="108" w:type="dxa"/>
            <w:bottom w:w="0" w:type="dxa"/>
            <w:right w:w="108" w:type="dxa"/>
          </w:tblCellMar>
        </w:tblPrEx>
        <w:tc>
          <w:tcPr>
            <w:tcW w:w="8848" w:type="dxa"/>
            <w:gridSpan w:val="14"/>
            <w:vAlign w:val="center"/>
          </w:tcPr>
          <w:p w14:paraId="59513B3E">
            <w:pPr>
              <w:jc w:val="center"/>
            </w:pPr>
            <w:r>
              <w:rPr>
                <w:rFonts w:ascii="宋体" w:hAnsi="宋体" w:eastAsia="宋体"/>
                <w:sz w:val="24"/>
              </w:rPr>
              <w:t>(2024年度)</w:t>
            </w:r>
          </w:p>
        </w:tc>
      </w:tr>
      <w:tr w14:paraId="39B0B4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7A61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52C56F7">
            <w:pPr>
              <w:jc w:val="center"/>
            </w:pPr>
            <w:r>
              <w:rPr>
                <w:rFonts w:ascii="宋体" w:hAnsi="宋体" w:eastAsia="宋体"/>
                <w:sz w:val="16"/>
              </w:rPr>
              <w:t>麦盖提县红枣特色小镇建设项目（农业</w:t>
            </w:r>
            <w:r>
              <w:rPr>
                <w:rFonts w:hint="eastAsia" w:ascii="宋体" w:hAnsi="宋体"/>
                <w:sz w:val="16"/>
                <w:lang w:eastAsia="zh-CN"/>
              </w:rPr>
              <w:t>一二三产业融合</w:t>
            </w:r>
            <w:r>
              <w:rPr>
                <w:rFonts w:ascii="宋体" w:hAnsi="宋体" w:eastAsia="宋体"/>
                <w:sz w:val="16"/>
              </w:rPr>
              <w:t>项目）（山东援疆）</w:t>
            </w:r>
          </w:p>
        </w:tc>
      </w:tr>
      <w:tr w14:paraId="3D932C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86B2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F668AE">
            <w:pPr>
              <w:jc w:val="center"/>
            </w:pPr>
            <w:r>
              <w:rPr>
                <w:rFonts w:ascii="宋体" w:hAnsi="宋体" w:eastAsia="宋体"/>
                <w:sz w:val="16"/>
              </w:rPr>
              <w:t>麦盖提县央塔克乡人民政府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31FF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B6A732">
            <w:pPr>
              <w:jc w:val="center"/>
            </w:pPr>
            <w:r>
              <w:rPr>
                <w:rFonts w:ascii="宋体" w:hAnsi="宋体" w:eastAsia="宋体"/>
                <w:sz w:val="16"/>
              </w:rPr>
              <w:t>麦盖提县央塔克乡人民政府</w:t>
            </w:r>
          </w:p>
        </w:tc>
      </w:tr>
      <w:tr w14:paraId="482252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D19AA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7CD5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B9BD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FCA9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EEAB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6837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2983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3B3AB">
            <w:pPr>
              <w:jc w:val="center"/>
            </w:pPr>
            <w:r>
              <w:rPr>
                <w:rFonts w:ascii="宋体" w:hAnsi="宋体" w:eastAsia="宋体"/>
                <w:sz w:val="16"/>
              </w:rPr>
              <w:t>得分</w:t>
            </w:r>
          </w:p>
        </w:tc>
      </w:tr>
      <w:tr w14:paraId="2735B8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F83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AD1B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BAC2D">
            <w:pPr>
              <w:jc w:val="center"/>
            </w:pPr>
            <w:r>
              <w:rPr>
                <w:rFonts w:ascii="宋体" w:hAnsi="宋体" w:eastAsia="宋体"/>
                <w:sz w:val="16"/>
              </w:rPr>
              <w:t>191.26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ED073">
            <w:pPr>
              <w:jc w:val="center"/>
            </w:pPr>
            <w:r>
              <w:rPr>
                <w:rFonts w:ascii="宋体" w:hAnsi="宋体" w:eastAsia="宋体"/>
                <w:sz w:val="16"/>
              </w:rPr>
              <w:t>191.26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BDBE4">
            <w:pPr>
              <w:jc w:val="center"/>
            </w:pPr>
            <w:r>
              <w:rPr>
                <w:rFonts w:ascii="宋体" w:hAnsi="宋体" w:eastAsia="宋体"/>
                <w:sz w:val="16"/>
              </w:rPr>
              <w:t>191.26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327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A556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37E44">
            <w:pPr>
              <w:jc w:val="center"/>
            </w:pPr>
            <w:r>
              <w:rPr>
                <w:rFonts w:ascii="宋体" w:hAnsi="宋体" w:eastAsia="宋体"/>
                <w:sz w:val="16"/>
              </w:rPr>
              <w:t>10.00分</w:t>
            </w:r>
          </w:p>
        </w:tc>
      </w:tr>
      <w:tr w14:paraId="2EAD1C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283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FABC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787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927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667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5EDE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777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ECADF">
            <w:pPr>
              <w:jc w:val="center"/>
            </w:pPr>
            <w:r>
              <w:rPr>
                <w:rFonts w:ascii="宋体" w:hAnsi="宋体" w:eastAsia="宋体"/>
                <w:sz w:val="16"/>
              </w:rPr>
              <w:t>—</w:t>
            </w:r>
          </w:p>
        </w:tc>
      </w:tr>
      <w:tr w14:paraId="11F2CC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C69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D0B3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F6465">
            <w:pPr>
              <w:jc w:val="center"/>
            </w:pPr>
            <w:r>
              <w:rPr>
                <w:rFonts w:ascii="宋体" w:hAnsi="宋体" w:eastAsia="宋体"/>
                <w:sz w:val="16"/>
              </w:rPr>
              <w:t>191.26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03502">
            <w:pPr>
              <w:jc w:val="center"/>
            </w:pPr>
            <w:r>
              <w:rPr>
                <w:rFonts w:ascii="宋体" w:hAnsi="宋体" w:eastAsia="宋体"/>
                <w:sz w:val="16"/>
              </w:rPr>
              <w:t>191.26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3F7DD">
            <w:pPr>
              <w:jc w:val="center"/>
            </w:pPr>
            <w:r>
              <w:rPr>
                <w:rFonts w:ascii="宋体" w:hAnsi="宋体" w:eastAsia="宋体"/>
                <w:sz w:val="16"/>
              </w:rPr>
              <w:t>191.26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0AB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4E9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33900">
            <w:pPr>
              <w:jc w:val="center"/>
            </w:pPr>
            <w:r>
              <w:rPr>
                <w:rFonts w:ascii="宋体" w:hAnsi="宋体" w:eastAsia="宋体"/>
                <w:sz w:val="16"/>
              </w:rPr>
              <w:t>—</w:t>
            </w:r>
          </w:p>
        </w:tc>
      </w:tr>
      <w:tr w14:paraId="050E4E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927CE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2AF1F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4B8453">
            <w:pPr>
              <w:jc w:val="center"/>
            </w:pPr>
            <w:r>
              <w:rPr>
                <w:rFonts w:ascii="宋体" w:hAnsi="宋体" w:eastAsia="宋体"/>
                <w:sz w:val="16"/>
              </w:rPr>
              <w:t>实际完成情况</w:t>
            </w:r>
          </w:p>
        </w:tc>
      </w:tr>
      <w:tr w14:paraId="089E9C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41F5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1B8A50">
            <w:pPr>
              <w:jc w:val="both"/>
            </w:pPr>
            <w:r>
              <w:rPr>
                <w:rFonts w:ascii="宋体" w:hAnsi="宋体" w:eastAsia="宋体"/>
                <w:sz w:val="16"/>
              </w:rPr>
              <w:t>该项目投资资金191.26万元，由中标公司麦盖提县鑫安泰建筑安装工程有限公司在央塔克乡团结村承建。2024年新建麦盖提县红枣产业研究院科研团队（山东省农科院及新疆农科院）专家公寓楼附属配套设施（上下两层框架结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1C9F49">
            <w:pPr>
              <w:jc w:val="both"/>
            </w:pPr>
            <w:r>
              <w:rPr>
                <w:rFonts w:hint="eastAsia" w:ascii="宋体" w:hAnsi="宋体"/>
                <w:sz w:val="16"/>
                <w:lang w:eastAsia="zh-CN"/>
              </w:rPr>
              <w:t>截至</w:t>
            </w:r>
            <w:r>
              <w:rPr>
                <w:rFonts w:ascii="宋体" w:hAnsi="宋体" w:eastAsia="宋体"/>
                <w:sz w:val="16"/>
              </w:rPr>
              <w:t>监控节点，项目已支出金额为191.26万元，已完成实施现代产业培育工程，已配套建设红枣产业研究院附属设施，购置相关设备。项目已完工并通过验收，完成专家公寓楼 1 座建设并投入使用，项目的实施有效提高了科研团队专家的工作积极性，改善了专家的住宿条件。</w:t>
            </w:r>
          </w:p>
        </w:tc>
      </w:tr>
      <w:tr w14:paraId="0EDC8F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0D0B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73C5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28D0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AC52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6ECD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8B22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CC86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606D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7B25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225A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7786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2D0F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29A82">
            <w:pPr>
              <w:jc w:val="center"/>
            </w:pPr>
            <w:r>
              <w:rPr>
                <w:rFonts w:ascii="宋体" w:hAnsi="宋体" w:eastAsia="宋体"/>
                <w:sz w:val="16"/>
              </w:rPr>
              <w:t>偏差原因分析及改进措施</w:t>
            </w:r>
          </w:p>
        </w:tc>
      </w:tr>
      <w:tr w14:paraId="71F42E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23850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42FD3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32B6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61492">
            <w:pPr>
              <w:jc w:val="center"/>
            </w:pPr>
            <w:r>
              <w:rPr>
                <w:rFonts w:ascii="宋体" w:hAnsi="宋体" w:eastAsia="宋体"/>
                <w:sz w:val="16"/>
              </w:rPr>
              <w:t>建设专家公寓楼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D3F0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45E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292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3E5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645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BBE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545F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26E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04A02">
            <w:pPr>
              <w:jc w:val="center"/>
            </w:pPr>
          </w:p>
        </w:tc>
      </w:tr>
      <w:tr w14:paraId="0CAF48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85F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6F5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7AE2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47CB1">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393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2BD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AA3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B14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D38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4F1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E62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335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972BD">
            <w:pPr>
              <w:jc w:val="center"/>
            </w:pPr>
          </w:p>
        </w:tc>
      </w:tr>
      <w:tr w14:paraId="5859ED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E48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42EB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6088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1C935">
            <w:pPr>
              <w:jc w:val="center"/>
            </w:pPr>
            <w:r>
              <w:rPr>
                <w:rFonts w:ascii="宋体" w:hAnsi="宋体" w:eastAsia="宋体"/>
                <w:sz w:val="16"/>
              </w:rPr>
              <w:t>项目完工及时率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A7C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4C5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2D5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E4E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BDE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B8B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396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414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F2120">
            <w:pPr>
              <w:jc w:val="center"/>
            </w:pPr>
          </w:p>
        </w:tc>
      </w:tr>
      <w:tr w14:paraId="618391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A59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ABF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7CA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238D3">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7CA64">
            <w:pPr>
              <w:jc w:val="center"/>
            </w:pPr>
            <w:r>
              <w:rPr>
                <w:rFonts w:ascii="宋体" w:hAnsi="宋体" w:eastAsia="宋体"/>
                <w:sz w:val="16"/>
              </w:rPr>
              <w:t>2024年8月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A3E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B85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43D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F9A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A16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1B792">
            <w:pPr>
              <w:jc w:val="center"/>
            </w:pPr>
            <w:r>
              <w:rPr>
                <w:rFonts w:ascii="宋体" w:hAnsi="宋体" w:eastAsia="宋体"/>
                <w:sz w:val="16"/>
              </w:rPr>
              <w:t>2024年8月30日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5BE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D362C">
            <w:pPr>
              <w:jc w:val="center"/>
            </w:pPr>
          </w:p>
        </w:tc>
      </w:tr>
      <w:tr w14:paraId="32835B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C4E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20A0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E264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A6416">
            <w:pPr>
              <w:jc w:val="center"/>
            </w:pPr>
            <w:r>
              <w:rPr>
                <w:rFonts w:ascii="宋体" w:hAnsi="宋体" w:eastAsia="宋体"/>
                <w:sz w:val="16"/>
              </w:rPr>
              <w:t>专家公寓楼附属配套设施成本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8D48D">
            <w:pPr>
              <w:jc w:val="center"/>
            </w:pPr>
            <w:r>
              <w:rPr>
                <w:rFonts w:ascii="宋体" w:hAnsi="宋体" w:eastAsia="宋体"/>
                <w:sz w:val="16"/>
              </w:rPr>
              <w:t>&lt;=191.26万元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C5D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5F5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CAEA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071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D629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90323">
            <w:pPr>
              <w:jc w:val="center"/>
            </w:pPr>
            <w:r>
              <w:rPr>
                <w:rFonts w:ascii="宋体" w:hAnsi="宋体" w:eastAsia="宋体"/>
                <w:sz w:val="16"/>
              </w:rPr>
              <w:t>=191.26万元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AA5B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864CB">
            <w:pPr>
              <w:jc w:val="center"/>
            </w:pPr>
          </w:p>
        </w:tc>
      </w:tr>
      <w:tr w14:paraId="5607F9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E09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FE84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035E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F9FE0">
            <w:pPr>
              <w:jc w:val="center"/>
            </w:pPr>
            <w:r>
              <w:rPr>
                <w:rFonts w:ascii="宋体" w:hAnsi="宋体" w:eastAsia="宋体"/>
                <w:sz w:val="16"/>
              </w:rPr>
              <w:t>提高专家工作积极性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B7E9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682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C24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2B91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B6CE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334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A572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1BBE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E4F43">
            <w:pPr>
              <w:jc w:val="center"/>
            </w:pPr>
          </w:p>
        </w:tc>
      </w:tr>
      <w:tr w14:paraId="04EAA6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D5E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8E7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8B8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67C5A">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6D5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5CE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A1B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F2F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E0E8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D4E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A51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76C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1867A">
            <w:pPr>
              <w:jc w:val="center"/>
            </w:pPr>
          </w:p>
        </w:tc>
      </w:tr>
      <w:tr w14:paraId="5D7056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68C7C">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C046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46275">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D8F1C1">
            <w:pPr>
              <w:jc w:val="center"/>
            </w:pPr>
            <w:r>
              <w:rPr>
                <w:rFonts w:ascii="宋体" w:hAnsi="宋体" w:eastAsia="宋体"/>
                <w:sz w:val="16"/>
              </w:rPr>
              <w:t>100分</w:t>
            </w:r>
          </w:p>
        </w:tc>
      </w:tr>
    </w:tbl>
    <w:p w14:paraId="20336A20">
      <w:r>
        <w:br w:type="page"/>
      </w:r>
    </w:p>
    <w:p w14:paraId="1F055362">
      <w:pPr>
        <w:spacing w:line="640" w:lineRule="exact"/>
        <w:ind w:firstLine="640"/>
        <w:jc w:val="both"/>
        <w:outlineLvl w:val="2"/>
      </w:pPr>
      <w:r>
        <w:rPr>
          <w:rFonts w:ascii="黑体" w:hAnsi="黑体" w:eastAsia="黑体"/>
          <w:sz w:val="32"/>
        </w:rPr>
        <w:t>十二、其他需说明的事项</w:t>
      </w:r>
    </w:p>
    <w:p w14:paraId="4EC3FAB5">
      <w:pPr>
        <w:spacing w:line="580" w:lineRule="exact"/>
        <w:ind w:firstLine="640"/>
        <w:jc w:val="both"/>
      </w:pPr>
      <w:r>
        <w:rPr>
          <w:rFonts w:ascii="仿宋_GB2312" w:hAnsi="仿宋_GB2312" w:eastAsia="仿宋_GB2312"/>
          <w:b w:val="0"/>
          <w:sz w:val="32"/>
        </w:rPr>
        <w:t>本单位无其他需说明的事项。</w:t>
      </w:r>
    </w:p>
    <w:p w14:paraId="2F86009B">
      <w:r>
        <w:br w:type="page"/>
      </w:r>
    </w:p>
    <w:p w14:paraId="6513472F">
      <w:pPr>
        <w:spacing w:line="240" w:lineRule="auto"/>
        <w:jc w:val="center"/>
        <w:outlineLvl w:val="1"/>
      </w:pPr>
      <w:r>
        <w:rPr>
          <w:rFonts w:ascii="黑体" w:hAnsi="黑体" w:eastAsia="黑体"/>
          <w:sz w:val="32"/>
        </w:rPr>
        <w:t>第三部分 专业名词解释</w:t>
      </w:r>
    </w:p>
    <w:p w14:paraId="037E7AB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B21A65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F7DD68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FBDEBE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DA15B3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740956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E3CB3E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FF4D0D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088C56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30D1D9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C6607A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1D8B06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834F08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51D4A5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BB630C6">
      <w:r>
        <w:br w:type="page"/>
      </w:r>
    </w:p>
    <w:p w14:paraId="2891E1F3">
      <w:pPr>
        <w:spacing w:line="240" w:lineRule="auto"/>
        <w:jc w:val="center"/>
        <w:outlineLvl w:val="1"/>
      </w:pPr>
      <w:r>
        <w:rPr>
          <w:rFonts w:ascii="黑体" w:hAnsi="黑体" w:eastAsia="黑体"/>
          <w:sz w:val="32"/>
        </w:rPr>
        <w:t>第四部分 部门决算报表（见附表）</w:t>
      </w:r>
    </w:p>
    <w:p w14:paraId="2455865F">
      <w:pPr>
        <w:spacing w:line="240" w:lineRule="auto"/>
        <w:ind w:firstLine="640"/>
        <w:jc w:val="both"/>
      </w:pPr>
      <w:r>
        <w:rPr>
          <w:rFonts w:ascii="仿宋_GB2312" w:hAnsi="仿宋_GB2312" w:eastAsia="仿宋_GB2312"/>
          <w:b w:val="0"/>
          <w:sz w:val="32"/>
        </w:rPr>
        <w:t>一、《收入支出决算总表》</w:t>
      </w:r>
    </w:p>
    <w:p w14:paraId="253C6573">
      <w:pPr>
        <w:spacing w:line="240" w:lineRule="auto"/>
        <w:ind w:firstLine="640"/>
        <w:jc w:val="both"/>
      </w:pPr>
      <w:r>
        <w:rPr>
          <w:rFonts w:ascii="仿宋_GB2312" w:hAnsi="仿宋_GB2312" w:eastAsia="仿宋_GB2312"/>
          <w:b w:val="0"/>
          <w:sz w:val="32"/>
        </w:rPr>
        <w:t>二、《收入决算表》</w:t>
      </w:r>
    </w:p>
    <w:p w14:paraId="5CA6B607">
      <w:pPr>
        <w:spacing w:line="240" w:lineRule="auto"/>
        <w:ind w:firstLine="640"/>
        <w:jc w:val="both"/>
      </w:pPr>
      <w:r>
        <w:rPr>
          <w:rFonts w:ascii="仿宋_GB2312" w:hAnsi="仿宋_GB2312" w:eastAsia="仿宋_GB2312"/>
          <w:b w:val="0"/>
          <w:sz w:val="32"/>
        </w:rPr>
        <w:t>三、《支出决算表》</w:t>
      </w:r>
    </w:p>
    <w:p w14:paraId="1AABD719">
      <w:pPr>
        <w:spacing w:line="240" w:lineRule="auto"/>
        <w:ind w:firstLine="640"/>
        <w:jc w:val="both"/>
      </w:pPr>
      <w:r>
        <w:rPr>
          <w:rFonts w:ascii="仿宋_GB2312" w:hAnsi="仿宋_GB2312" w:eastAsia="仿宋_GB2312"/>
          <w:b w:val="0"/>
          <w:sz w:val="32"/>
        </w:rPr>
        <w:t>四、《财政拨款收入支出决算总表》</w:t>
      </w:r>
    </w:p>
    <w:p w14:paraId="37A66D4F">
      <w:pPr>
        <w:spacing w:line="240" w:lineRule="auto"/>
        <w:ind w:firstLine="640"/>
        <w:jc w:val="both"/>
      </w:pPr>
      <w:r>
        <w:rPr>
          <w:rFonts w:ascii="仿宋_GB2312" w:hAnsi="仿宋_GB2312" w:eastAsia="仿宋_GB2312"/>
          <w:b w:val="0"/>
          <w:sz w:val="32"/>
        </w:rPr>
        <w:t>五、《一般公共预算财政拨款支出决算表》</w:t>
      </w:r>
    </w:p>
    <w:p w14:paraId="6BB94F42">
      <w:pPr>
        <w:spacing w:line="240" w:lineRule="auto"/>
        <w:ind w:firstLine="640"/>
        <w:jc w:val="both"/>
      </w:pPr>
      <w:r>
        <w:rPr>
          <w:rFonts w:ascii="仿宋_GB2312" w:hAnsi="仿宋_GB2312" w:eastAsia="仿宋_GB2312"/>
          <w:b w:val="0"/>
          <w:sz w:val="32"/>
        </w:rPr>
        <w:t>六、《一般公共预算财政拨款基本支出决算表》</w:t>
      </w:r>
    </w:p>
    <w:p w14:paraId="404375E9">
      <w:pPr>
        <w:spacing w:line="240" w:lineRule="auto"/>
        <w:ind w:firstLine="640"/>
        <w:jc w:val="both"/>
      </w:pPr>
      <w:r>
        <w:rPr>
          <w:rFonts w:ascii="仿宋_GB2312" w:hAnsi="仿宋_GB2312" w:eastAsia="仿宋_GB2312"/>
          <w:b w:val="0"/>
          <w:sz w:val="32"/>
        </w:rPr>
        <w:t>七、《政府性基金预算财政拨款收入支出决算表》</w:t>
      </w:r>
    </w:p>
    <w:p w14:paraId="09205650">
      <w:pPr>
        <w:spacing w:line="240" w:lineRule="auto"/>
        <w:ind w:firstLine="640"/>
        <w:jc w:val="both"/>
      </w:pPr>
      <w:r>
        <w:rPr>
          <w:rFonts w:ascii="仿宋_GB2312" w:hAnsi="仿宋_GB2312" w:eastAsia="仿宋_GB2312"/>
          <w:b w:val="0"/>
          <w:sz w:val="32"/>
        </w:rPr>
        <w:t>八、《国有资本经营预算财政拨款收入支出决算表》</w:t>
      </w:r>
    </w:p>
    <w:p w14:paraId="279CC688">
      <w:pPr>
        <w:spacing w:line="240" w:lineRule="auto"/>
        <w:ind w:firstLine="640"/>
        <w:jc w:val="both"/>
      </w:pPr>
      <w:r>
        <w:rPr>
          <w:rFonts w:ascii="仿宋_GB2312" w:hAnsi="仿宋_GB2312" w:eastAsia="仿宋_GB2312"/>
          <w:b w:val="0"/>
          <w:sz w:val="32"/>
        </w:rPr>
        <w:t>九、《财政拨款“三公”经费支出决算表》</w:t>
      </w:r>
    </w:p>
    <w:p w14:paraId="201B2DF2">
      <w:pPr>
        <w:spacing w:line="240" w:lineRule="auto"/>
        <w:ind w:firstLine="640"/>
        <w:jc w:val="both"/>
      </w:pPr>
    </w:p>
    <w:p w14:paraId="27CD5101">
      <w:pPr>
        <w:spacing w:line="240" w:lineRule="auto"/>
        <w:ind w:firstLine="640"/>
        <w:jc w:val="both"/>
      </w:pPr>
    </w:p>
    <w:p w14:paraId="14EA714C">
      <w:pPr>
        <w:spacing w:line="240" w:lineRule="auto"/>
        <w:ind w:firstLine="640"/>
        <w:jc w:val="both"/>
      </w:pPr>
    </w:p>
    <w:p w14:paraId="133BB71A">
      <w:pPr>
        <w:spacing w:line="240" w:lineRule="auto"/>
        <w:ind w:firstLine="640"/>
        <w:jc w:val="both"/>
      </w:pPr>
    </w:p>
    <w:p w14:paraId="3CAF99A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5F77934"/>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CD1451D"/>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7724EF"/>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7690CE9"/>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9C3F54"/>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8076</Words>
  <Characters>9360</Characters>
  <Lines>0</Lines>
  <Paragraphs>0</Paragraphs>
  <TotalTime>9</TotalTime>
  <ScaleCrop>false</ScaleCrop>
  <LinksUpToDate>false</LinksUpToDate>
  <CharactersWithSpaces>9368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2025-09-04T03:44:52Z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