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171B89">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4500C46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DC358B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7A234F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FD4546">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E0E4FAB">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麦盖提县尕孜库勒乡人民政府</w:t>
      </w:r>
    </w:p>
    <w:p w14:paraId="3F2E4FC0">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67B7628F">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2FF403">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093DC97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24550F5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2F6B993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58E8A93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8D3DF4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3648AAC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61B5FE3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21F149A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4E66C629">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255E6E5">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7864CA0F">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6217557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365AFA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5DC503A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1BC0926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02F7C7C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7A166599">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1A58854D">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0BF3A46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54EFE8C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3C9515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7669342F">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4D2477E0">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7C7434A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6E1ED9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2017B14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02D2271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174354A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53C50F8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6BD620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86FF6C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63E8087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5E0D736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3955052">
      <w:r>
        <w:br w:type="page"/>
      </w:r>
    </w:p>
    <w:p w14:paraId="4B457DC5">
      <w:pPr>
        <w:spacing w:line="640" w:lineRule="exact"/>
        <w:jc w:val="center"/>
        <w:outlineLvl w:val="1"/>
      </w:pPr>
      <w:r>
        <w:rPr>
          <w:rFonts w:ascii="黑体" w:hAnsi="黑体" w:eastAsia="黑体"/>
          <w:sz w:val="32"/>
        </w:rPr>
        <w:t>第一部分 单位概况</w:t>
      </w:r>
    </w:p>
    <w:p w14:paraId="61055CCC">
      <w:pPr>
        <w:spacing w:line="640" w:lineRule="exact"/>
        <w:ind w:firstLine="640"/>
        <w:jc w:val="both"/>
        <w:outlineLvl w:val="2"/>
      </w:pPr>
      <w:r>
        <w:rPr>
          <w:rFonts w:ascii="黑体" w:hAnsi="黑体" w:eastAsia="黑体"/>
          <w:sz w:val="32"/>
        </w:rPr>
        <w:t>一、主要职能</w:t>
      </w:r>
    </w:p>
    <w:p w14:paraId="2DA206B5">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负责落实国家、自治区各项强农惠农政策；负责农业产业化调整规划和引导工作；负责制定并组织实施村镇建设规划、乡村道路建设和公共设施建设；负责土地、林木、水等自然资源和</w:t>
      </w:r>
      <w:r>
        <w:rPr>
          <w:rFonts w:hint="eastAsia" w:ascii="仿宋_GB2312" w:hAnsi="仿宋_GB2312" w:eastAsia="仿宋_GB2312"/>
          <w:sz w:val="32"/>
          <w:lang w:eastAsia="zh-CN"/>
        </w:rPr>
        <w:t>生态环境保护</w:t>
      </w:r>
      <w:r>
        <w:rPr>
          <w:rFonts w:ascii="仿宋_GB2312" w:hAnsi="仿宋_GB2312" w:eastAsia="仿宋_GB2312"/>
          <w:sz w:val="32"/>
        </w:rPr>
        <w:t>；负责农业生产环境监管和农产品质量安全；负责农村经营管理和指导；负责村级财务和土地承包流转监管工作，负责基本农田保护和农业科学技术推广工作；负责动植物防疫检疫工作；负责农田水利基本建设、防汛抗旱工作；负责指导农机安全管理、监督和检查工作；负责政策宣传、项目开发、技能培训工作。</w:t>
      </w:r>
    </w:p>
    <w:p w14:paraId="677D012C">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负责本行政区域内的人口工作：协助配合教育行政部门做好幼儿教育、九年制义务教育、成人教育等工作；负责实施城乡居民就业、社会保险、卫生防疫和妇幼保健等工作；组织开展爱国卫生运动，实施农村公共卫生管理工作；负责组织实施社会救助救济、就业、养老、优抚、残疾人等管理服务工作；组织开展各类文化体育活动。</w:t>
      </w:r>
    </w:p>
    <w:p w14:paraId="348A93FA">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负责组织建设、征兵等人民武装工作。</w:t>
      </w:r>
    </w:p>
    <w:p w14:paraId="66EF2F10">
      <w:pPr>
        <w:spacing w:line="640" w:lineRule="exact"/>
        <w:ind w:firstLine="640"/>
        <w:jc w:val="both"/>
        <w:outlineLvl w:val="2"/>
      </w:pPr>
      <w:r>
        <w:rPr>
          <w:rFonts w:ascii="黑体" w:hAnsi="黑体" w:eastAsia="黑体"/>
          <w:sz w:val="32"/>
        </w:rPr>
        <w:t>二、机构设置及人员情况</w:t>
      </w:r>
    </w:p>
    <w:p w14:paraId="68B7C932">
      <w:pPr>
        <w:spacing w:line="580" w:lineRule="exact"/>
        <w:ind w:firstLine="640"/>
        <w:jc w:val="both"/>
      </w:pPr>
      <w:r>
        <w:rPr>
          <w:rFonts w:ascii="仿宋_GB2312" w:hAnsi="仿宋_GB2312" w:eastAsia="仿宋_GB2312"/>
          <w:sz w:val="32"/>
        </w:rPr>
        <w:t>麦盖提县尕孜库勒乡人民政府2024年度，实有人数138人，其中：在职人员121人，减少7人；离休人员0人，增加0人；退休人员17人,增加2人。</w:t>
      </w:r>
    </w:p>
    <w:p w14:paraId="0B2AA276">
      <w:pPr>
        <w:spacing w:line="580" w:lineRule="exact"/>
        <w:ind w:firstLine="640"/>
        <w:jc w:val="both"/>
      </w:pPr>
      <w:r>
        <w:rPr>
          <w:rFonts w:ascii="仿宋_GB2312" w:hAnsi="仿宋_GB2312" w:eastAsia="仿宋_GB2312"/>
          <w:sz w:val="32"/>
        </w:rPr>
        <w:t>麦盖提县尕孜库勒乡人民政府无下属预算单位，下设10个科室，分别是：党政综合办公室、党建工作办公室、经济发展和财政办公室、社会事务办公室、综合执法办公室、农业发展服务中心、公共文化服务中心、村镇建设发展中心、综治和网格化服务中心、便民服务中心。</w:t>
      </w:r>
    </w:p>
    <w:p w14:paraId="68B6ED60">
      <w:r>
        <w:br w:type="page"/>
      </w:r>
    </w:p>
    <w:p w14:paraId="616A1099">
      <w:pPr>
        <w:spacing w:line="240" w:lineRule="auto"/>
        <w:jc w:val="center"/>
        <w:outlineLvl w:val="1"/>
      </w:pPr>
      <w:r>
        <w:rPr>
          <w:rFonts w:ascii="黑体" w:hAnsi="黑体" w:eastAsia="黑体"/>
          <w:sz w:val="32"/>
        </w:rPr>
        <w:t>第二部分 部门决算情况说明</w:t>
      </w:r>
    </w:p>
    <w:p w14:paraId="698BFC20">
      <w:pPr>
        <w:spacing w:line="640" w:lineRule="exact"/>
        <w:ind w:firstLine="640"/>
        <w:jc w:val="both"/>
        <w:outlineLvl w:val="2"/>
      </w:pPr>
      <w:r>
        <w:rPr>
          <w:rFonts w:ascii="黑体" w:hAnsi="黑体" w:eastAsia="黑体"/>
          <w:sz w:val="32"/>
        </w:rPr>
        <w:t>一、收入支出决算总体情况说明</w:t>
      </w:r>
    </w:p>
    <w:p w14:paraId="13B160D9">
      <w:pPr>
        <w:spacing w:line="580" w:lineRule="exact"/>
        <w:ind w:firstLine="640"/>
        <w:jc w:val="both"/>
      </w:pPr>
      <w:r>
        <w:rPr>
          <w:rFonts w:ascii="仿宋_GB2312" w:hAnsi="仿宋_GB2312" w:eastAsia="仿宋_GB2312"/>
          <w:b/>
          <w:sz w:val="32"/>
        </w:rPr>
        <w:t>2024年度收入总计6,300.15万元，</w:t>
      </w:r>
      <w:r>
        <w:rPr>
          <w:rFonts w:ascii="仿宋_GB2312" w:hAnsi="仿宋_GB2312" w:eastAsia="仿宋_GB2312"/>
          <w:b w:val="0"/>
          <w:sz w:val="32"/>
        </w:rPr>
        <w:t>其中：本年收入合计6,267.51万元，使用非财政拨款结余（含专用结余）0.00万元，年初结转和结余32.64万元。</w:t>
      </w:r>
    </w:p>
    <w:p w14:paraId="632F22EF">
      <w:pPr>
        <w:spacing w:line="580" w:lineRule="exact"/>
        <w:ind w:firstLine="640"/>
        <w:jc w:val="both"/>
      </w:pPr>
      <w:r>
        <w:rPr>
          <w:rFonts w:ascii="仿宋_GB2312" w:hAnsi="仿宋_GB2312" w:eastAsia="仿宋_GB2312"/>
          <w:b/>
          <w:sz w:val="32"/>
        </w:rPr>
        <w:t>2024年度支出总计6,300.15万元，</w:t>
      </w:r>
      <w:r>
        <w:rPr>
          <w:rFonts w:ascii="仿宋_GB2312" w:hAnsi="仿宋_GB2312" w:eastAsia="仿宋_GB2312"/>
          <w:b w:val="0"/>
          <w:sz w:val="32"/>
        </w:rPr>
        <w:t>其中：本年支出合计6,290.51万元，结余分配0.00万元，年末结转和结余9.63万元。</w:t>
      </w:r>
    </w:p>
    <w:p w14:paraId="042AF461">
      <w:pPr>
        <w:spacing w:line="580" w:lineRule="exact"/>
        <w:ind w:firstLine="640"/>
        <w:jc w:val="both"/>
      </w:pPr>
      <w:r>
        <w:rPr>
          <w:rFonts w:ascii="仿宋_GB2312" w:hAnsi="仿宋_GB2312" w:eastAsia="仿宋_GB2312"/>
          <w:b w:val="0"/>
          <w:sz w:val="32"/>
        </w:rPr>
        <w:t>收入支出总体与上年相比，增加2,615.77万元，增长71.00%，主要原因是：本年增加麦盖提县尕孜库勒乡英巴扎村自治区重点示范村创建项目，麦盖提县尕孜库勒乡中水回用建设项目。</w:t>
      </w:r>
    </w:p>
    <w:p w14:paraId="057EDA2D">
      <w:pPr>
        <w:spacing w:line="640" w:lineRule="exact"/>
        <w:ind w:firstLine="640"/>
        <w:jc w:val="both"/>
        <w:outlineLvl w:val="2"/>
      </w:pPr>
      <w:r>
        <w:rPr>
          <w:rFonts w:ascii="黑体" w:hAnsi="黑体" w:eastAsia="黑体"/>
          <w:sz w:val="32"/>
        </w:rPr>
        <w:t>二、收入决算情况说明</w:t>
      </w:r>
    </w:p>
    <w:p w14:paraId="0630FA08">
      <w:pPr>
        <w:spacing w:line="580" w:lineRule="exact"/>
        <w:ind w:firstLine="640"/>
        <w:jc w:val="both"/>
      </w:pPr>
      <w:r>
        <w:rPr>
          <w:rFonts w:ascii="仿宋_GB2312" w:hAnsi="仿宋_GB2312" w:eastAsia="仿宋_GB2312"/>
          <w:b/>
          <w:sz w:val="32"/>
        </w:rPr>
        <w:t>本年收入6,267.51万元，</w:t>
      </w:r>
      <w:r>
        <w:rPr>
          <w:rFonts w:ascii="仿宋_GB2312" w:hAnsi="仿宋_GB2312" w:eastAsia="仿宋_GB2312"/>
          <w:b w:val="0"/>
          <w:sz w:val="32"/>
        </w:rPr>
        <w:t>其中：财政拨款收入6,147.41万元，占98.08%；上级补助收入0.00万元，占0.00%；事业收入0.00万元，占0.00%；经营收入0.00万元，占0.00%；附属单位上缴收入0.00万元，占0.00%；其他收入120.10万元，占1.92%。</w:t>
      </w:r>
    </w:p>
    <w:p w14:paraId="32AE9A82">
      <w:pPr>
        <w:spacing w:line="640" w:lineRule="exact"/>
        <w:ind w:firstLine="640"/>
        <w:jc w:val="both"/>
        <w:outlineLvl w:val="2"/>
      </w:pPr>
      <w:r>
        <w:rPr>
          <w:rFonts w:ascii="黑体" w:hAnsi="黑体" w:eastAsia="黑体"/>
          <w:sz w:val="32"/>
        </w:rPr>
        <w:t>三、支出决算情况说明</w:t>
      </w:r>
    </w:p>
    <w:p w14:paraId="3D8042DB">
      <w:pPr>
        <w:spacing w:line="580" w:lineRule="exact"/>
        <w:ind w:firstLine="640"/>
        <w:jc w:val="both"/>
      </w:pPr>
      <w:r>
        <w:rPr>
          <w:rFonts w:ascii="仿宋_GB2312" w:hAnsi="仿宋_GB2312" w:eastAsia="仿宋_GB2312"/>
          <w:b/>
          <w:sz w:val="32"/>
        </w:rPr>
        <w:t>本年支出6,290.51万元，</w:t>
      </w:r>
      <w:r>
        <w:rPr>
          <w:rFonts w:ascii="仿宋_GB2312" w:hAnsi="仿宋_GB2312" w:eastAsia="仿宋_GB2312"/>
          <w:b w:val="0"/>
          <w:sz w:val="32"/>
        </w:rPr>
        <w:t>其中：基本支出2,232.40万元，占35.49%；项目支出4,058.12万元，占64.51%；上缴上级支出0.00万元，占0.00%；经营支出0.00万元，占0.00%；对附属单位补助支出0.00万元，占0.00%。</w:t>
      </w:r>
    </w:p>
    <w:p w14:paraId="7957C56B">
      <w:pPr>
        <w:spacing w:line="640" w:lineRule="exact"/>
        <w:ind w:firstLine="640"/>
        <w:jc w:val="both"/>
        <w:outlineLvl w:val="2"/>
      </w:pPr>
      <w:r>
        <w:rPr>
          <w:rFonts w:ascii="黑体" w:hAnsi="黑体" w:eastAsia="黑体"/>
          <w:sz w:val="32"/>
        </w:rPr>
        <w:t>四、财政拨款收入支出决算总体情况说明</w:t>
      </w:r>
    </w:p>
    <w:p w14:paraId="4F259E40">
      <w:pPr>
        <w:spacing w:line="580" w:lineRule="exact"/>
        <w:ind w:firstLine="640"/>
        <w:jc w:val="both"/>
      </w:pPr>
      <w:r>
        <w:rPr>
          <w:rFonts w:ascii="仿宋_GB2312" w:hAnsi="仿宋_GB2312" w:eastAsia="仿宋_GB2312"/>
          <w:b/>
          <w:sz w:val="32"/>
        </w:rPr>
        <w:t>2024年度财政拨款收入总计6,147.41万元，</w:t>
      </w:r>
      <w:r>
        <w:rPr>
          <w:rFonts w:ascii="仿宋_GB2312" w:hAnsi="仿宋_GB2312" w:eastAsia="仿宋_GB2312"/>
          <w:b w:val="0"/>
          <w:sz w:val="32"/>
        </w:rPr>
        <w:t>其中：年初财政拨款结转和结余0.00万元，本年财政拨款收入6,147.41万元。</w:t>
      </w:r>
      <w:r>
        <w:rPr>
          <w:rFonts w:ascii="仿宋_GB2312" w:hAnsi="仿宋_GB2312" w:eastAsia="仿宋_GB2312"/>
          <w:b/>
          <w:sz w:val="32"/>
        </w:rPr>
        <w:t>财政拨款支出总计6,147.41万元，</w:t>
      </w:r>
      <w:r>
        <w:rPr>
          <w:rFonts w:ascii="仿宋_GB2312" w:hAnsi="仿宋_GB2312" w:eastAsia="仿宋_GB2312"/>
          <w:b w:val="0"/>
          <w:sz w:val="32"/>
        </w:rPr>
        <w:t>其中：年末财政拨款结转和结余0.00万元，本年财政拨款支出6,147.41万元。</w:t>
      </w:r>
    </w:p>
    <w:p w14:paraId="7CCAAD0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增加2,648.55万元，增长75.70%，主要原因是：本年增加麦盖提县尕孜库勒乡英巴扎村自治区重点示范村创建项目，麦盖提县尕孜库勒乡中水回用建设项目。</w:t>
      </w:r>
      <w:r>
        <w:rPr>
          <w:rFonts w:ascii="仿宋_GB2312" w:hAnsi="仿宋_GB2312" w:eastAsia="仿宋_GB2312"/>
          <w:b/>
          <w:sz w:val="32"/>
        </w:rPr>
        <w:t>与年初预算相比，</w:t>
      </w:r>
      <w:r>
        <w:rPr>
          <w:rFonts w:ascii="仿宋_GB2312" w:hAnsi="仿宋_GB2312" w:eastAsia="仿宋_GB2312"/>
          <w:b w:val="0"/>
          <w:sz w:val="32"/>
        </w:rPr>
        <w:t>年初预算数2,298.73万元，决算数6,147.41万元，预决算差异率167.43%，主要原因是：本年度在职人员工资调薪，工资、社保、住房公积金等相关人员经费增加，年中追加人员经费；年中追加本年增加自治区重点示范村创建项目，麦盖提县尕孜库勒乡中水回用建设项目增加，导致预决算存在差异。</w:t>
      </w:r>
    </w:p>
    <w:p w14:paraId="010BDE2D">
      <w:pPr>
        <w:spacing w:line="640" w:lineRule="exact"/>
        <w:ind w:firstLine="640"/>
        <w:jc w:val="both"/>
        <w:outlineLvl w:val="2"/>
      </w:pPr>
      <w:r>
        <w:rPr>
          <w:rFonts w:ascii="黑体" w:hAnsi="黑体" w:eastAsia="黑体"/>
          <w:sz w:val="32"/>
        </w:rPr>
        <w:t>五、一般公共预算财政拨款支出决算情况说明</w:t>
      </w:r>
    </w:p>
    <w:p w14:paraId="037DF0CA">
      <w:pPr>
        <w:spacing w:line="640" w:lineRule="exact"/>
        <w:ind w:firstLine="640"/>
        <w:jc w:val="both"/>
        <w:outlineLvl w:val="3"/>
      </w:pPr>
      <w:r>
        <w:rPr>
          <w:rFonts w:ascii="楷体_GB2312" w:hAnsi="楷体_GB2312" w:eastAsia="楷体_GB2312"/>
          <w:b/>
          <w:sz w:val="32"/>
        </w:rPr>
        <w:t>（一）一般公共预算财政拨款支出决算总体情况</w:t>
      </w:r>
    </w:p>
    <w:p w14:paraId="4710BA84">
      <w:pPr>
        <w:spacing w:line="580" w:lineRule="exact"/>
        <w:ind w:firstLine="640"/>
        <w:jc w:val="both"/>
      </w:pPr>
      <w:r>
        <w:rPr>
          <w:rFonts w:ascii="仿宋_GB2312" w:hAnsi="仿宋_GB2312" w:eastAsia="仿宋_GB2312"/>
          <w:b/>
          <w:sz w:val="32"/>
        </w:rPr>
        <w:t>2024年度一般公共预算财政拨款支出6,147.41万元，</w:t>
      </w:r>
      <w:r>
        <w:rPr>
          <w:rFonts w:ascii="仿宋_GB2312" w:hAnsi="仿宋_GB2312" w:eastAsia="仿宋_GB2312"/>
          <w:b w:val="0"/>
          <w:sz w:val="32"/>
        </w:rPr>
        <w:t>占本年支出合计的97.73%。</w:t>
      </w:r>
      <w:r>
        <w:rPr>
          <w:rFonts w:ascii="仿宋_GB2312" w:hAnsi="仿宋_GB2312" w:eastAsia="仿宋_GB2312"/>
          <w:b/>
          <w:sz w:val="32"/>
        </w:rPr>
        <w:t>与上年相比，</w:t>
      </w:r>
      <w:r>
        <w:rPr>
          <w:rFonts w:ascii="仿宋_GB2312" w:hAnsi="仿宋_GB2312" w:eastAsia="仿宋_GB2312"/>
          <w:b w:val="0"/>
          <w:sz w:val="32"/>
        </w:rPr>
        <w:t>增加2,648.55万元，增长75.70%，主要原因是：本年增加麦盖提县尕孜库勒乡英巴扎村自治区重点示范村创建项目，麦盖提县尕孜库勒乡中水回用建设项目。</w:t>
      </w:r>
      <w:r>
        <w:rPr>
          <w:rFonts w:ascii="仿宋_GB2312" w:hAnsi="仿宋_GB2312" w:eastAsia="仿宋_GB2312"/>
          <w:b/>
          <w:sz w:val="32"/>
        </w:rPr>
        <w:t>与年初预算相比,</w:t>
      </w:r>
      <w:r>
        <w:rPr>
          <w:rFonts w:ascii="仿宋_GB2312" w:hAnsi="仿宋_GB2312" w:eastAsia="仿宋_GB2312"/>
          <w:b w:val="0"/>
          <w:sz w:val="32"/>
        </w:rPr>
        <w:t>年初预算数2,298.73万元，决算数6,147.41万元，预决算差异率167.43%，主要原因是：本年度在职人员工资调薪，工资、社保、住房公积金等相关人员经费增加，年中追加人员经费；年中追加本年增加自治区重点示范村创建项目，中水回用建设项目增加，导致预决算存在差异。</w:t>
      </w:r>
    </w:p>
    <w:p w14:paraId="265A3B2B">
      <w:pPr>
        <w:spacing w:line="640" w:lineRule="exact"/>
        <w:ind w:firstLine="640"/>
        <w:jc w:val="both"/>
        <w:outlineLvl w:val="3"/>
      </w:pPr>
      <w:r>
        <w:rPr>
          <w:rFonts w:ascii="楷体_GB2312" w:hAnsi="楷体_GB2312" w:eastAsia="楷体_GB2312"/>
          <w:b/>
          <w:sz w:val="32"/>
        </w:rPr>
        <w:t>（二）一般公共预算财政拨款支出决算结构情况</w:t>
      </w:r>
    </w:p>
    <w:p w14:paraId="24DD2BC1">
      <w:pPr>
        <w:spacing w:line="580" w:lineRule="exact"/>
        <w:ind w:firstLine="640"/>
        <w:jc w:val="both"/>
      </w:pPr>
      <w:r>
        <w:rPr>
          <w:rFonts w:ascii="仿宋_GB2312" w:hAnsi="仿宋_GB2312" w:eastAsia="仿宋_GB2312"/>
          <w:b w:val="0"/>
          <w:sz w:val="32"/>
        </w:rPr>
        <w:t>1.一般公共服务支出(类)2,020.69万元,占32.87%。</w:t>
      </w:r>
    </w:p>
    <w:p w14:paraId="1B4638D5">
      <w:pPr>
        <w:spacing w:line="580" w:lineRule="exact"/>
        <w:ind w:firstLine="640"/>
        <w:jc w:val="both"/>
      </w:pPr>
      <w:r>
        <w:rPr>
          <w:rFonts w:ascii="仿宋_GB2312" w:hAnsi="仿宋_GB2312" w:eastAsia="仿宋_GB2312"/>
          <w:b w:val="0"/>
          <w:sz w:val="32"/>
        </w:rPr>
        <w:t>2.文化旅游体育与传媒支出(类)37.12万元,占0.60%。</w:t>
      </w:r>
    </w:p>
    <w:p w14:paraId="7551142E">
      <w:pPr>
        <w:spacing w:line="580" w:lineRule="exact"/>
        <w:ind w:firstLine="640"/>
        <w:jc w:val="both"/>
      </w:pPr>
      <w:r>
        <w:rPr>
          <w:rFonts w:ascii="仿宋_GB2312" w:hAnsi="仿宋_GB2312" w:eastAsia="仿宋_GB2312"/>
          <w:b w:val="0"/>
          <w:sz w:val="32"/>
        </w:rPr>
        <w:t>3.社会保障和就业支出(类)241.63万元,占3.93%。</w:t>
      </w:r>
    </w:p>
    <w:p w14:paraId="473D9396">
      <w:pPr>
        <w:spacing w:line="580" w:lineRule="exact"/>
        <w:ind w:firstLine="640"/>
        <w:jc w:val="both"/>
      </w:pPr>
      <w:r>
        <w:rPr>
          <w:rFonts w:ascii="仿宋_GB2312" w:hAnsi="仿宋_GB2312" w:eastAsia="仿宋_GB2312"/>
          <w:b w:val="0"/>
          <w:sz w:val="32"/>
        </w:rPr>
        <w:t>4.卫生健康支出(类)102.77万元,占1.67%。</w:t>
      </w:r>
    </w:p>
    <w:p w14:paraId="31111129">
      <w:pPr>
        <w:spacing w:line="580" w:lineRule="exact"/>
        <w:ind w:firstLine="640"/>
        <w:jc w:val="both"/>
      </w:pPr>
      <w:r>
        <w:rPr>
          <w:rFonts w:ascii="仿宋_GB2312" w:hAnsi="仿宋_GB2312" w:eastAsia="仿宋_GB2312"/>
          <w:b w:val="0"/>
          <w:sz w:val="32"/>
        </w:rPr>
        <w:t>5.节能环保支出(类)5.47万元,占0.09%。</w:t>
      </w:r>
    </w:p>
    <w:p w14:paraId="47C97E62">
      <w:pPr>
        <w:spacing w:line="580" w:lineRule="exact"/>
        <w:ind w:firstLine="640"/>
        <w:jc w:val="both"/>
      </w:pPr>
      <w:r>
        <w:rPr>
          <w:rFonts w:ascii="仿宋_GB2312" w:hAnsi="仿宋_GB2312" w:eastAsia="仿宋_GB2312"/>
          <w:b w:val="0"/>
          <w:sz w:val="32"/>
        </w:rPr>
        <w:t>6.农林水支出(类)3,566.83万元,占58.02%。</w:t>
      </w:r>
    </w:p>
    <w:p w14:paraId="377C4E9C">
      <w:pPr>
        <w:spacing w:line="580" w:lineRule="exact"/>
        <w:ind w:firstLine="640"/>
        <w:jc w:val="both"/>
      </w:pPr>
      <w:r>
        <w:rPr>
          <w:rFonts w:ascii="仿宋_GB2312" w:hAnsi="仿宋_GB2312" w:eastAsia="仿宋_GB2312"/>
          <w:b w:val="0"/>
          <w:sz w:val="32"/>
        </w:rPr>
        <w:t>7.住房保障支出(类)160.31万元,占2.61%。</w:t>
      </w:r>
    </w:p>
    <w:p w14:paraId="4EABA735">
      <w:pPr>
        <w:spacing w:line="580" w:lineRule="exact"/>
        <w:ind w:firstLine="640"/>
        <w:jc w:val="both"/>
      </w:pPr>
      <w:r>
        <w:rPr>
          <w:rFonts w:ascii="仿宋_GB2312" w:hAnsi="仿宋_GB2312" w:eastAsia="仿宋_GB2312"/>
          <w:b w:val="0"/>
          <w:sz w:val="32"/>
        </w:rPr>
        <w:t>8.其他支出(类)12.60万元,占0.20%。</w:t>
      </w:r>
    </w:p>
    <w:p w14:paraId="1C38A922">
      <w:pPr>
        <w:spacing w:line="640" w:lineRule="exact"/>
        <w:ind w:firstLine="640"/>
        <w:jc w:val="both"/>
        <w:outlineLvl w:val="3"/>
      </w:pPr>
      <w:r>
        <w:rPr>
          <w:rFonts w:ascii="楷体_GB2312" w:hAnsi="楷体_GB2312" w:eastAsia="楷体_GB2312"/>
          <w:b/>
          <w:sz w:val="32"/>
        </w:rPr>
        <w:t>（三）一般公共预算财政拨款支出决算具体情况</w:t>
      </w:r>
    </w:p>
    <w:p w14:paraId="608203FE">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1.一般公共服务支出(类)政府办公厅（室）及相关机构事务(款)行政运行(项):支出决算数为1,742.69万元，比上年决算增加3.59万元，增长0.21%,主要原因是：本年增加公用经费导致的。</w:t>
      </w:r>
    </w:p>
    <w:p w14:paraId="5CD14233">
      <w:pPr>
        <w:spacing w:line="580" w:lineRule="exact"/>
        <w:ind w:firstLine="640"/>
        <w:jc w:val="both"/>
      </w:pPr>
      <w:r>
        <w:rPr>
          <w:rFonts w:ascii="仿宋_GB2312" w:hAnsi="仿宋_GB2312" w:eastAsia="仿宋_GB2312"/>
          <w:b w:val="0"/>
          <w:sz w:val="32"/>
        </w:rPr>
        <w:t>2.一般公共服务支出(类)政府办公厅（室）及相关机构事务(款)其他政府办公厅（室）及相关机构事务支出(项):支出决算数为0.00万元，比上年决算减少49.50万元，下降100.00%,主要原因是：本年减少救助金费及夏粮收购项目经费。</w:t>
      </w:r>
    </w:p>
    <w:p w14:paraId="0D25B4CD">
      <w:pPr>
        <w:spacing w:line="580" w:lineRule="exact"/>
        <w:ind w:firstLine="640"/>
        <w:jc w:val="both"/>
      </w:pPr>
      <w:r>
        <w:rPr>
          <w:rFonts w:ascii="仿宋_GB2312" w:hAnsi="仿宋_GB2312" w:eastAsia="仿宋_GB2312"/>
          <w:b w:val="0"/>
          <w:sz w:val="32"/>
        </w:rPr>
        <w:t>3.一般公共服务支出(类)纪检监察事务(款)其他纪检监察事务支出(项):支出决算数为2.00万元，比上年决算增加0.50万元，增长33.33%,主要原因是：本年增加中央政法纪检监察转移支付资金项目资金。</w:t>
      </w:r>
    </w:p>
    <w:p w14:paraId="18CFB5AE">
      <w:pPr>
        <w:spacing w:line="580" w:lineRule="exact"/>
        <w:ind w:firstLine="640"/>
        <w:jc w:val="both"/>
      </w:pPr>
      <w:r>
        <w:rPr>
          <w:rFonts w:ascii="仿宋_GB2312" w:hAnsi="仿宋_GB2312" w:eastAsia="仿宋_GB2312"/>
          <w:b w:val="0"/>
          <w:sz w:val="32"/>
        </w:rPr>
        <w:t>4.一般公共服务支出(类)组织事务(款)其他组织事务支出(项):支出决算数为276.00万元，比上年决算增加215.00万元，增长352.46%,主要原因是：本年增加2024年乡镇（街道）综合治理经费。</w:t>
      </w:r>
    </w:p>
    <w:p w14:paraId="0F8BE226">
      <w:pPr>
        <w:spacing w:line="580" w:lineRule="exact"/>
        <w:ind w:firstLine="640"/>
        <w:jc w:val="both"/>
      </w:pPr>
      <w:r>
        <w:rPr>
          <w:rFonts w:ascii="仿宋_GB2312" w:hAnsi="仿宋_GB2312" w:eastAsia="仿宋_GB2312"/>
          <w:b w:val="0"/>
          <w:sz w:val="32"/>
        </w:rPr>
        <w:t>5.文化旅游体育与传媒支出(类)文化和旅游(款)群众文化(项):支出决算数为37.12万元，比上年决算增加37.12万元，增长100.00%,主要原因是：本年功能科目调整，中央支持地方公共文化服务体系建设补助资金上年在其他文化旅游体育与传媒支出科目列支，本年在群众文化科目列支，导致经费较上年增加。</w:t>
      </w:r>
    </w:p>
    <w:p w14:paraId="78744432">
      <w:pPr>
        <w:spacing w:line="580" w:lineRule="exact"/>
        <w:ind w:firstLine="640"/>
        <w:jc w:val="both"/>
      </w:pPr>
      <w:r>
        <w:rPr>
          <w:rFonts w:ascii="仿宋_GB2312" w:hAnsi="仿宋_GB2312" w:eastAsia="仿宋_GB2312"/>
          <w:b w:val="0"/>
          <w:sz w:val="32"/>
        </w:rPr>
        <w:t>6.文化旅游体育与传媒支出(类)其他文化旅游体育与传媒支出(款)其他文化旅游体育与传媒支出(项):支出决算数为0.00万元，比上年决算减少75.00万元，下降100.00%,主要原因是：本年功能科目调整，中央支持地方公共文化服务体系建设补助资金上年在其他文化旅游体育与传媒支出科目列支，本年在群众文化科目列支，导致经费较上年减少。</w:t>
      </w:r>
    </w:p>
    <w:p w14:paraId="3F0C3AC4">
      <w:pPr>
        <w:spacing w:line="580" w:lineRule="exact"/>
        <w:ind w:firstLine="640"/>
        <w:jc w:val="both"/>
      </w:pPr>
      <w:r>
        <w:rPr>
          <w:rFonts w:ascii="仿宋_GB2312" w:hAnsi="仿宋_GB2312" w:eastAsia="仿宋_GB2312"/>
          <w:b w:val="0"/>
          <w:sz w:val="32"/>
        </w:rPr>
        <w:t>7.社会保障和就业支出(类)民政管理事务(款)其他民政管理事务支出(项):支出决算数为5.00万元，比上年决算减少3.75万元，下降42.86%,主要原因是：本年减少幸福大院冬季取暖电费项目。</w:t>
      </w:r>
    </w:p>
    <w:p w14:paraId="6F4619AB">
      <w:pPr>
        <w:spacing w:line="580" w:lineRule="exact"/>
        <w:ind w:firstLine="640"/>
        <w:jc w:val="both"/>
      </w:pPr>
      <w:r>
        <w:rPr>
          <w:rFonts w:ascii="仿宋_GB2312" w:hAnsi="仿宋_GB2312" w:eastAsia="仿宋_GB2312"/>
          <w:b w:val="0"/>
          <w:sz w:val="32"/>
        </w:rPr>
        <w:t>8.社会保障和就业支出(类)行政事业单位养老支出(款)行政单位离退休(项):支出决算数为19.95万元，比上年决算增加6.03万元，增长43.32%,主要原因是：本年增加退休人员基础绩效奖，退休费支出增加。</w:t>
      </w:r>
    </w:p>
    <w:p w14:paraId="59B0D8F8">
      <w:pPr>
        <w:spacing w:line="580" w:lineRule="exact"/>
        <w:ind w:firstLine="640"/>
        <w:jc w:val="both"/>
      </w:pPr>
      <w:r>
        <w:rPr>
          <w:rFonts w:ascii="仿宋_GB2312" w:hAnsi="仿宋_GB2312" w:eastAsia="仿宋_GB2312"/>
          <w:b w:val="0"/>
          <w:sz w:val="32"/>
        </w:rPr>
        <w:t>9.社会保障和就业支出(类)行政事业单位养老支出(款)机关事业单位基本养老保险缴费支出(项):支出决算数为201.95万元，比上年决算增加7.02万元，增长3.60%,主要原因是：本年在职人员工资基数调增，养老缴费基数上涨，相应支出增加。</w:t>
      </w:r>
    </w:p>
    <w:p w14:paraId="65E866E7">
      <w:pPr>
        <w:spacing w:line="580" w:lineRule="exact"/>
        <w:ind w:firstLine="640"/>
        <w:jc w:val="both"/>
      </w:pPr>
      <w:r>
        <w:rPr>
          <w:rFonts w:ascii="仿宋_GB2312" w:hAnsi="仿宋_GB2312" w:eastAsia="仿宋_GB2312"/>
          <w:b w:val="0"/>
          <w:sz w:val="32"/>
        </w:rPr>
        <w:t>10.社会保障和就业支出(类)行政事业单位养老支出(款)机关事业单位职业年金缴费支出(项):支出决算数为4.73万元，比上年决算减少13.51万元，下降74.07%,主要原因是：本年新增退休人员较上年减少，职业年金缴费较上年减少。</w:t>
      </w:r>
    </w:p>
    <w:p w14:paraId="693859F5">
      <w:pPr>
        <w:spacing w:line="580" w:lineRule="exact"/>
        <w:ind w:firstLine="640"/>
        <w:jc w:val="both"/>
      </w:pPr>
      <w:r>
        <w:rPr>
          <w:rFonts w:ascii="仿宋_GB2312" w:hAnsi="仿宋_GB2312" w:eastAsia="仿宋_GB2312"/>
          <w:b w:val="0"/>
          <w:sz w:val="32"/>
        </w:rPr>
        <w:t>11.社会保障和就业支出(类)临时救助(款)临时救助支出(项):支出决算数为10.00万元，比上年决算减少80.26万元，下降88.92%,主要原因是：本年度临时救助项目调整到民政局支出，造成乡镇临时救助支出减少。</w:t>
      </w:r>
    </w:p>
    <w:p w14:paraId="5007F277">
      <w:pPr>
        <w:spacing w:line="580" w:lineRule="exact"/>
        <w:ind w:firstLine="640"/>
        <w:jc w:val="both"/>
      </w:pPr>
      <w:r>
        <w:rPr>
          <w:rFonts w:ascii="仿宋_GB2312" w:hAnsi="仿宋_GB2312" w:eastAsia="仿宋_GB2312"/>
          <w:b w:val="0"/>
          <w:sz w:val="32"/>
        </w:rPr>
        <w:t>12.卫生健康支出(类)行政事业单位医疗(款)行政单位医疗(项):支出决算数为85.83万元，比上年决算增加2.93万元，增长3.53%,主要原因是：本年在职人员工资基数调增，医疗缴费基数上涨，相应支出增加。</w:t>
      </w:r>
    </w:p>
    <w:p w14:paraId="58ED5754">
      <w:pPr>
        <w:spacing w:line="580" w:lineRule="exact"/>
        <w:ind w:firstLine="640"/>
        <w:jc w:val="both"/>
      </w:pPr>
      <w:r>
        <w:rPr>
          <w:rFonts w:ascii="仿宋_GB2312" w:hAnsi="仿宋_GB2312" w:eastAsia="仿宋_GB2312"/>
          <w:b w:val="0"/>
          <w:sz w:val="32"/>
        </w:rPr>
        <w:t>13.卫生健康支出(类)行政事业单位医疗(款)公务员医疗补助(项):支出决算数为16.94万元，比上年决算减少0.11万元，下降0.65%,主要原因是：本年在职人员减少，公务员医疗补助较上年减少。</w:t>
      </w:r>
    </w:p>
    <w:p w14:paraId="0829E61A">
      <w:pPr>
        <w:spacing w:line="580" w:lineRule="exact"/>
        <w:ind w:firstLine="640"/>
        <w:jc w:val="both"/>
      </w:pPr>
      <w:r>
        <w:rPr>
          <w:rFonts w:ascii="仿宋_GB2312" w:hAnsi="仿宋_GB2312" w:eastAsia="仿宋_GB2312"/>
          <w:b w:val="0"/>
          <w:sz w:val="32"/>
        </w:rPr>
        <w:t>14.节能环保支出(类)能源管理事务(款)能源行业管理(项):支出决算数为5.47万元，比上年决算增加5.47万元，增长100.00%,主要原因是：本年增加2021年煤改电项目经费支出。</w:t>
      </w:r>
    </w:p>
    <w:p w14:paraId="259DC37C">
      <w:pPr>
        <w:spacing w:line="580" w:lineRule="exact"/>
        <w:ind w:firstLine="640"/>
        <w:jc w:val="both"/>
      </w:pPr>
      <w:r>
        <w:rPr>
          <w:rFonts w:ascii="仿宋_GB2312" w:hAnsi="仿宋_GB2312" w:eastAsia="仿宋_GB2312"/>
          <w:b w:val="0"/>
          <w:sz w:val="32"/>
        </w:rPr>
        <w:t>15.农林水支出(类)巩固脱贫攻坚成果衔接乡村振兴(款)农村基础设施建设(项):支出决算数为2,699.85万元，比上年决算增加2,699.85万元，增长100.00%,主要原因是：本年增加麦盖提县尕孜库勒乡英巴扎村自治区重点示范村创建项目，麦盖提县尕孜库勒乡中水回用建设项目。</w:t>
      </w:r>
    </w:p>
    <w:p w14:paraId="43BF505B">
      <w:pPr>
        <w:spacing w:line="580" w:lineRule="exact"/>
        <w:ind w:firstLine="640"/>
        <w:jc w:val="both"/>
      </w:pPr>
      <w:r>
        <w:rPr>
          <w:rFonts w:ascii="仿宋_GB2312" w:hAnsi="仿宋_GB2312" w:eastAsia="仿宋_GB2312"/>
          <w:b w:val="0"/>
          <w:sz w:val="32"/>
        </w:rPr>
        <w:t>16.农林水支出(类)巩固脱贫攻坚成果衔接乡村振兴(款)生产发展(项):支出决算数为252.40万元，比上年决算减少461.60万元，下降64.65%,主要原因是：本年尕孜库勒乡发展新型村集体经济组织</w:t>
      </w:r>
      <w:r>
        <w:rPr>
          <w:rFonts w:hint="eastAsia" w:ascii="仿宋_GB2312" w:hAnsi="仿宋_GB2312" w:eastAsia="仿宋_GB2312"/>
          <w:b w:val="0"/>
          <w:sz w:val="32"/>
          <w:lang w:eastAsia="zh-CN"/>
        </w:rPr>
        <w:t>项目</w:t>
      </w:r>
      <w:r>
        <w:rPr>
          <w:rFonts w:ascii="仿宋_GB2312" w:hAnsi="仿宋_GB2312" w:eastAsia="仿宋_GB2312"/>
          <w:b w:val="0"/>
          <w:sz w:val="32"/>
        </w:rPr>
        <w:t>金额减少。</w:t>
      </w:r>
    </w:p>
    <w:p w14:paraId="3E42369E">
      <w:pPr>
        <w:spacing w:line="580" w:lineRule="exact"/>
        <w:ind w:firstLine="640"/>
        <w:jc w:val="both"/>
      </w:pPr>
      <w:r>
        <w:rPr>
          <w:rFonts w:ascii="仿宋_GB2312" w:hAnsi="仿宋_GB2312" w:eastAsia="仿宋_GB2312"/>
          <w:b w:val="0"/>
          <w:sz w:val="32"/>
        </w:rPr>
        <w:t>17.农林水支出(类)农村综合改革(款)对村级公益事业建设的补助(项):支出决算数为100.00万元，比上年决算增加100.00万元，增长100.00%,主要原因是：本年增加中央综合改革转移支付资金项目（古再勒库勒（12）村）。</w:t>
      </w:r>
    </w:p>
    <w:p w14:paraId="5C745750">
      <w:pPr>
        <w:spacing w:line="580" w:lineRule="exact"/>
        <w:ind w:firstLine="640"/>
        <w:jc w:val="both"/>
      </w:pPr>
      <w:r>
        <w:rPr>
          <w:rFonts w:ascii="仿宋_GB2312" w:hAnsi="仿宋_GB2312" w:eastAsia="仿宋_GB2312"/>
          <w:b w:val="0"/>
          <w:sz w:val="32"/>
        </w:rPr>
        <w:t>18.农林水支出(类)其他农林水支出(款)其他农林水支出(项):支出决算数为514.58万元，比上年决算增加514.58万元，增长100.00%,主要原因是：本年增加麦盖提县尕孜库勒乡土地平整项目，麦盖提县2024年美丽庭院建设项目。</w:t>
      </w:r>
    </w:p>
    <w:p w14:paraId="4820FEB5">
      <w:pPr>
        <w:spacing w:line="580" w:lineRule="exact"/>
        <w:ind w:firstLine="640"/>
        <w:jc w:val="both"/>
      </w:pPr>
      <w:r>
        <w:rPr>
          <w:rFonts w:ascii="仿宋_GB2312" w:hAnsi="仿宋_GB2312" w:eastAsia="仿宋_GB2312"/>
          <w:b w:val="0"/>
          <w:sz w:val="32"/>
        </w:rPr>
        <w:t>19.住房保障支出(类)住房改革支出(款)住房公积金(项):支出决算数为160.31万元，比上年决算增加20.44万元，增长14.61%,主要原因是：本年在职人员工资基数调增，公积金缴费基数上涨，相应支出增加。</w:t>
      </w:r>
    </w:p>
    <w:p w14:paraId="2CD14FD0">
      <w:pPr>
        <w:spacing w:line="580" w:lineRule="exact"/>
        <w:ind w:firstLine="640"/>
        <w:jc w:val="both"/>
      </w:pPr>
      <w:r>
        <w:rPr>
          <w:rFonts w:ascii="仿宋_GB2312" w:hAnsi="仿宋_GB2312" w:eastAsia="仿宋_GB2312"/>
          <w:b w:val="0"/>
          <w:sz w:val="32"/>
        </w:rPr>
        <w:t>20.其他支出(类)其他支出(款)其他支出(项):支出决算数为12.60万元，比上年决算减少280.24万元，下降95.70%,主要原因是：本年无2023年“访惠聚”驻村工作经费，2023年村级活动场所建设项目金额减少。</w:t>
      </w:r>
    </w:p>
    <w:p w14:paraId="1D6BDB3A">
      <w:pPr>
        <w:spacing w:line="640" w:lineRule="exact"/>
        <w:ind w:firstLine="640"/>
        <w:jc w:val="both"/>
        <w:outlineLvl w:val="2"/>
      </w:pPr>
      <w:r>
        <w:rPr>
          <w:rFonts w:ascii="黑体" w:hAnsi="黑体" w:eastAsia="黑体"/>
          <w:sz w:val="32"/>
        </w:rPr>
        <w:t>六、一般公共预算财政拨款基本支出决算情况说明</w:t>
      </w:r>
    </w:p>
    <w:p w14:paraId="1955551E">
      <w:pPr>
        <w:spacing w:line="580" w:lineRule="exact"/>
        <w:ind w:firstLine="640"/>
        <w:jc w:val="both"/>
      </w:pPr>
      <w:r>
        <w:rPr>
          <w:rFonts w:ascii="仿宋_GB2312" w:hAnsi="仿宋_GB2312" w:eastAsia="仿宋_GB2312"/>
          <w:b w:val="0"/>
          <w:sz w:val="32"/>
        </w:rPr>
        <w:t>2024年度一般公共预算财政拨款基本支出2,232.40万元，其中：</w:t>
      </w:r>
      <w:r>
        <w:rPr>
          <w:rFonts w:ascii="仿宋_GB2312" w:hAnsi="仿宋_GB2312" w:eastAsia="仿宋_GB2312"/>
          <w:b/>
          <w:sz w:val="32"/>
        </w:rPr>
        <w:t>人员经费2,055.47万元，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w:t>
      </w:r>
    </w:p>
    <w:p w14:paraId="7BF6749F">
      <w:pPr>
        <w:spacing w:line="580" w:lineRule="exact"/>
        <w:ind w:firstLine="640"/>
        <w:jc w:val="both"/>
      </w:pPr>
      <w:r>
        <w:rPr>
          <w:rFonts w:ascii="仿宋_GB2312" w:hAnsi="仿宋_GB2312" w:eastAsia="仿宋_GB2312"/>
          <w:b/>
          <w:sz w:val="32"/>
        </w:rPr>
        <w:t>公用经费176.92万元，</w:t>
      </w:r>
      <w:r>
        <w:rPr>
          <w:rFonts w:ascii="仿宋_GB2312" w:hAnsi="仿宋_GB2312" w:eastAsia="仿宋_GB2312"/>
          <w:b w:val="0"/>
          <w:sz w:val="32"/>
        </w:rPr>
        <w:t>包括：办公费、印刷费、水费、电费、邮电费、取暖费、差旅费、维修（护）费、公务用车运行维护费。</w:t>
      </w:r>
    </w:p>
    <w:p w14:paraId="629E471B">
      <w:pPr>
        <w:spacing w:line="640" w:lineRule="exact"/>
        <w:ind w:firstLine="640"/>
        <w:jc w:val="both"/>
        <w:outlineLvl w:val="2"/>
      </w:pPr>
      <w:r>
        <w:rPr>
          <w:rFonts w:ascii="黑体" w:hAnsi="黑体" w:eastAsia="黑体"/>
          <w:sz w:val="32"/>
        </w:rPr>
        <w:t>七、政府性基金预算财政拨款收入支出决算情况说明</w:t>
      </w:r>
    </w:p>
    <w:p w14:paraId="218C633F">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C187A7D">
      <w:pPr>
        <w:spacing w:line="640" w:lineRule="exact"/>
        <w:ind w:firstLine="640"/>
        <w:jc w:val="both"/>
        <w:outlineLvl w:val="2"/>
      </w:pPr>
      <w:r>
        <w:rPr>
          <w:rFonts w:ascii="黑体" w:hAnsi="黑体" w:eastAsia="黑体"/>
          <w:sz w:val="32"/>
        </w:rPr>
        <w:t>八、国有资本经营预算财政拨款收入支出决算情况说明</w:t>
      </w:r>
    </w:p>
    <w:p w14:paraId="2B1E36F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910BFA6">
      <w:pPr>
        <w:spacing w:line="640" w:lineRule="exact"/>
        <w:ind w:firstLine="640"/>
        <w:jc w:val="both"/>
        <w:outlineLvl w:val="2"/>
      </w:pPr>
      <w:r>
        <w:rPr>
          <w:rFonts w:ascii="黑体" w:hAnsi="黑体" w:eastAsia="黑体"/>
          <w:sz w:val="32"/>
        </w:rPr>
        <w:t>九、财政拨款“三公”经费支出决算情况说明</w:t>
      </w:r>
    </w:p>
    <w:p w14:paraId="575BB9E3">
      <w:pPr>
        <w:spacing w:line="580" w:lineRule="exact"/>
        <w:ind w:firstLine="640"/>
        <w:jc w:val="both"/>
      </w:pPr>
      <w:r>
        <w:rPr>
          <w:rFonts w:ascii="仿宋_GB2312" w:hAnsi="仿宋_GB2312" w:eastAsia="仿宋_GB2312"/>
          <w:b/>
          <w:sz w:val="32"/>
        </w:rPr>
        <w:t>2024年度财政拨款“三公”经费支出19.85万元，</w:t>
      </w:r>
      <w:r>
        <w:rPr>
          <w:rFonts w:ascii="仿宋_GB2312" w:hAnsi="仿宋_GB2312" w:eastAsia="仿宋_GB2312"/>
          <w:b w:val="0"/>
          <w:sz w:val="32"/>
        </w:rPr>
        <w:t>比上年增加12.48万元，增长169.34%，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19.85万元，占100.00%，比上年增加12.48万元，增长169.34%，主要原因是：本年因业务需求，用车次数增加，燃油费增加，导致公务用车运行维护费较上年增加。公务接待费支出0.00万元，占0.00%，比上年增加0.00万元，增长0.00%，主要原因是：2023年与2024年均未安排公务接待费支出。</w:t>
      </w:r>
    </w:p>
    <w:p w14:paraId="7DAA6B45">
      <w:pPr>
        <w:spacing w:line="580" w:lineRule="exact"/>
        <w:ind w:firstLine="640"/>
        <w:jc w:val="both"/>
      </w:pPr>
      <w:r>
        <w:rPr>
          <w:rFonts w:ascii="仿宋_GB2312" w:hAnsi="仿宋_GB2312" w:eastAsia="仿宋_GB2312"/>
          <w:b/>
          <w:sz w:val="32"/>
        </w:rPr>
        <w:t>具体情况如下：</w:t>
      </w:r>
    </w:p>
    <w:p w14:paraId="40DD68E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36DC1C9">
      <w:pPr>
        <w:spacing w:line="580" w:lineRule="exact"/>
        <w:ind w:firstLine="640"/>
        <w:jc w:val="both"/>
      </w:pPr>
      <w:r>
        <w:rPr>
          <w:rFonts w:ascii="仿宋_GB2312" w:hAnsi="仿宋_GB2312" w:eastAsia="仿宋_GB2312"/>
          <w:b w:val="0"/>
          <w:sz w:val="32"/>
        </w:rPr>
        <w:t>公务用车购置及运行维护费19.85万元，其中：公务用车购置费0.00万元，公务用车运行维护费19.85万元。公务用车运行维护费开支内容包括车辆加油费、维修费、保险费。公务用车购置数0辆，公务用车保有量6辆。国有资产占用情况中固定资产车辆6辆，与公务用车保有量差异原因是：本单位固定资产车辆与公务用车保有量一致无差异。</w:t>
      </w:r>
    </w:p>
    <w:p w14:paraId="6BD7775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5344F0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19.85万元，决算数19.85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19.85万元，决算数19.85万元，预决算差异率0.00%，主要原因是：严格按照预算执行，预决算无差异。公务接待费全年预算数0.00万元，决算数0.00万元，预决算差异率0.00%，主要原因是：本单位无公务接待费。</w:t>
      </w:r>
    </w:p>
    <w:p w14:paraId="30495D19">
      <w:pPr>
        <w:spacing w:line="640" w:lineRule="exact"/>
        <w:ind w:firstLine="640"/>
        <w:jc w:val="both"/>
        <w:outlineLvl w:val="2"/>
      </w:pPr>
      <w:r>
        <w:rPr>
          <w:rFonts w:ascii="黑体" w:hAnsi="黑体" w:eastAsia="黑体"/>
          <w:sz w:val="32"/>
        </w:rPr>
        <w:t>十、其他重要事项的情况说明</w:t>
      </w:r>
    </w:p>
    <w:p w14:paraId="43DFF2D2">
      <w:pPr>
        <w:spacing w:line="640" w:lineRule="exact"/>
        <w:ind w:firstLine="640"/>
        <w:jc w:val="both"/>
        <w:outlineLvl w:val="3"/>
      </w:pPr>
      <w:r>
        <w:rPr>
          <w:rFonts w:ascii="楷体_GB2312" w:hAnsi="楷体_GB2312" w:eastAsia="楷体_GB2312"/>
          <w:b/>
          <w:sz w:val="32"/>
        </w:rPr>
        <w:t>（一）机关运行经费及公用经费支出情况</w:t>
      </w:r>
    </w:p>
    <w:p w14:paraId="21E27141">
      <w:pPr>
        <w:spacing w:line="580" w:lineRule="exact"/>
        <w:ind w:firstLine="640"/>
        <w:jc w:val="both"/>
      </w:pPr>
      <w:r>
        <w:rPr>
          <w:rFonts w:ascii="仿宋_GB2312" w:hAnsi="仿宋_GB2312" w:eastAsia="仿宋_GB2312"/>
          <w:b w:val="0"/>
          <w:sz w:val="32"/>
        </w:rPr>
        <w:t>2024年度麦盖提县尕孜库勒乡人民政府（行政单位和参照公务员法管理事业单位）机关运行经费支出176.92万元，比上年增加63.12万元，增长55.47%，主要原因是：本年更新、维护补充办公用品，导致机关运行经费较上年增加。</w:t>
      </w:r>
    </w:p>
    <w:p w14:paraId="197CF1F5">
      <w:pPr>
        <w:spacing w:line="640" w:lineRule="exact"/>
        <w:ind w:firstLine="640"/>
        <w:jc w:val="both"/>
        <w:outlineLvl w:val="3"/>
      </w:pPr>
      <w:r>
        <w:rPr>
          <w:rFonts w:ascii="楷体_GB2312" w:hAnsi="楷体_GB2312" w:eastAsia="楷体_GB2312"/>
          <w:b/>
          <w:sz w:val="32"/>
        </w:rPr>
        <w:t>（二）政府采购情况</w:t>
      </w:r>
    </w:p>
    <w:p w14:paraId="445CDFA0">
      <w:pPr>
        <w:spacing w:line="580" w:lineRule="exact"/>
        <w:ind w:firstLine="640"/>
        <w:jc w:val="both"/>
      </w:pPr>
      <w:r>
        <w:rPr>
          <w:rFonts w:ascii="仿宋_GB2312" w:hAnsi="仿宋_GB2312" w:eastAsia="仿宋_GB2312"/>
          <w:b w:val="0"/>
          <w:sz w:val="32"/>
        </w:rPr>
        <w:t>2024年度政府采购支出总额118.46万元，其中：政府采购货物支出14.85万元、政府采购工程支出100.00万元、政府采购服务支出3.61万元。</w:t>
      </w:r>
    </w:p>
    <w:p w14:paraId="026A9B28">
      <w:pPr>
        <w:spacing w:line="580" w:lineRule="exact"/>
        <w:ind w:firstLine="640"/>
        <w:jc w:val="both"/>
      </w:pPr>
      <w:r>
        <w:rPr>
          <w:rFonts w:ascii="仿宋_GB2312" w:hAnsi="仿宋_GB2312" w:eastAsia="仿宋_GB2312"/>
          <w:b w:val="0"/>
          <w:sz w:val="32"/>
        </w:rPr>
        <w:t>授予中小企业合同金额117.85万元，占政府采购支出总额的99.49%，其中：授予小微企业合同金额117.85万元，占政府采购支出总额的99.49%。</w:t>
      </w:r>
    </w:p>
    <w:p w14:paraId="3444B8DA">
      <w:pPr>
        <w:spacing w:line="640" w:lineRule="exact"/>
        <w:ind w:firstLine="640"/>
        <w:jc w:val="both"/>
        <w:outlineLvl w:val="3"/>
      </w:pPr>
      <w:r>
        <w:rPr>
          <w:rFonts w:ascii="楷体_GB2312" w:hAnsi="楷体_GB2312" w:eastAsia="楷体_GB2312"/>
          <w:b/>
          <w:sz w:val="32"/>
        </w:rPr>
        <w:t>（三）国有资产占用情况说明</w:t>
      </w:r>
    </w:p>
    <w:p w14:paraId="135F2776">
      <w:pPr>
        <w:spacing w:line="580" w:lineRule="exact"/>
        <w:ind w:firstLine="640"/>
        <w:jc w:val="both"/>
      </w:pPr>
      <w:r>
        <w:rPr>
          <w:rFonts w:ascii="仿宋_GB2312" w:hAnsi="仿宋_GB2312" w:eastAsia="仿宋_GB2312"/>
          <w:b w:val="0"/>
          <w:sz w:val="32"/>
        </w:rPr>
        <w:t>截至2024年12月31日，房屋30,867.47平方米，价值3,906.18万元。车辆6辆，价值60.02万元，其中：副部（省）级及以上领导用车0辆、主要负责人用车0辆、机要通信用车0辆、应急保障用车0辆、执法执勤用车0辆、特种专业技术用车0辆、离退休干部服务用车0辆、其他用车6辆，其他用车主要是：一般公务用车。单价100万元（含）以上设备（不含车辆）0台（套）。</w:t>
      </w:r>
    </w:p>
    <w:p w14:paraId="4900F7EC">
      <w:pPr>
        <w:spacing w:line="640" w:lineRule="exact"/>
        <w:ind w:firstLine="640"/>
        <w:jc w:val="both"/>
        <w:outlineLvl w:val="2"/>
      </w:pPr>
      <w:r>
        <w:rPr>
          <w:rFonts w:ascii="黑体" w:hAnsi="黑体" w:eastAsia="黑体"/>
          <w:sz w:val="32"/>
        </w:rPr>
        <w:t>十一、预算绩效的情况说明</w:t>
      </w:r>
    </w:p>
    <w:p w14:paraId="3E4D116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6,298.32万元，实际执行总额6,290.51万元；预算绩效评价项目5个，全年预算数374.41万元，全年执行数374.41万元。预算绩效管理取得的成效：一是预算绩效管理制度建设不断完善。围绕建立“全方位、全过程、全覆盖”的预算绩效管理体系目标，强化制度设计，建立健全制度办法和工作机制，涵盖了事前绩效评估、绩效目标管理、绩效运行监控、绩效评价及结果应用等各环节，为推动预算绩效管理工作奠定了坚实的制度基础。二是预算绩效管理格局初步形成。将本级预算收支全部纳入预算绩效管理，提高财政资源配置效益和可持续性。在逐步深化项目绩效管理的基础上，不断提升管理层级，加快推动预算绩效管理。积极探索开展部门整体绩效目标编报；积极发挥考核“指挥棒”作用，把部门绩效管理工作纳入</w:t>
      </w:r>
      <w:r>
        <w:rPr>
          <w:rFonts w:hint="eastAsia" w:ascii="仿宋_GB2312" w:hAnsi="仿宋_GB2312" w:eastAsia="仿宋_GB2312"/>
          <w:b w:val="0"/>
          <w:sz w:val="32"/>
          <w:lang w:eastAsia="zh-CN"/>
        </w:rPr>
        <w:t>年度</w:t>
      </w:r>
      <w:r>
        <w:rPr>
          <w:rFonts w:ascii="仿宋_GB2312" w:hAnsi="仿宋_GB2312" w:eastAsia="仿宋_GB2312"/>
          <w:b w:val="0"/>
          <w:sz w:val="32"/>
        </w:rPr>
        <w:t>工作考核。发现的问题及原因：一是预算绩效观念不深入。</w:t>
      </w:r>
      <w:r>
        <w:rPr>
          <w:rFonts w:hint="eastAsia" w:ascii="仿宋_GB2312" w:hAnsi="仿宋_GB2312" w:eastAsia="仿宋_GB2312"/>
          <w:b w:val="0"/>
          <w:sz w:val="32"/>
          <w:lang w:eastAsia="zh-CN"/>
        </w:rPr>
        <w:t>本单位</w:t>
      </w:r>
      <w:r>
        <w:rPr>
          <w:rFonts w:ascii="仿宋_GB2312" w:hAnsi="仿宋_GB2312" w:eastAsia="仿宋_GB2312"/>
          <w:b w:val="0"/>
          <w:sz w:val="32"/>
        </w:rPr>
        <w:t>在日常财务工作中存在着一定程度的“重分配、轻管理、重支出、轻绩效”的情况，造成该问题的主要原因是自身绩效理念较薄弱，在绩效目标指标编制上仍有缺失，需要进一步加强对绩效管理工作的重视程度；二是预算绩效规范管理有盲点。在县财政逐步加强绩效管理的情况下，</w:t>
      </w:r>
      <w:r>
        <w:rPr>
          <w:rFonts w:hint="eastAsia" w:ascii="仿宋_GB2312" w:hAnsi="仿宋_GB2312" w:eastAsia="仿宋_GB2312"/>
          <w:b w:val="0"/>
          <w:sz w:val="32"/>
          <w:lang w:eastAsia="zh-CN"/>
        </w:rPr>
        <w:t>本单位</w:t>
      </w:r>
      <w:r>
        <w:rPr>
          <w:rFonts w:ascii="仿宋_GB2312" w:hAnsi="仿宋_GB2312" w:eastAsia="仿宋_GB2312"/>
          <w:b w:val="0"/>
          <w:sz w:val="32"/>
        </w:rPr>
        <w:t>财务人员面对当前绩效管理工作既没有现成的经验可供借鉴，又缺乏专业性很强的技能储备，只能是边工作、边学习、边积累，短期内部分工作只能停留在表面，难以做到程序规范、管理科学，难以满足当前绩效管理要求。下一步改进措施：一是进一步增强绩效管理理念。在管理和使用预算资金的过程中，</w:t>
      </w:r>
      <w:r>
        <w:rPr>
          <w:rFonts w:hint="eastAsia" w:ascii="仿宋_GB2312" w:hAnsi="仿宋_GB2312" w:eastAsia="仿宋_GB2312"/>
          <w:b w:val="0"/>
          <w:sz w:val="32"/>
          <w:lang w:eastAsia="zh-CN"/>
        </w:rPr>
        <w:t>本单位</w:t>
      </w:r>
      <w:r>
        <w:rPr>
          <w:rFonts w:ascii="仿宋_GB2312" w:hAnsi="仿宋_GB2312" w:eastAsia="仿宋_GB2312"/>
          <w:b w:val="0"/>
          <w:sz w:val="32"/>
        </w:rPr>
        <w:t>将更加突出资金使用效益，做到“花钱必问效，无效必问责”。加强与县财政绩效评价股和第三方之间的沟通，严格按照绩效评价原则，开展资金安全性、规范性的监督，确保专项资金的使用符合绩效管理要求；二是进一步加强财务素养和专业技能培训。</w:t>
      </w:r>
      <w:r>
        <w:rPr>
          <w:rFonts w:hint="eastAsia" w:ascii="仿宋_GB2312" w:hAnsi="仿宋_GB2312" w:eastAsia="仿宋_GB2312"/>
          <w:b w:val="0"/>
          <w:sz w:val="32"/>
          <w:lang w:eastAsia="zh-CN"/>
        </w:rPr>
        <w:t>本单位</w:t>
      </w:r>
      <w:r>
        <w:rPr>
          <w:rFonts w:ascii="仿宋_GB2312" w:hAnsi="仿宋_GB2312" w:eastAsia="仿宋_GB2312"/>
          <w:b w:val="0"/>
          <w:sz w:val="32"/>
        </w:rPr>
        <w:t>希望邀请县财政局，针对预算资金绩效管理和相关法律法规开展培训，学习预算绩效管理的法律法规、规范要求，让绩效理念深入人心、让绩效管理人员熟知政策、知行合一。具体附整体支出绩效自评表，项目支出绩效自评表和评价报告。</w:t>
      </w:r>
    </w:p>
    <w:p w14:paraId="1DF42EC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76892BC">
        <w:tblPrEx>
          <w:tblCellMar>
            <w:top w:w="0" w:type="dxa"/>
            <w:left w:w="108" w:type="dxa"/>
            <w:bottom w:w="0" w:type="dxa"/>
            <w:right w:w="108" w:type="dxa"/>
          </w:tblCellMar>
        </w:tblPrEx>
        <w:tc>
          <w:tcPr>
            <w:tcW w:w="8847" w:type="dxa"/>
            <w:gridSpan w:val="9"/>
            <w:vAlign w:val="center"/>
          </w:tcPr>
          <w:p w14:paraId="42527FAD">
            <w:pPr>
              <w:jc w:val="center"/>
            </w:pPr>
            <w:r>
              <w:rPr>
                <w:rFonts w:ascii="宋体" w:hAnsi="宋体" w:eastAsia="宋体"/>
                <w:sz w:val="24"/>
              </w:rPr>
              <w:t>单位整体支出绩效自评表</w:t>
            </w:r>
          </w:p>
        </w:tc>
      </w:tr>
      <w:tr w14:paraId="368B5CD7">
        <w:tblPrEx>
          <w:tblCellMar>
            <w:top w:w="0" w:type="dxa"/>
            <w:left w:w="108" w:type="dxa"/>
            <w:bottom w:w="0" w:type="dxa"/>
            <w:right w:w="108" w:type="dxa"/>
          </w:tblCellMar>
        </w:tblPrEx>
        <w:tc>
          <w:tcPr>
            <w:tcW w:w="8847" w:type="dxa"/>
            <w:gridSpan w:val="9"/>
            <w:vAlign w:val="center"/>
          </w:tcPr>
          <w:p w14:paraId="48AE52EE">
            <w:pPr>
              <w:jc w:val="center"/>
            </w:pPr>
            <w:r>
              <w:rPr>
                <w:rFonts w:ascii="宋体" w:hAnsi="宋体" w:eastAsia="宋体"/>
                <w:sz w:val="24"/>
              </w:rPr>
              <w:t>（2024年度）</w:t>
            </w:r>
          </w:p>
        </w:tc>
      </w:tr>
      <w:tr w14:paraId="6BED0A8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AFD8DD">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18486BD">
            <w:pPr>
              <w:jc w:val="center"/>
            </w:pPr>
            <w:r>
              <w:rPr>
                <w:rFonts w:ascii="宋体" w:hAnsi="宋体" w:eastAsia="宋体"/>
                <w:sz w:val="16"/>
              </w:rPr>
              <w:t>麦盖提县尕孜库勒乡人民政府</w:t>
            </w:r>
          </w:p>
        </w:tc>
      </w:tr>
      <w:tr w14:paraId="5DB9AA0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2AF96F">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FB68D">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5EBA6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C25A79">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C17A7">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E9726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E05F6">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25677">
            <w:pPr>
              <w:jc w:val="center"/>
            </w:pPr>
            <w:r>
              <w:rPr>
                <w:rFonts w:ascii="宋体" w:hAnsi="宋体" w:eastAsia="宋体"/>
                <w:sz w:val="16"/>
              </w:rPr>
              <w:t>得分</w:t>
            </w:r>
          </w:p>
        </w:tc>
      </w:tr>
      <w:tr w14:paraId="4C20DFA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527FC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57E820">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53FCAE">
            <w:pPr>
              <w:jc w:val="center"/>
            </w:pPr>
            <w:r>
              <w:rPr>
                <w:rFonts w:ascii="宋体" w:hAnsi="宋体" w:eastAsia="宋体"/>
                <w:sz w:val="16"/>
              </w:rPr>
              <w:t>2,298.75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5AA95C">
            <w:pPr>
              <w:jc w:val="center"/>
            </w:pPr>
            <w:r>
              <w:rPr>
                <w:rFonts w:ascii="宋体" w:hAnsi="宋体" w:eastAsia="宋体"/>
                <w:sz w:val="16"/>
              </w:rPr>
              <w:t>6,298.32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466FD">
            <w:pPr>
              <w:jc w:val="center"/>
            </w:pPr>
            <w:r>
              <w:rPr>
                <w:rFonts w:ascii="宋体" w:hAnsi="宋体" w:eastAsia="宋体"/>
                <w:sz w:val="16"/>
              </w:rPr>
              <w:t>6,290.51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9D80E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E2B024">
            <w:pPr>
              <w:jc w:val="center"/>
            </w:pPr>
            <w:r>
              <w:rPr>
                <w:rFonts w:ascii="宋体" w:hAnsi="宋体" w:eastAsia="宋体"/>
                <w:sz w:val="16"/>
              </w:rPr>
              <w:t>99.88%</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0BC8B">
            <w:pPr>
              <w:jc w:val="center"/>
            </w:pPr>
            <w:r>
              <w:rPr>
                <w:rFonts w:ascii="宋体" w:hAnsi="宋体" w:eastAsia="宋体"/>
                <w:sz w:val="16"/>
              </w:rPr>
              <w:t>9.99</w:t>
            </w:r>
          </w:p>
        </w:tc>
      </w:tr>
      <w:tr w14:paraId="206194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D875D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946F9">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DCE73A">
            <w:pPr>
              <w:jc w:val="center"/>
            </w:pPr>
            <w:r>
              <w:rPr>
                <w:rFonts w:ascii="宋体" w:hAnsi="宋体" w:eastAsia="宋体"/>
                <w:sz w:val="16"/>
              </w:rPr>
              <w:t>112.98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9ABAE2">
            <w:pPr>
              <w:jc w:val="center"/>
            </w:pPr>
            <w:r>
              <w:rPr>
                <w:rFonts w:ascii="宋体" w:hAnsi="宋体" w:eastAsia="宋体"/>
                <w:sz w:val="16"/>
              </w:rPr>
              <w:t>3,271.28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E1010">
            <w:pPr>
              <w:jc w:val="center"/>
            </w:pPr>
            <w:r>
              <w:rPr>
                <w:rFonts w:ascii="宋体" w:hAnsi="宋体" w:eastAsia="宋体"/>
                <w:sz w:val="16"/>
              </w:rPr>
              <w:t>3,267.50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381A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199F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F1A43">
            <w:pPr>
              <w:jc w:val="center"/>
            </w:pPr>
            <w:r>
              <w:rPr>
                <w:rFonts w:ascii="宋体" w:hAnsi="宋体" w:eastAsia="宋体"/>
                <w:sz w:val="16"/>
              </w:rPr>
              <w:t>—</w:t>
            </w:r>
          </w:p>
        </w:tc>
      </w:tr>
      <w:tr w14:paraId="46549E4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A3112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C86C6C">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248D9E">
            <w:pPr>
              <w:jc w:val="center"/>
            </w:pPr>
            <w:r>
              <w:rPr>
                <w:rFonts w:ascii="宋体" w:hAnsi="宋体" w:eastAsia="宋体"/>
                <w:sz w:val="16"/>
              </w:rPr>
              <w:t>2,185.77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04D12">
            <w:pPr>
              <w:jc w:val="center"/>
            </w:pPr>
            <w:r>
              <w:rPr>
                <w:rFonts w:ascii="宋体" w:hAnsi="宋体" w:eastAsia="宋体"/>
                <w:sz w:val="16"/>
              </w:rPr>
              <w:t>2,883.93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3CFB0">
            <w:pPr>
              <w:jc w:val="center"/>
            </w:pPr>
            <w:r>
              <w:rPr>
                <w:rFonts w:ascii="宋体" w:hAnsi="宋体" w:eastAsia="宋体"/>
                <w:sz w:val="16"/>
              </w:rPr>
              <w:t>2,879.90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7DA67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2A9D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5F181">
            <w:pPr>
              <w:jc w:val="center"/>
            </w:pPr>
            <w:r>
              <w:rPr>
                <w:rFonts w:ascii="宋体" w:hAnsi="宋体" w:eastAsia="宋体"/>
                <w:sz w:val="16"/>
              </w:rPr>
              <w:t>—</w:t>
            </w:r>
          </w:p>
        </w:tc>
      </w:tr>
      <w:tr w14:paraId="1AAB681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A0D84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A1DB3">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03FE3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F4ECE">
            <w:pPr>
              <w:jc w:val="center"/>
            </w:pPr>
            <w:r>
              <w:rPr>
                <w:rFonts w:ascii="宋体" w:hAnsi="宋体" w:eastAsia="宋体"/>
                <w:sz w:val="16"/>
              </w:rPr>
              <w:t>143.11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E08A6D">
            <w:pPr>
              <w:jc w:val="center"/>
            </w:pPr>
            <w:r>
              <w:rPr>
                <w:rFonts w:ascii="宋体" w:hAnsi="宋体" w:eastAsia="宋体"/>
                <w:sz w:val="16"/>
              </w:rPr>
              <w:t>143.11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F804C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CC0C0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691B6">
            <w:pPr>
              <w:jc w:val="center"/>
            </w:pPr>
            <w:r>
              <w:rPr>
                <w:rFonts w:ascii="宋体" w:hAnsi="宋体" w:eastAsia="宋体"/>
                <w:sz w:val="16"/>
              </w:rPr>
              <w:t>—</w:t>
            </w:r>
          </w:p>
        </w:tc>
      </w:tr>
      <w:tr w14:paraId="6CDC51B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7469B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26168D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11783D">
            <w:pPr>
              <w:jc w:val="center"/>
              <w:rPr>
                <w:rFonts w:hint="eastAsia" w:eastAsia="宋体"/>
                <w:lang w:eastAsia="zh-CN"/>
              </w:rPr>
            </w:pPr>
            <w:r>
              <w:rPr>
                <w:rFonts w:hint="eastAsia" w:ascii="宋体" w:hAnsi="宋体"/>
                <w:sz w:val="16"/>
                <w:lang w:eastAsia="zh-CN"/>
              </w:rPr>
              <w:t>实际完成情况</w:t>
            </w:r>
          </w:p>
        </w:tc>
      </w:tr>
      <w:tr w14:paraId="361C85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13204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74C45E5">
            <w:pPr>
              <w:jc w:val="both"/>
              <w:rPr>
                <w:rFonts w:hint="eastAsia" w:ascii="宋体" w:hAnsi="宋体" w:eastAsia="宋体"/>
                <w:sz w:val="16"/>
                <w:lang w:eastAsia="zh-CN"/>
              </w:rPr>
            </w:pPr>
            <w:r>
              <w:rPr>
                <w:rFonts w:hint="eastAsia" w:ascii="宋体" w:hAnsi="宋体"/>
                <w:sz w:val="16"/>
                <w:lang w:eastAsia="zh-CN"/>
              </w:rPr>
              <w:t>1.</w:t>
            </w:r>
            <w:r>
              <w:rPr>
                <w:rFonts w:ascii="宋体" w:hAnsi="宋体" w:eastAsia="宋体"/>
                <w:sz w:val="16"/>
              </w:rPr>
              <w:t>管理本乡内的经济、教育、科技、文化、卫生、体育事业和财政、民政、治安、人民调解、安全生产监督管理等行政工作；</w:t>
            </w:r>
          </w:p>
          <w:p w14:paraId="6B44E244">
            <w:pPr>
              <w:jc w:val="both"/>
              <w:rPr>
                <w:rFonts w:hint="eastAsia" w:ascii="宋体" w:hAnsi="宋体" w:eastAsia="宋体"/>
                <w:sz w:val="16"/>
                <w:lang w:eastAsia="zh-CN"/>
              </w:rPr>
            </w:pPr>
          </w:p>
          <w:p w14:paraId="33C0D0D5">
            <w:pPr>
              <w:jc w:val="both"/>
              <w:rPr>
                <w:rFonts w:hint="eastAsia" w:ascii="宋体" w:hAnsi="宋体" w:eastAsia="宋体"/>
                <w:sz w:val="16"/>
                <w:lang w:eastAsia="zh-CN"/>
              </w:rPr>
            </w:pPr>
            <w:r>
              <w:rPr>
                <w:rFonts w:ascii="宋体" w:hAnsi="宋体" w:eastAsia="宋体"/>
                <w:sz w:val="16"/>
              </w:rPr>
              <w:t>2、保护社会主义的全民财产和劳动群体集体所有财产，保护公民私人的合法所有财产，维护社会秩序，保障公民的</w:t>
            </w:r>
            <w:r>
              <w:rPr>
                <w:rFonts w:hint="eastAsia" w:ascii="宋体" w:hAnsi="宋体"/>
                <w:sz w:val="16"/>
                <w:lang w:eastAsia="zh-CN"/>
              </w:rPr>
              <w:t>人身权利</w:t>
            </w:r>
            <w:r>
              <w:rPr>
                <w:rFonts w:ascii="宋体" w:hAnsi="宋体" w:eastAsia="宋体"/>
                <w:sz w:val="16"/>
              </w:rPr>
              <w:t>、民主权利和其他权利；</w:t>
            </w:r>
          </w:p>
          <w:p w14:paraId="15D94C42">
            <w:pPr>
              <w:jc w:val="both"/>
              <w:rPr>
                <w:rFonts w:hint="eastAsia" w:ascii="宋体" w:hAnsi="宋体" w:eastAsia="宋体"/>
                <w:sz w:val="16"/>
                <w:lang w:eastAsia="zh-CN"/>
              </w:rPr>
            </w:pPr>
          </w:p>
          <w:p w14:paraId="2370364C">
            <w:pPr>
              <w:jc w:val="both"/>
            </w:pPr>
            <w:r>
              <w:rPr>
                <w:rFonts w:ascii="宋体" w:hAnsi="宋体" w:eastAsia="宋体"/>
                <w:sz w:val="16"/>
              </w:rPr>
              <w:t>3、完成</w:t>
            </w:r>
            <w:r>
              <w:rPr>
                <w:rFonts w:hint="eastAsia" w:ascii="宋体" w:hAnsi="宋体"/>
                <w:sz w:val="16"/>
                <w:lang w:eastAsia="zh-CN"/>
              </w:rPr>
              <w:t>县委、县政府</w:t>
            </w:r>
            <w:r>
              <w:rPr>
                <w:rFonts w:ascii="宋体" w:hAnsi="宋体" w:eastAsia="宋体"/>
                <w:sz w:val="16"/>
              </w:rPr>
              <w:t>及上级主管部门交办的其他任务。</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A07718">
            <w:pPr>
              <w:jc w:val="both"/>
              <w:rPr>
                <w:rFonts w:hint="eastAsia" w:ascii="宋体" w:hAnsi="宋体" w:eastAsia="宋体"/>
                <w:sz w:val="16"/>
                <w:lang w:eastAsia="zh-CN"/>
              </w:rPr>
            </w:pPr>
            <w:r>
              <w:rPr>
                <w:rFonts w:ascii="宋体" w:hAnsi="宋体" w:eastAsia="宋体"/>
                <w:sz w:val="16"/>
              </w:rPr>
              <w:t>截至绩效自评日，</w:t>
            </w:r>
            <w:r>
              <w:rPr>
                <w:rFonts w:hint="eastAsia" w:ascii="宋体" w:hAnsi="宋体"/>
                <w:sz w:val="16"/>
                <w:lang w:eastAsia="zh-CN"/>
              </w:rPr>
              <w:t>本单位</w:t>
            </w:r>
            <w:r>
              <w:rPr>
                <w:rFonts w:ascii="宋体" w:hAnsi="宋体" w:eastAsia="宋体"/>
                <w:sz w:val="16"/>
              </w:rPr>
              <w:t>已完成以下工作:</w:t>
            </w:r>
          </w:p>
          <w:p w14:paraId="0631F2E0">
            <w:pPr>
              <w:jc w:val="both"/>
              <w:rPr>
                <w:rFonts w:hint="eastAsia" w:ascii="宋体" w:hAnsi="宋体" w:eastAsia="宋体"/>
                <w:sz w:val="16"/>
                <w:lang w:eastAsia="zh-CN"/>
              </w:rPr>
            </w:pPr>
          </w:p>
          <w:p w14:paraId="43A232A1">
            <w:pPr>
              <w:jc w:val="both"/>
              <w:rPr>
                <w:rFonts w:hint="eastAsia" w:ascii="宋体" w:hAnsi="宋体" w:eastAsia="宋体"/>
                <w:sz w:val="16"/>
                <w:lang w:eastAsia="zh-CN"/>
              </w:rPr>
            </w:pPr>
            <w:r>
              <w:rPr>
                <w:rFonts w:ascii="宋体" w:hAnsi="宋体" w:eastAsia="宋体"/>
                <w:sz w:val="16"/>
              </w:rPr>
              <w:t>1、管理本乡内的经济、教育、科技、文化、卫生、体育事业和财政、民政、治安、人民调解、安全生产监督管理等行政工作；</w:t>
            </w:r>
          </w:p>
          <w:p w14:paraId="3CEBD39C">
            <w:pPr>
              <w:jc w:val="both"/>
              <w:rPr>
                <w:rFonts w:hint="eastAsia" w:ascii="宋体" w:hAnsi="宋体" w:eastAsia="宋体"/>
                <w:sz w:val="16"/>
                <w:lang w:eastAsia="zh-CN"/>
              </w:rPr>
            </w:pPr>
          </w:p>
          <w:p w14:paraId="06406CA1">
            <w:pPr>
              <w:jc w:val="both"/>
              <w:rPr>
                <w:rFonts w:hint="eastAsia" w:ascii="宋体" w:hAnsi="宋体" w:eastAsia="宋体"/>
                <w:sz w:val="16"/>
                <w:lang w:eastAsia="zh-CN"/>
              </w:rPr>
            </w:pPr>
            <w:r>
              <w:rPr>
                <w:rFonts w:ascii="宋体" w:hAnsi="宋体" w:eastAsia="宋体"/>
                <w:sz w:val="16"/>
              </w:rPr>
              <w:t>2、保护社会主义的全民财产和劳动群体集体所有财产，保护公民私人的合法所有财产，维护社会秩序，保障公民的</w:t>
            </w:r>
            <w:r>
              <w:rPr>
                <w:rFonts w:hint="eastAsia" w:ascii="宋体" w:hAnsi="宋体"/>
                <w:sz w:val="16"/>
                <w:lang w:eastAsia="zh-CN"/>
              </w:rPr>
              <w:t>人身权利</w:t>
            </w:r>
            <w:r>
              <w:rPr>
                <w:rFonts w:ascii="宋体" w:hAnsi="宋体" w:eastAsia="宋体"/>
                <w:sz w:val="16"/>
              </w:rPr>
              <w:t>、民主权利和其他权利；</w:t>
            </w:r>
          </w:p>
          <w:p w14:paraId="79409782">
            <w:pPr>
              <w:jc w:val="both"/>
              <w:rPr>
                <w:rFonts w:hint="eastAsia" w:ascii="宋体" w:hAnsi="宋体" w:eastAsia="宋体"/>
                <w:sz w:val="16"/>
                <w:lang w:eastAsia="zh-CN"/>
              </w:rPr>
            </w:pPr>
          </w:p>
          <w:p w14:paraId="2202EEC7">
            <w:pPr>
              <w:jc w:val="both"/>
            </w:pPr>
            <w:r>
              <w:rPr>
                <w:rFonts w:ascii="宋体" w:hAnsi="宋体" w:eastAsia="宋体"/>
                <w:sz w:val="16"/>
              </w:rPr>
              <w:t>3.推动乡镇的全面发展和社会进步，因此，乡镇应积极开展形式多样的宣传教育活动，本年度已开展宣传教育活动次数12次；4.提高全民的收入水平，减少社会贫困和不平等现象，本年度劳动力就业率达100%，促进了我乡经济发展；5.牢固树立“群众之事无小事”理念，本年度群众困难诉求解决完成率达100%，做到了权为民所用、情为民所系、利为民所谋，提高了群众的满意度、好评度；6.提前发现并识别存在返贫致贫风险的人口，采取针对性的帮扶措施，本年度防返贫监测覆盖率达100%，防止了脱贫人口返贫、边缘人口致贫；7.</w:t>
            </w:r>
            <w:r>
              <w:rPr>
                <w:rFonts w:hint="eastAsia" w:ascii="宋体" w:hAnsi="宋体"/>
                <w:sz w:val="16"/>
                <w:lang w:eastAsia="zh-CN"/>
              </w:rPr>
              <w:t>党中央决策部署</w:t>
            </w:r>
            <w:r>
              <w:rPr>
                <w:rFonts w:ascii="宋体" w:hAnsi="宋体" w:eastAsia="宋体"/>
                <w:sz w:val="16"/>
              </w:rPr>
              <w:t>和会议中多次强调，要实施最严格的耕地保护制度，国家对耕地实行特殊保护，严守耕地保护红线，保持耕地总量不减少，本年度耕地保护覆盖率达100%，确保了耕地占补平衡。</w:t>
            </w:r>
          </w:p>
        </w:tc>
      </w:tr>
      <w:tr w14:paraId="540ABB1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7430D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75ADEB">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D90BD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CF1217">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4BD319">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9877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068E7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F9A3C5">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823EA3">
            <w:pPr>
              <w:jc w:val="center"/>
            </w:pPr>
            <w:r>
              <w:rPr>
                <w:rFonts w:ascii="宋体" w:hAnsi="宋体" w:eastAsia="宋体"/>
                <w:sz w:val="16"/>
              </w:rPr>
              <w:t>得分</w:t>
            </w:r>
          </w:p>
        </w:tc>
      </w:tr>
      <w:tr w14:paraId="43A25D1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1079BF">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789E75">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7444AB">
            <w:pPr>
              <w:jc w:val="center"/>
            </w:pPr>
            <w:r>
              <w:rPr>
                <w:rFonts w:ascii="宋体" w:hAnsi="宋体" w:eastAsia="宋体"/>
                <w:sz w:val="16"/>
              </w:rPr>
              <w:t>宣传教育活动次数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AADDD2">
            <w:pPr>
              <w:jc w:val="center"/>
            </w:pPr>
            <w:r>
              <w:rPr>
                <w:rFonts w:ascii="宋体" w:hAnsi="宋体" w:eastAsia="宋体"/>
                <w:sz w:val="16"/>
              </w:rPr>
              <w:t>&gt;=12次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1D22F1">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E40363">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BA71FA">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9FE2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47D296">
            <w:pPr>
              <w:jc w:val="center"/>
            </w:pPr>
            <w:r>
              <w:rPr>
                <w:rFonts w:ascii="宋体" w:hAnsi="宋体" w:eastAsia="宋体"/>
                <w:sz w:val="16"/>
              </w:rPr>
              <w:t>18</w:t>
            </w:r>
          </w:p>
        </w:tc>
      </w:tr>
      <w:tr w14:paraId="3C73AD5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DD13F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992692">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AA0A45">
            <w:pPr>
              <w:jc w:val="center"/>
            </w:pPr>
            <w:r>
              <w:rPr>
                <w:rFonts w:ascii="宋体" w:hAnsi="宋体" w:eastAsia="宋体"/>
                <w:sz w:val="16"/>
              </w:rPr>
              <w:t>劳动力就业率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E667B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A0E85A">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6ED3B">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77142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CBAB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8BEE08">
            <w:pPr>
              <w:jc w:val="center"/>
            </w:pPr>
            <w:r>
              <w:rPr>
                <w:rFonts w:ascii="宋体" w:hAnsi="宋体" w:eastAsia="宋体"/>
                <w:sz w:val="16"/>
              </w:rPr>
              <w:t>18</w:t>
            </w:r>
          </w:p>
        </w:tc>
      </w:tr>
      <w:tr w14:paraId="586535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7707A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9B4F2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CDC1EE">
            <w:pPr>
              <w:jc w:val="center"/>
            </w:pPr>
            <w:r>
              <w:rPr>
                <w:rFonts w:ascii="宋体" w:hAnsi="宋体" w:eastAsia="宋体"/>
                <w:sz w:val="16"/>
              </w:rPr>
              <w:t>群众困难诉求解决完成率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70BFC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4EFDF8">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9A605">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3059F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8AC40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F0302">
            <w:pPr>
              <w:jc w:val="center"/>
            </w:pPr>
            <w:r>
              <w:rPr>
                <w:rFonts w:ascii="宋体" w:hAnsi="宋体" w:eastAsia="宋体"/>
                <w:sz w:val="16"/>
              </w:rPr>
              <w:t>18</w:t>
            </w:r>
          </w:p>
        </w:tc>
      </w:tr>
      <w:tr w14:paraId="5929BCE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439A7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7FA6A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737E8A">
            <w:pPr>
              <w:jc w:val="center"/>
            </w:pPr>
            <w:r>
              <w:rPr>
                <w:rFonts w:ascii="宋体" w:hAnsi="宋体" w:eastAsia="宋体"/>
                <w:sz w:val="16"/>
              </w:rPr>
              <w:t>防返贫监测覆盖率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6B262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90870">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E7F97B">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FEB42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2520D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9EB8A2">
            <w:pPr>
              <w:jc w:val="center"/>
            </w:pPr>
            <w:r>
              <w:rPr>
                <w:rFonts w:ascii="宋体" w:hAnsi="宋体" w:eastAsia="宋体"/>
                <w:sz w:val="16"/>
              </w:rPr>
              <w:t>18</w:t>
            </w:r>
          </w:p>
        </w:tc>
      </w:tr>
      <w:tr w14:paraId="004713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4D761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F0B83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4FB371">
            <w:pPr>
              <w:jc w:val="center"/>
            </w:pPr>
            <w:r>
              <w:rPr>
                <w:rFonts w:ascii="宋体" w:hAnsi="宋体" w:eastAsia="宋体"/>
                <w:sz w:val="16"/>
              </w:rPr>
              <w:t>耕地保护覆盖率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38C1D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177752">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1DF78">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3857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FFA68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B47DD7">
            <w:pPr>
              <w:jc w:val="center"/>
            </w:pPr>
            <w:r>
              <w:rPr>
                <w:rFonts w:ascii="宋体" w:hAnsi="宋体" w:eastAsia="宋体"/>
                <w:sz w:val="16"/>
              </w:rPr>
              <w:t>18</w:t>
            </w:r>
          </w:p>
        </w:tc>
      </w:tr>
    </w:tbl>
    <w:p w14:paraId="2CAF36D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3EC57658">
        <w:tblPrEx>
          <w:tblCellMar>
            <w:top w:w="0" w:type="dxa"/>
            <w:left w:w="108" w:type="dxa"/>
            <w:bottom w:w="0" w:type="dxa"/>
            <w:right w:w="108" w:type="dxa"/>
          </w:tblCellMar>
        </w:tblPrEx>
        <w:tc>
          <w:tcPr>
            <w:tcW w:w="8848" w:type="dxa"/>
            <w:gridSpan w:val="14"/>
            <w:vAlign w:val="center"/>
          </w:tcPr>
          <w:p w14:paraId="77F05E18">
            <w:pPr>
              <w:jc w:val="center"/>
            </w:pPr>
            <w:r>
              <w:rPr>
                <w:rFonts w:ascii="宋体" w:hAnsi="宋体" w:eastAsia="宋体"/>
                <w:sz w:val="24"/>
              </w:rPr>
              <w:t>项目支出绩效自评表</w:t>
            </w:r>
          </w:p>
        </w:tc>
      </w:tr>
      <w:tr w14:paraId="36AA6D29">
        <w:tblPrEx>
          <w:tblCellMar>
            <w:top w:w="0" w:type="dxa"/>
            <w:left w:w="108" w:type="dxa"/>
            <w:bottom w:w="0" w:type="dxa"/>
            <w:right w:w="108" w:type="dxa"/>
          </w:tblCellMar>
        </w:tblPrEx>
        <w:tc>
          <w:tcPr>
            <w:tcW w:w="8848" w:type="dxa"/>
            <w:gridSpan w:val="14"/>
            <w:vAlign w:val="center"/>
          </w:tcPr>
          <w:p w14:paraId="1E69FE0D">
            <w:pPr>
              <w:jc w:val="center"/>
            </w:pPr>
            <w:r>
              <w:rPr>
                <w:rFonts w:ascii="宋体" w:hAnsi="宋体" w:eastAsia="宋体"/>
                <w:sz w:val="24"/>
              </w:rPr>
              <w:t>(2024年度)</w:t>
            </w:r>
          </w:p>
        </w:tc>
      </w:tr>
      <w:tr w14:paraId="3E78CF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EDCA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6B386CE">
            <w:pPr>
              <w:jc w:val="center"/>
            </w:pPr>
            <w:r>
              <w:rPr>
                <w:rFonts w:ascii="宋体" w:hAnsi="宋体" w:eastAsia="宋体"/>
                <w:sz w:val="16"/>
              </w:rPr>
              <w:t>2024年度麦盖提县尕孜库勒乡英巴扎村公益性公共基础设施改造建设项目</w:t>
            </w:r>
          </w:p>
        </w:tc>
      </w:tr>
      <w:tr w14:paraId="09C9BC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D268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278CCA">
            <w:pPr>
              <w:jc w:val="center"/>
            </w:pPr>
            <w:r>
              <w:rPr>
                <w:rFonts w:ascii="宋体" w:hAnsi="宋体" w:eastAsia="宋体"/>
                <w:sz w:val="16"/>
              </w:rPr>
              <w:t>麦盖提县尕孜库勒乡人民政府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1D64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679B91">
            <w:pPr>
              <w:jc w:val="center"/>
            </w:pPr>
            <w:r>
              <w:rPr>
                <w:rFonts w:ascii="宋体" w:hAnsi="宋体" w:eastAsia="宋体"/>
                <w:sz w:val="16"/>
              </w:rPr>
              <w:t>麦盖提县尕孜库勒乡人民政府</w:t>
            </w:r>
          </w:p>
        </w:tc>
      </w:tr>
      <w:tr w14:paraId="4BA996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DBFD5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26C3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DCD5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84AD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576A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1B1A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FBC2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0F829">
            <w:pPr>
              <w:jc w:val="center"/>
            </w:pPr>
            <w:r>
              <w:rPr>
                <w:rFonts w:ascii="宋体" w:hAnsi="宋体" w:eastAsia="宋体"/>
                <w:sz w:val="16"/>
              </w:rPr>
              <w:t>得分</w:t>
            </w:r>
          </w:p>
        </w:tc>
      </w:tr>
      <w:tr w14:paraId="7E4903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4D1C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7A63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AABE0">
            <w:pPr>
              <w:jc w:val="center"/>
            </w:pPr>
            <w:r>
              <w:rPr>
                <w:rFonts w:ascii="宋体" w:hAnsi="宋体" w:eastAsia="宋体"/>
                <w:sz w:val="16"/>
              </w:rPr>
              <w:t>60.10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B4C00">
            <w:pPr>
              <w:jc w:val="center"/>
            </w:pPr>
            <w:r>
              <w:rPr>
                <w:rFonts w:ascii="宋体" w:hAnsi="宋体" w:eastAsia="宋体"/>
                <w:sz w:val="16"/>
              </w:rPr>
              <w:t>60.10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A96C9">
            <w:pPr>
              <w:jc w:val="center"/>
            </w:pPr>
            <w:r>
              <w:rPr>
                <w:rFonts w:ascii="宋体" w:hAnsi="宋体" w:eastAsia="宋体"/>
                <w:sz w:val="16"/>
              </w:rPr>
              <w:t>60.10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41DC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93D8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412BA">
            <w:pPr>
              <w:jc w:val="center"/>
            </w:pPr>
            <w:r>
              <w:rPr>
                <w:rFonts w:ascii="宋体" w:hAnsi="宋体" w:eastAsia="宋体"/>
                <w:sz w:val="16"/>
              </w:rPr>
              <w:t>10.00分</w:t>
            </w:r>
          </w:p>
        </w:tc>
      </w:tr>
      <w:tr w14:paraId="658884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8AECC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DA55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3C0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EB9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1F1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5C32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D24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4E897">
            <w:pPr>
              <w:jc w:val="center"/>
            </w:pPr>
            <w:r>
              <w:rPr>
                <w:rFonts w:ascii="宋体" w:hAnsi="宋体" w:eastAsia="宋体"/>
                <w:sz w:val="16"/>
              </w:rPr>
              <w:t>—</w:t>
            </w:r>
          </w:p>
        </w:tc>
      </w:tr>
      <w:tr w14:paraId="2C5CC3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231A0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8FC3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E74A9">
            <w:pPr>
              <w:jc w:val="center"/>
            </w:pPr>
            <w:r>
              <w:rPr>
                <w:rFonts w:ascii="宋体" w:hAnsi="宋体" w:eastAsia="宋体"/>
                <w:sz w:val="16"/>
              </w:rPr>
              <w:t>60.10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61529">
            <w:pPr>
              <w:jc w:val="center"/>
            </w:pPr>
            <w:r>
              <w:rPr>
                <w:rFonts w:ascii="宋体" w:hAnsi="宋体" w:eastAsia="宋体"/>
                <w:sz w:val="16"/>
              </w:rPr>
              <w:t>60.10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36F48">
            <w:pPr>
              <w:jc w:val="center"/>
            </w:pPr>
            <w:r>
              <w:rPr>
                <w:rFonts w:ascii="宋体" w:hAnsi="宋体" w:eastAsia="宋体"/>
                <w:sz w:val="16"/>
              </w:rPr>
              <w:t>60.10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2618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4FC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88212">
            <w:pPr>
              <w:jc w:val="center"/>
            </w:pPr>
            <w:r>
              <w:rPr>
                <w:rFonts w:ascii="宋体" w:hAnsi="宋体" w:eastAsia="宋体"/>
                <w:sz w:val="16"/>
              </w:rPr>
              <w:t>—</w:t>
            </w:r>
          </w:p>
        </w:tc>
      </w:tr>
      <w:tr w14:paraId="078552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F0E91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15C92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1721A4">
            <w:pPr>
              <w:jc w:val="center"/>
            </w:pPr>
            <w:r>
              <w:rPr>
                <w:rFonts w:ascii="宋体" w:hAnsi="宋体" w:eastAsia="宋体"/>
                <w:sz w:val="16"/>
              </w:rPr>
              <w:t>实际完成情况</w:t>
            </w:r>
          </w:p>
        </w:tc>
      </w:tr>
      <w:tr w14:paraId="0C1C6C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13B6C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ED340B">
            <w:pPr>
              <w:jc w:val="both"/>
            </w:pPr>
            <w:r>
              <w:rPr>
                <w:rFonts w:ascii="宋体" w:hAnsi="宋体" w:eastAsia="宋体"/>
                <w:sz w:val="16"/>
              </w:rPr>
              <w:t>本项目预算金额为60.1万元，主要在尕孜库勒乡英巴扎村安装6米高太阳能高杆路灯170盏306000元、庭院门前入户苹果灯650盏195000元、太阳能投光灯70盏42000元、太阳能高杆路灯灯头60盏33000元、4米高庭院灯16盏24000元，并配套相关设施设备1000元.通过本项目的实施，提高群众生活质量，提高居民生活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906758">
            <w:pPr>
              <w:jc w:val="both"/>
            </w:pPr>
            <w:r>
              <w:rPr>
                <w:rFonts w:ascii="宋体" w:hAnsi="宋体" w:eastAsia="宋体"/>
                <w:sz w:val="16"/>
              </w:rPr>
              <w:t>截至自评节点本项目实际支出金额为60.1万元，已完成尕孜库勒乡英巴扎村安装6米高太阳能高杆路灯170盏306000元、庭院门前入户苹果灯650盏195000元、太阳能投光灯70盏42000元、太阳能高杆路灯灯头60盏33000元、4米高庭院灯16盏24000元，并配套相关设施设备1000元.通过本项目的实施，提高群众生活质量，提高居民生活环境。</w:t>
            </w:r>
          </w:p>
        </w:tc>
      </w:tr>
      <w:tr w14:paraId="2E54ABA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97DBA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A629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35CF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AC0E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FCE6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4651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7541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481C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592C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E6F1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5689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B761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35104">
            <w:pPr>
              <w:jc w:val="center"/>
            </w:pPr>
            <w:r>
              <w:rPr>
                <w:rFonts w:ascii="宋体" w:hAnsi="宋体" w:eastAsia="宋体"/>
                <w:sz w:val="16"/>
              </w:rPr>
              <w:t>偏差原因分析及改进措施</w:t>
            </w:r>
          </w:p>
        </w:tc>
      </w:tr>
      <w:tr w14:paraId="64C25A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B8FD8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F6E42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2382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2DAFC">
            <w:pPr>
              <w:jc w:val="center"/>
            </w:pPr>
            <w:r>
              <w:rPr>
                <w:rFonts w:ascii="宋体" w:hAnsi="宋体" w:eastAsia="宋体"/>
                <w:sz w:val="16"/>
              </w:rPr>
              <w:t>保障村级公益性数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6CF4D">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71F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05FA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BB6B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113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875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8E6E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A963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40CB4">
            <w:pPr>
              <w:jc w:val="center"/>
            </w:pPr>
          </w:p>
        </w:tc>
      </w:tr>
      <w:tr w14:paraId="3C63F2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229A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9839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2B6D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37F4F">
            <w:pPr>
              <w:jc w:val="center"/>
            </w:pPr>
            <w:r>
              <w:rPr>
                <w:rFonts w:ascii="宋体" w:hAnsi="宋体" w:eastAsia="宋体"/>
                <w:sz w:val="16"/>
              </w:rPr>
              <w:t>村级公益建设经费保障率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7F820">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928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BC8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68F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048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69C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6F2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0A1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23A79">
            <w:pPr>
              <w:jc w:val="center"/>
            </w:pPr>
          </w:p>
        </w:tc>
      </w:tr>
      <w:tr w14:paraId="278AC9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23E9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688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E9AE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B9BB3">
            <w:pPr>
              <w:jc w:val="center"/>
            </w:pPr>
            <w:r>
              <w:rPr>
                <w:rFonts w:ascii="宋体" w:hAnsi="宋体" w:eastAsia="宋体"/>
                <w:sz w:val="16"/>
              </w:rPr>
              <w:t>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B41FE">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84E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CB2F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5AE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CAE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086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E96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695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A76EB">
            <w:pPr>
              <w:jc w:val="center"/>
            </w:pPr>
          </w:p>
        </w:tc>
      </w:tr>
      <w:tr w14:paraId="0DE7FE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BDE20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D1A91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444B8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C0D56">
            <w:pPr>
              <w:jc w:val="center"/>
            </w:pPr>
            <w:r>
              <w:rPr>
                <w:rFonts w:ascii="宋体" w:hAnsi="宋体" w:eastAsia="宋体"/>
                <w:sz w:val="16"/>
              </w:rPr>
              <w:t>安装路灯成本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9D632">
            <w:pPr>
              <w:jc w:val="center"/>
            </w:pPr>
            <w:r>
              <w:rPr>
                <w:rFonts w:ascii="宋体" w:hAnsi="宋体" w:eastAsia="宋体"/>
                <w:sz w:val="16"/>
              </w:rPr>
              <w: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83E3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1B7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2AB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F17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E689F">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FE98C">
            <w:pPr>
              <w:jc w:val="center"/>
            </w:pPr>
            <w:r>
              <w:rPr>
                <w:rFonts w:ascii="宋体" w:hAnsi="宋体" w:eastAsia="宋体"/>
                <w:sz w:val="16"/>
              </w:rPr>
              <w: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8C6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852AA">
            <w:pPr>
              <w:jc w:val="center"/>
            </w:pPr>
          </w:p>
        </w:tc>
      </w:tr>
      <w:tr w14:paraId="605B2E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6768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362E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128E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CF9CC">
            <w:pPr>
              <w:jc w:val="center"/>
            </w:pPr>
            <w:r>
              <w:rPr>
                <w:rFonts w:ascii="宋体" w:hAnsi="宋体" w:eastAsia="宋体"/>
                <w:sz w:val="16"/>
              </w:rPr>
              <w:t>相关配套设备成本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D6AFD">
            <w:pPr>
              <w:jc w:val="center"/>
            </w:pPr>
            <w:r>
              <w:rPr>
                <w:rFonts w:ascii="宋体" w:hAnsi="宋体" w:eastAsia="宋体"/>
                <w:sz w:val="16"/>
              </w:rPr>
              <w:t>=0.10万元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7236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858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993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4DE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C9C5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914C0">
            <w:pPr>
              <w:jc w:val="center"/>
            </w:pPr>
            <w:r>
              <w:rPr>
                <w:rFonts w:ascii="宋体" w:hAnsi="宋体" w:eastAsia="宋体"/>
                <w:sz w:val="16"/>
              </w:rPr>
              <w:t>=0.1万元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D94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90E3E">
            <w:pPr>
              <w:jc w:val="center"/>
            </w:pPr>
          </w:p>
        </w:tc>
      </w:tr>
      <w:tr w14:paraId="7931C6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DBDD2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3283E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B475B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A67EA">
            <w:pPr>
              <w:jc w:val="center"/>
            </w:pPr>
            <w:r>
              <w:rPr>
                <w:rFonts w:ascii="宋体" w:hAnsi="宋体" w:eastAsia="宋体"/>
                <w:sz w:val="16"/>
              </w:rPr>
              <w:t>提高群众生活质量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512DC">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107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9A3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BFB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FC3D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E88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BBC6E">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BAF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29E4E">
            <w:pPr>
              <w:jc w:val="center"/>
            </w:pPr>
          </w:p>
        </w:tc>
      </w:tr>
      <w:tr w14:paraId="4208DA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754C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4BF5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AEE8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E5C37">
            <w:pPr>
              <w:jc w:val="center"/>
            </w:pPr>
            <w:r>
              <w:rPr>
                <w:rFonts w:ascii="宋体" w:hAnsi="宋体" w:eastAsia="宋体"/>
                <w:sz w:val="16"/>
              </w:rPr>
              <w:t>提高居民生活环境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1A3A4">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9F7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9434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ED0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3207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23C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851BF">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78C6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26B0E">
            <w:pPr>
              <w:jc w:val="center"/>
            </w:pPr>
          </w:p>
        </w:tc>
      </w:tr>
      <w:tr w14:paraId="68012B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B66E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D7AF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C208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2A02B">
            <w:pPr>
              <w:jc w:val="center"/>
            </w:pPr>
            <w:r>
              <w:rPr>
                <w:rFonts w:ascii="宋体" w:hAnsi="宋体" w:eastAsia="宋体"/>
                <w:sz w:val="16"/>
              </w:rPr>
              <w:t>提高群众满意度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57F0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2A9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A29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040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B425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BD5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3AB9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590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4BB58">
            <w:pPr>
              <w:jc w:val="center"/>
            </w:pPr>
          </w:p>
        </w:tc>
      </w:tr>
      <w:tr w14:paraId="277207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A6DD9">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9278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BE1B8">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E8B320">
            <w:pPr>
              <w:jc w:val="center"/>
            </w:pPr>
            <w:r>
              <w:rPr>
                <w:rFonts w:ascii="宋体" w:hAnsi="宋体" w:eastAsia="宋体"/>
                <w:sz w:val="16"/>
              </w:rPr>
              <w:t>100分</w:t>
            </w:r>
          </w:p>
        </w:tc>
      </w:tr>
    </w:tbl>
    <w:p w14:paraId="7DC83612">
      <w:r>
        <w:br w:type="page"/>
      </w:r>
    </w:p>
    <w:tbl>
      <w:tblPr>
        <w:tblStyle w:val="9"/>
        <w:tblW w:w="0" w:type="auto"/>
        <w:tblInd w:w="0" w:type="dxa"/>
        <w:tblLayout w:type="autofit"/>
        <w:tblCellMar>
          <w:top w:w="0" w:type="dxa"/>
          <w:left w:w="108" w:type="dxa"/>
          <w:bottom w:w="0" w:type="dxa"/>
          <w:right w:w="108" w:type="dxa"/>
        </w:tblCellMar>
      </w:tblPr>
      <w:tblGrid>
        <w:gridCol w:w="625"/>
        <w:gridCol w:w="616"/>
        <w:gridCol w:w="616"/>
        <w:gridCol w:w="616"/>
        <w:gridCol w:w="856"/>
        <w:gridCol w:w="616"/>
        <w:gridCol w:w="626"/>
        <w:gridCol w:w="616"/>
        <w:gridCol w:w="616"/>
        <w:gridCol w:w="621"/>
        <w:gridCol w:w="776"/>
        <w:gridCol w:w="631"/>
        <w:gridCol w:w="598"/>
        <w:gridCol w:w="631"/>
      </w:tblGrid>
      <w:tr w14:paraId="0529C8FC">
        <w:tblPrEx>
          <w:tblCellMar>
            <w:top w:w="0" w:type="dxa"/>
            <w:left w:w="108" w:type="dxa"/>
            <w:bottom w:w="0" w:type="dxa"/>
            <w:right w:w="108" w:type="dxa"/>
          </w:tblCellMar>
        </w:tblPrEx>
        <w:tc>
          <w:tcPr>
            <w:tcW w:w="8848" w:type="dxa"/>
            <w:gridSpan w:val="14"/>
            <w:vAlign w:val="center"/>
          </w:tcPr>
          <w:p w14:paraId="41340256">
            <w:pPr>
              <w:jc w:val="center"/>
            </w:pPr>
            <w:r>
              <w:rPr>
                <w:rFonts w:ascii="宋体" w:hAnsi="宋体" w:eastAsia="宋体"/>
                <w:sz w:val="24"/>
              </w:rPr>
              <w:t>项目支出绩效自评表</w:t>
            </w:r>
          </w:p>
        </w:tc>
      </w:tr>
      <w:tr w14:paraId="271DD084">
        <w:tblPrEx>
          <w:tblCellMar>
            <w:top w:w="0" w:type="dxa"/>
            <w:left w:w="108" w:type="dxa"/>
            <w:bottom w:w="0" w:type="dxa"/>
            <w:right w:w="108" w:type="dxa"/>
          </w:tblCellMar>
        </w:tblPrEx>
        <w:tc>
          <w:tcPr>
            <w:tcW w:w="8848" w:type="dxa"/>
            <w:gridSpan w:val="14"/>
            <w:vAlign w:val="center"/>
          </w:tcPr>
          <w:p w14:paraId="7975C32B">
            <w:pPr>
              <w:jc w:val="center"/>
            </w:pPr>
            <w:r>
              <w:rPr>
                <w:rFonts w:ascii="宋体" w:hAnsi="宋体" w:eastAsia="宋体"/>
                <w:sz w:val="24"/>
              </w:rPr>
              <w:t>(2024年度)</w:t>
            </w:r>
          </w:p>
        </w:tc>
      </w:tr>
      <w:tr w14:paraId="4F71DF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BC11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921F947">
            <w:pPr>
              <w:jc w:val="center"/>
            </w:pPr>
            <w:r>
              <w:rPr>
                <w:rFonts w:ascii="宋体" w:hAnsi="宋体" w:eastAsia="宋体"/>
                <w:sz w:val="16"/>
              </w:rPr>
              <w:t>2024年麦盖提县尕孜库勒乡业务活动项目</w:t>
            </w:r>
          </w:p>
        </w:tc>
      </w:tr>
      <w:tr w14:paraId="313044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D1C0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FC9F1C">
            <w:pPr>
              <w:jc w:val="center"/>
            </w:pPr>
            <w:r>
              <w:rPr>
                <w:rFonts w:ascii="宋体" w:hAnsi="宋体" w:eastAsia="宋体"/>
                <w:sz w:val="16"/>
              </w:rPr>
              <w:t>麦盖提县尕孜库勒乡人民政府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ACC8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C46B22">
            <w:pPr>
              <w:jc w:val="center"/>
            </w:pPr>
            <w:r>
              <w:rPr>
                <w:rFonts w:ascii="宋体" w:hAnsi="宋体" w:eastAsia="宋体"/>
                <w:sz w:val="16"/>
              </w:rPr>
              <w:t>麦盖提县尕孜库勒乡人民政府</w:t>
            </w:r>
          </w:p>
        </w:tc>
      </w:tr>
      <w:tr w14:paraId="511A1E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7F6B0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D6BF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C91F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6E7A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D130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EA61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B144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97212">
            <w:pPr>
              <w:jc w:val="center"/>
            </w:pPr>
            <w:r>
              <w:rPr>
                <w:rFonts w:ascii="宋体" w:hAnsi="宋体" w:eastAsia="宋体"/>
                <w:sz w:val="16"/>
              </w:rPr>
              <w:t>得分</w:t>
            </w:r>
          </w:p>
        </w:tc>
      </w:tr>
      <w:tr w14:paraId="5FC9C5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1F6A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74E7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598F6">
            <w:pPr>
              <w:jc w:val="center"/>
            </w:pPr>
            <w:r>
              <w:rPr>
                <w:rFonts w:ascii="宋体" w:hAnsi="宋体" w:eastAsia="宋体"/>
                <w:sz w:val="16"/>
              </w:rPr>
              <w:t>112.98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C414D">
            <w:pPr>
              <w:jc w:val="center"/>
            </w:pPr>
            <w:r>
              <w:rPr>
                <w:rFonts w:ascii="宋体" w:hAnsi="宋体" w:eastAsia="宋体"/>
                <w:sz w:val="16"/>
              </w:rPr>
              <w:t>170.21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12DCC">
            <w:pPr>
              <w:jc w:val="center"/>
            </w:pPr>
            <w:r>
              <w:rPr>
                <w:rFonts w:ascii="宋体" w:hAnsi="宋体" w:eastAsia="宋体"/>
                <w:sz w:val="16"/>
              </w:rPr>
              <w:t>170.21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9AC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9098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09C5F">
            <w:pPr>
              <w:jc w:val="center"/>
            </w:pPr>
            <w:r>
              <w:rPr>
                <w:rFonts w:ascii="宋体" w:hAnsi="宋体" w:eastAsia="宋体"/>
                <w:sz w:val="16"/>
              </w:rPr>
              <w:t>10.00分</w:t>
            </w:r>
          </w:p>
        </w:tc>
      </w:tr>
      <w:tr w14:paraId="38A3A4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8CB1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028C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4B13A">
            <w:pPr>
              <w:jc w:val="center"/>
            </w:pPr>
            <w:r>
              <w:rPr>
                <w:rFonts w:ascii="宋体" w:hAnsi="宋体" w:eastAsia="宋体"/>
                <w:sz w:val="16"/>
              </w:rPr>
              <w:t>112.98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BBB8C">
            <w:pPr>
              <w:jc w:val="center"/>
            </w:pPr>
            <w:r>
              <w:rPr>
                <w:rFonts w:ascii="宋体" w:hAnsi="宋体" w:eastAsia="宋体"/>
                <w:sz w:val="16"/>
              </w:rPr>
              <w:t>170.21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3163F">
            <w:pPr>
              <w:jc w:val="center"/>
            </w:pPr>
            <w:r>
              <w:rPr>
                <w:rFonts w:ascii="宋体" w:hAnsi="宋体" w:eastAsia="宋体"/>
                <w:sz w:val="16"/>
              </w:rPr>
              <w:t>170.21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4A0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402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E13FB">
            <w:pPr>
              <w:jc w:val="center"/>
            </w:pPr>
            <w:r>
              <w:rPr>
                <w:rFonts w:ascii="宋体" w:hAnsi="宋体" w:eastAsia="宋体"/>
                <w:sz w:val="16"/>
              </w:rPr>
              <w:t>—</w:t>
            </w:r>
          </w:p>
        </w:tc>
      </w:tr>
      <w:tr w14:paraId="5A6F1A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A8E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11E5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936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C7D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54F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ED52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B94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3049C">
            <w:pPr>
              <w:jc w:val="center"/>
            </w:pPr>
            <w:r>
              <w:rPr>
                <w:rFonts w:ascii="宋体" w:hAnsi="宋体" w:eastAsia="宋体"/>
                <w:sz w:val="16"/>
              </w:rPr>
              <w:t>—</w:t>
            </w:r>
          </w:p>
        </w:tc>
      </w:tr>
      <w:tr w14:paraId="7524420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6B3D0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66021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2E277C">
            <w:pPr>
              <w:jc w:val="center"/>
            </w:pPr>
            <w:r>
              <w:rPr>
                <w:rFonts w:ascii="宋体" w:hAnsi="宋体" w:eastAsia="宋体"/>
                <w:sz w:val="16"/>
              </w:rPr>
              <w:t>实际完成情况</w:t>
            </w:r>
          </w:p>
        </w:tc>
      </w:tr>
      <w:tr w14:paraId="0E7BAC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14F15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2E34BB">
            <w:pPr>
              <w:jc w:val="both"/>
            </w:pPr>
            <w:r>
              <w:rPr>
                <w:rFonts w:ascii="宋体" w:hAnsi="宋体" w:eastAsia="宋体"/>
                <w:sz w:val="16"/>
              </w:rPr>
              <w:t>本项目总投资为170.21万元，主要用于保障</w:t>
            </w:r>
            <w:r>
              <w:rPr>
                <w:rFonts w:hint="eastAsia" w:ascii="宋体" w:hAnsi="宋体"/>
                <w:sz w:val="16"/>
                <w:lang w:eastAsia="zh-CN"/>
              </w:rPr>
              <w:t>本单位</w:t>
            </w:r>
            <w:r>
              <w:rPr>
                <w:rFonts w:ascii="宋体" w:hAnsi="宋体" w:eastAsia="宋体"/>
                <w:sz w:val="16"/>
              </w:rPr>
              <w:t>5个内设股室日常运转及5辆公务用车日常运行维护。项目的实施有效提升社会公众服务能力，保障单位日常工作正常开展。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946ECE">
            <w:pPr>
              <w:jc w:val="both"/>
            </w:pPr>
            <w:r>
              <w:rPr>
                <w:rFonts w:ascii="宋体" w:hAnsi="宋体" w:eastAsia="宋体"/>
                <w:sz w:val="16"/>
              </w:rPr>
              <w:t>截至自评节点本项目实际支出170.21万元，主要用于保障</w:t>
            </w:r>
            <w:r>
              <w:rPr>
                <w:rFonts w:hint="eastAsia" w:ascii="宋体" w:hAnsi="宋体"/>
                <w:sz w:val="16"/>
                <w:lang w:eastAsia="zh-CN"/>
              </w:rPr>
              <w:t>本单位</w:t>
            </w:r>
            <w:r>
              <w:rPr>
                <w:rFonts w:ascii="宋体" w:hAnsi="宋体" w:eastAsia="宋体"/>
                <w:sz w:val="16"/>
              </w:rPr>
              <w:t>5个内设股室日常运转及5辆公务用车日常运行维护。项目的实施有效提升社会公众服务能力，保障单位日常工作正常开展。</w:t>
            </w:r>
          </w:p>
        </w:tc>
      </w:tr>
      <w:tr w14:paraId="433066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A3A63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84B0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B9C2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495D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D97A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4297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1434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A28C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00B9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9CC2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A707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DC46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9DA73">
            <w:pPr>
              <w:jc w:val="center"/>
            </w:pPr>
            <w:r>
              <w:rPr>
                <w:rFonts w:ascii="宋体" w:hAnsi="宋体" w:eastAsia="宋体"/>
                <w:sz w:val="16"/>
              </w:rPr>
              <w:t>偏差原因分析及改进措施</w:t>
            </w:r>
          </w:p>
        </w:tc>
      </w:tr>
      <w:tr w14:paraId="214D36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756CC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51FB5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DB4E9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D486E">
            <w:pPr>
              <w:jc w:val="center"/>
            </w:pPr>
            <w:r>
              <w:rPr>
                <w:rFonts w:ascii="宋体" w:hAnsi="宋体" w:eastAsia="宋体"/>
                <w:sz w:val="16"/>
              </w:rPr>
              <w:t>保障办公室数量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9AD0B">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F1C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020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A784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1D3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E5E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EE254">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8D15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D8D27">
            <w:pPr>
              <w:jc w:val="center"/>
            </w:pPr>
          </w:p>
        </w:tc>
      </w:tr>
      <w:tr w14:paraId="131419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CEC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048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9BDD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7650D">
            <w:pPr>
              <w:jc w:val="center"/>
            </w:pPr>
            <w:r>
              <w:rPr>
                <w:rFonts w:ascii="宋体" w:hAnsi="宋体" w:eastAsia="宋体"/>
                <w:sz w:val="16"/>
              </w:rPr>
              <w:t>公务保障用车数量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142F6">
            <w:pPr>
              <w:jc w:val="center"/>
            </w:pPr>
            <w:r>
              <w:rPr>
                <w:rFonts w:ascii="宋体" w:hAnsi="宋体" w:eastAsia="宋体"/>
                <w:sz w:val="16"/>
              </w:rPr>
              <w:t>&gt;=5辆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123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14DA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0407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D26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A02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35D93">
            <w:pPr>
              <w:jc w:val="center"/>
            </w:pPr>
            <w:r>
              <w:rPr>
                <w:rFonts w:ascii="宋体" w:hAnsi="宋体" w:eastAsia="宋体"/>
                <w:sz w:val="16"/>
              </w:rPr>
              <w:t>=5辆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203B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D10F7">
            <w:pPr>
              <w:jc w:val="center"/>
            </w:pPr>
          </w:p>
        </w:tc>
      </w:tr>
      <w:tr w14:paraId="02F1FB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5A4F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31B9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01F4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33865">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C17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6E3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AF5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362E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801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892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37F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B696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2DBC4">
            <w:pPr>
              <w:jc w:val="center"/>
            </w:pPr>
          </w:p>
        </w:tc>
      </w:tr>
      <w:tr w14:paraId="1DC43D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C5E7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E36D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CD583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C2A09">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2C416">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8C1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ABC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7608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F77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C17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3326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B300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8C115">
            <w:pPr>
              <w:jc w:val="center"/>
            </w:pPr>
          </w:p>
        </w:tc>
      </w:tr>
      <w:tr w14:paraId="2B5CBE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1470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BCD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BFA1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47770">
            <w:pPr>
              <w:jc w:val="center"/>
            </w:pPr>
            <w:r>
              <w:rPr>
                <w:rFonts w:ascii="宋体" w:hAnsi="宋体" w:eastAsia="宋体"/>
                <w:sz w:val="16"/>
              </w:rPr>
              <w:t>公用经费支付及时率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5BF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998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449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763D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949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AAF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317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3A65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ACD69">
            <w:pPr>
              <w:jc w:val="center"/>
            </w:pPr>
          </w:p>
        </w:tc>
      </w:tr>
      <w:tr w14:paraId="028556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A87EA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17069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17766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A05F6">
            <w:pPr>
              <w:jc w:val="center"/>
            </w:pPr>
            <w:r>
              <w:rPr>
                <w:rFonts w:ascii="宋体" w:hAnsi="宋体" w:eastAsia="宋体"/>
                <w:sz w:val="16"/>
              </w:rPr>
              <w:t>保障办公运转成本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4397C">
            <w:pPr>
              <w:jc w:val="center"/>
            </w:pPr>
            <w:r>
              <w:rPr>
                <w:rFonts w:ascii="宋体" w:hAnsi="宋体" w:eastAsia="宋体"/>
                <w:sz w:val="16"/>
              </w:rPr>
              <w:t>&lt;=166.88万元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E22A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EF1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011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5E3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3949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6AD22">
            <w:pPr>
              <w:jc w:val="center"/>
            </w:pPr>
            <w:r>
              <w:rPr>
                <w:rFonts w:ascii="宋体" w:hAnsi="宋体" w:eastAsia="宋体"/>
                <w:sz w:val="16"/>
              </w:rPr>
              <w:t>=166.88万元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26F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E6C67">
            <w:pPr>
              <w:jc w:val="center"/>
            </w:pPr>
          </w:p>
        </w:tc>
      </w:tr>
      <w:tr w14:paraId="133815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FF15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C0DA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25C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A96D0">
            <w:pPr>
              <w:jc w:val="center"/>
            </w:pPr>
            <w:r>
              <w:rPr>
                <w:rFonts w:ascii="宋体" w:hAnsi="宋体" w:eastAsia="宋体"/>
                <w:sz w:val="16"/>
              </w:rPr>
              <w:t>保障公务用车运行成本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B1EA5">
            <w:pPr>
              <w:jc w:val="center"/>
            </w:pPr>
            <w:r>
              <w:rPr>
                <w:rFonts w:ascii="宋体" w:hAnsi="宋体" w:eastAsia="宋体"/>
                <w:sz w:val="16"/>
              </w:rPr>
              <w:t>&lt;=3.33万元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3FA3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412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11A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77A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DB70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4E5FD">
            <w:pPr>
              <w:jc w:val="center"/>
            </w:pPr>
            <w:r>
              <w:rPr>
                <w:rFonts w:ascii="宋体" w:hAnsi="宋体" w:eastAsia="宋体"/>
                <w:sz w:val="16"/>
              </w:rPr>
              <w:t>=3.33万元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F0B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1E558">
            <w:pPr>
              <w:jc w:val="center"/>
            </w:pPr>
          </w:p>
        </w:tc>
      </w:tr>
      <w:tr w14:paraId="0D0422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29DA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820E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23CA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5D512">
            <w:pPr>
              <w:jc w:val="center"/>
            </w:pPr>
            <w:r>
              <w:rPr>
                <w:rFonts w:ascii="宋体" w:hAnsi="宋体" w:eastAsia="宋体"/>
                <w:sz w:val="16"/>
              </w:rPr>
              <w:t>保障单位日常工作正常开展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2C569">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DA6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CCB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1FE9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667E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31B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FC07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1E35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D5390">
            <w:pPr>
              <w:jc w:val="center"/>
            </w:pPr>
          </w:p>
        </w:tc>
      </w:tr>
      <w:tr w14:paraId="348271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2D5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EA03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DAF3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A8E27">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457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781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C70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6C4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E9A7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38A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D06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8AD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5329B">
            <w:pPr>
              <w:jc w:val="center"/>
            </w:pPr>
          </w:p>
        </w:tc>
      </w:tr>
      <w:tr w14:paraId="64A186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E1F49">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282D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156A4">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4C3FEA">
            <w:pPr>
              <w:jc w:val="center"/>
            </w:pPr>
            <w:r>
              <w:rPr>
                <w:rFonts w:ascii="宋体" w:hAnsi="宋体" w:eastAsia="宋体"/>
                <w:sz w:val="16"/>
              </w:rPr>
              <w:t>100分</w:t>
            </w:r>
          </w:p>
        </w:tc>
      </w:tr>
    </w:tbl>
    <w:p w14:paraId="5EA3D1F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50649EFB">
        <w:tblPrEx>
          <w:tblCellMar>
            <w:top w:w="0" w:type="dxa"/>
            <w:left w:w="108" w:type="dxa"/>
            <w:bottom w:w="0" w:type="dxa"/>
            <w:right w:w="108" w:type="dxa"/>
          </w:tblCellMar>
        </w:tblPrEx>
        <w:tc>
          <w:tcPr>
            <w:tcW w:w="8848" w:type="dxa"/>
            <w:gridSpan w:val="14"/>
            <w:vAlign w:val="center"/>
          </w:tcPr>
          <w:p w14:paraId="0DE94957">
            <w:pPr>
              <w:jc w:val="center"/>
            </w:pPr>
            <w:r>
              <w:rPr>
                <w:rFonts w:ascii="宋体" w:hAnsi="宋体" w:eastAsia="宋体"/>
                <w:sz w:val="24"/>
              </w:rPr>
              <w:t>项目支出绩效自评表</w:t>
            </w:r>
          </w:p>
        </w:tc>
      </w:tr>
      <w:tr w14:paraId="4846BA7C">
        <w:tblPrEx>
          <w:tblCellMar>
            <w:top w:w="0" w:type="dxa"/>
            <w:left w:w="108" w:type="dxa"/>
            <w:bottom w:w="0" w:type="dxa"/>
            <w:right w:w="108" w:type="dxa"/>
          </w:tblCellMar>
        </w:tblPrEx>
        <w:tc>
          <w:tcPr>
            <w:tcW w:w="8848" w:type="dxa"/>
            <w:gridSpan w:val="14"/>
            <w:vAlign w:val="center"/>
          </w:tcPr>
          <w:p w14:paraId="640E448A">
            <w:pPr>
              <w:jc w:val="center"/>
            </w:pPr>
            <w:r>
              <w:rPr>
                <w:rFonts w:ascii="宋体" w:hAnsi="宋体" w:eastAsia="宋体"/>
                <w:sz w:val="24"/>
              </w:rPr>
              <w:t>(2024年度)</w:t>
            </w:r>
          </w:p>
        </w:tc>
      </w:tr>
      <w:tr w14:paraId="3AB8CA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1208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73364BD">
            <w:pPr>
              <w:jc w:val="center"/>
            </w:pPr>
            <w:r>
              <w:rPr>
                <w:rFonts w:ascii="宋体" w:hAnsi="宋体" w:eastAsia="宋体"/>
                <w:sz w:val="16"/>
              </w:rPr>
              <w:t>麦盖提县尕孜库勒乡乡村振兴建设项目（山东援疆）</w:t>
            </w:r>
          </w:p>
        </w:tc>
      </w:tr>
      <w:tr w14:paraId="06971D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CC10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5DAC12">
            <w:pPr>
              <w:jc w:val="center"/>
            </w:pPr>
            <w:r>
              <w:rPr>
                <w:rFonts w:ascii="宋体" w:hAnsi="宋体" w:eastAsia="宋体"/>
                <w:sz w:val="16"/>
              </w:rPr>
              <w:t>麦盖提县尕孜库勒乡人民政府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087A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8945AD">
            <w:pPr>
              <w:jc w:val="center"/>
            </w:pPr>
            <w:r>
              <w:rPr>
                <w:rFonts w:ascii="宋体" w:hAnsi="宋体" w:eastAsia="宋体"/>
                <w:sz w:val="16"/>
              </w:rPr>
              <w:t>麦盖提县尕孜库勒乡人民政府</w:t>
            </w:r>
          </w:p>
        </w:tc>
      </w:tr>
      <w:tr w14:paraId="67ECF1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08190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1F31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AD65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3C4C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E017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144E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CEA2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C3475">
            <w:pPr>
              <w:jc w:val="center"/>
            </w:pPr>
            <w:r>
              <w:rPr>
                <w:rFonts w:ascii="宋体" w:hAnsi="宋体" w:eastAsia="宋体"/>
                <w:sz w:val="16"/>
              </w:rPr>
              <w:t>得分</w:t>
            </w:r>
          </w:p>
        </w:tc>
      </w:tr>
      <w:tr w14:paraId="7D38DA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D8CE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571E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D9EB2">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3BD24">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2312B">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409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A0E6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18BDA">
            <w:pPr>
              <w:jc w:val="center"/>
            </w:pPr>
            <w:r>
              <w:rPr>
                <w:rFonts w:ascii="宋体" w:hAnsi="宋体" w:eastAsia="宋体"/>
                <w:sz w:val="16"/>
              </w:rPr>
              <w:t>10.00分</w:t>
            </w:r>
          </w:p>
        </w:tc>
      </w:tr>
      <w:tr w14:paraId="567A1C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B817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2DB9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FE8DC">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A1B29">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5EF55">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55F9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9691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0202F">
            <w:pPr>
              <w:jc w:val="center"/>
            </w:pPr>
            <w:r>
              <w:rPr>
                <w:rFonts w:ascii="宋体" w:hAnsi="宋体" w:eastAsia="宋体"/>
                <w:sz w:val="16"/>
              </w:rPr>
              <w:t>—</w:t>
            </w:r>
          </w:p>
        </w:tc>
      </w:tr>
      <w:tr w14:paraId="475AAB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9561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232F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6C4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AB3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97B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A9C4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596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24FE4">
            <w:pPr>
              <w:jc w:val="center"/>
            </w:pPr>
            <w:r>
              <w:rPr>
                <w:rFonts w:ascii="宋体" w:hAnsi="宋体" w:eastAsia="宋体"/>
                <w:sz w:val="16"/>
              </w:rPr>
              <w:t>—</w:t>
            </w:r>
          </w:p>
        </w:tc>
      </w:tr>
      <w:tr w14:paraId="4787C7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AC61F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33365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A0F146">
            <w:pPr>
              <w:jc w:val="center"/>
            </w:pPr>
            <w:r>
              <w:rPr>
                <w:rFonts w:ascii="宋体" w:hAnsi="宋体" w:eastAsia="宋体"/>
                <w:sz w:val="16"/>
              </w:rPr>
              <w:t>实际完成情况</w:t>
            </w:r>
          </w:p>
        </w:tc>
      </w:tr>
      <w:tr w14:paraId="7FBA0B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2C90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A8C212">
            <w:pPr>
              <w:jc w:val="both"/>
            </w:pPr>
            <w:r>
              <w:rPr>
                <w:rFonts w:ascii="宋体" w:hAnsi="宋体" w:eastAsia="宋体"/>
                <w:sz w:val="16"/>
              </w:rPr>
              <w:t>该项目预算金额为50万元，新建路沿石126米，足球场砂砾石垫层及人造草坪铺设900㎡，足球场球门2套，村卫生室、心理咨询室等场所的内外防水及墙面等提升改造、粉刷墙面940㎡，配套设施设备19套，零星工程维修改造，并配套相关附属设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258CFD">
            <w:pPr>
              <w:jc w:val="both"/>
            </w:pPr>
            <w:r>
              <w:rPr>
                <w:rFonts w:ascii="宋体" w:hAnsi="宋体" w:eastAsia="宋体"/>
                <w:sz w:val="16"/>
              </w:rPr>
              <w:t>截至自评结点，实际支出金额为50万元，已完成新建路沿石126米，足球场砂砾石垫层及人造草坪铺设900㎡，足球场球门2套，村卫生室、心理咨询室等场所的内外防水及墙面等提升改造、粉刷墙面940㎡，配套设施设备19套，零星工程维修改造，并配套相关附属设施。</w:t>
            </w:r>
          </w:p>
        </w:tc>
      </w:tr>
      <w:tr w14:paraId="561DB4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5B1AE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C496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AF47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423C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0B70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1F6E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02DC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27AD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6ADA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7FB3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C68B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C13D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A05C3">
            <w:pPr>
              <w:jc w:val="center"/>
            </w:pPr>
            <w:r>
              <w:rPr>
                <w:rFonts w:ascii="宋体" w:hAnsi="宋体" w:eastAsia="宋体"/>
                <w:sz w:val="16"/>
              </w:rPr>
              <w:t>偏差原因分析及改进措施</w:t>
            </w:r>
          </w:p>
        </w:tc>
      </w:tr>
      <w:tr w14:paraId="6A6077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5AA74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98B20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82BF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A88D7">
            <w:pPr>
              <w:jc w:val="center"/>
            </w:pPr>
            <w:r>
              <w:rPr>
                <w:rFonts w:ascii="宋体" w:hAnsi="宋体" w:eastAsia="宋体"/>
                <w:sz w:val="16"/>
              </w:rPr>
              <w:t>涉及行政村数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354D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2C3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B46E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1F3D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6BF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296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FC37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9E9C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91195">
            <w:pPr>
              <w:jc w:val="center"/>
            </w:pPr>
          </w:p>
        </w:tc>
      </w:tr>
      <w:tr w14:paraId="79DD09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1015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0F5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DD6C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9E517">
            <w:pPr>
              <w:jc w:val="center"/>
            </w:pPr>
            <w:r>
              <w:rPr>
                <w:rFonts w:ascii="宋体" w:hAnsi="宋体" w:eastAsia="宋体"/>
                <w:sz w:val="16"/>
              </w:rPr>
              <w:t>工程完工率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D14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6C3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F98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EF1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B2B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D97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992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6C1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C71DA">
            <w:pPr>
              <w:jc w:val="center"/>
            </w:pPr>
          </w:p>
        </w:tc>
      </w:tr>
      <w:tr w14:paraId="3D150F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A8AF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D1F3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99DB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EB37A">
            <w:pPr>
              <w:jc w:val="center"/>
            </w:pPr>
            <w:r>
              <w:rPr>
                <w:rFonts w:ascii="宋体" w:hAnsi="宋体" w:eastAsia="宋体"/>
                <w:sz w:val="16"/>
              </w:rPr>
              <w:t>工程结束时间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216CE">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6BD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A27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C75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F27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AC4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C47CD">
            <w:pPr>
              <w:jc w:val="center"/>
            </w:pPr>
            <w:r>
              <w:rPr>
                <w:rFonts w:ascii="宋体" w:hAnsi="宋体" w:eastAsia="宋体"/>
                <w:sz w:val="16"/>
              </w:rPr>
              <w:t>=2024年10月29日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510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236BF">
            <w:pPr>
              <w:jc w:val="center"/>
            </w:pPr>
          </w:p>
        </w:tc>
      </w:tr>
      <w:tr w14:paraId="6A97F8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91DF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06FC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F9CB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E0F2D">
            <w:pPr>
              <w:jc w:val="center"/>
            </w:pPr>
            <w:r>
              <w:rPr>
                <w:rFonts w:ascii="宋体" w:hAnsi="宋体" w:eastAsia="宋体"/>
                <w:sz w:val="16"/>
              </w:rPr>
              <w:t>项目成本预算控制率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33AB9">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AAF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EF6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EE8A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F2E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F20A6">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032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B9AC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081E6">
            <w:pPr>
              <w:jc w:val="center"/>
            </w:pPr>
          </w:p>
        </w:tc>
      </w:tr>
      <w:tr w14:paraId="6A4AD3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8855B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26000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9C49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DDE01">
            <w:pPr>
              <w:jc w:val="center"/>
            </w:pPr>
            <w:r>
              <w:rPr>
                <w:rFonts w:ascii="宋体" w:hAnsi="宋体" w:eastAsia="宋体"/>
                <w:sz w:val="16"/>
              </w:rPr>
              <w:t>提高群众文化水平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CBC9D">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AA0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EFA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32E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A861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CAD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87A44">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927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95143">
            <w:pPr>
              <w:jc w:val="center"/>
            </w:pPr>
          </w:p>
        </w:tc>
      </w:tr>
      <w:tr w14:paraId="538264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E8AD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1091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06654">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440E6">
            <w:pPr>
              <w:jc w:val="center"/>
            </w:pPr>
            <w:r>
              <w:rPr>
                <w:rFonts w:ascii="宋体" w:hAnsi="宋体" w:eastAsia="宋体"/>
                <w:sz w:val="16"/>
              </w:rPr>
              <w:t>改善居民生活环境，提升生活质量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8F8DF">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DF3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97D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E5F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D7DB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CDF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5E5F2">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F97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94D60">
            <w:pPr>
              <w:jc w:val="center"/>
            </w:pPr>
          </w:p>
        </w:tc>
      </w:tr>
      <w:tr w14:paraId="58772A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6BA0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AFD0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34D0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897CC">
            <w:pPr>
              <w:jc w:val="center"/>
            </w:pPr>
            <w:r>
              <w:rPr>
                <w:rFonts w:ascii="宋体" w:hAnsi="宋体" w:eastAsia="宋体"/>
                <w:sz w:val="16"/>
              </w:rPr>
              <w:t>受益群体满意度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63B3A">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6F1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92F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37E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C0BA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33A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60C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53D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53201">
            <w:pPr>
              <w:jc w:val="center"/>
            </w:pPr>
          </w:p>
        </w:tc>
      </w:tr>
      <w:tr w14:paraId="07C795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D31D3">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1F49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F7F99">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7D2438">
            <w:pPr>
              <w:jc w:val="center"/>
            </w:pPr>
            <w:r>
              <w:rPr>
                <w:rFonts w:ascii="宋体" w:hAnsi="宋体" w:eastAsia="宋体"/>
                <w:sz w:val="16"/>
              </w:rPr>
              <w:t>100分</w:t>
            </w:r>
          </w:p>
        </w:tc>
      </w:tr>
    </w:tbl>
    <w:p w14:paraId="07A1C21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6F6A777">
        <w:tblPrEx>
          <w:tblCellMar>
            <w:top w:w="0" w:type="dxa"/>
            <w:left w:w="108" w:type="dxa"/>
            <w:bottom w:w="0" w:type="dxa"/>
            <w:right w:w="108" w:type="dxa"/>
          </w:tblCellMar>
        </w:tblPrEx>
        <w:tc>
          <w:tcPr>
            <w:tcW w:w="8848" w:type="dxa"/>
            <w:gridSpan w:val="14"/>
            <w:vAlign w:val="center"/>
          </w:tcPr>
          <w:p w14:paraId="736D385E">
            <w:pPr>
              <w:jc w:val="center"/>
            </w:pPr>
            <w:r>
              <w:rPr>
                <w:rFonts w:ascii="宋体" w:hAnsi="宋体" w:eastAsia="宋体"/>
                <w:sz w:val="24"/>
              </w:rPr>
              <w:t>项目支出绩效自评表</w:t>
            </w:r>
          </w:p>
        </w:tc>
      </w:tr>
      <w:tr w14:paraId="11755079">
        <w:tblPrEx>
          <w:tblCellMar>
            <w:top w:w="0" w:type="dxa"/>
            <w:left w:w="108" w:type="dxa"/>
            <w:bottom w:w="0" w:type="dxa"/>
            <w:right w:w="108" w:type="dxa"/>
          </w:tblCellMar>
        </w:tblPrEx>
        <w:tc>
          <w:tcPr>
            <w:tcW w:w="8848" w:type="dxa"/>
            <w:gridSpan w:val="14"/>
            <w:vAlign w:val="center"/>
          </w:tcPr>
          <w:p w14:paraId="5E0DF9FF">
            <w:pPr>
              <w:jc w:val="center"/>
            </w:pPr>
            <w:r>
              <w:rPr>
                <w:rFonts w:ascii="宋体" w:hAnsi="宋体" w:eastAsia="宋体"/>
                <w:sz w:val="24"/>
              </w:rPr>
              <w:t>(2024年度)</w:t>
            </w:r>
          </w:p>
        </w:tc>
      </w:tr>
      <w:tr w14:paraId="4CF440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2EB0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D22162C">
            <w:pPr>
              <w:jc w:val="center"/>
            </w:pPr>
            <w:r>
              <w:rPr>
                <w:rFonts w:ascii="宋体" w:hAnsi="宋体" w:eastAsia="宋体"/>
                <w:sz w:val="16"/>
              </w:rPr>
              <w:t>麦盖提县尕孜库勒乡人民政府债务化解项目</w:t>
            </w:r>
          </w:p>
        </w:tc>
      </w:tr>
      <w:tr w14:paraId="63FDD6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1919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3F6B71">
            <w:pPr>
              <w:jc w:val="center"/>
            </w:pPr>
            <w:r>
              <w:rPr>
                <w:rFonts w:ascii="宋体" w:hAnsi="宋体" w:eastAsia="宋体"/>
                <w:sz w:val="16"/>
              </w:rPr>
              <w:t>麦盖提县尕孜库勒乡人民政府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3392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33AFE0">
            <w:pPr>
              <w:jc w:val="center"/>
            </w:pPr>
            <w:r>
              <w:rPr>
                <w:rFonts w:ascii="宋体" w:hAnsi="宋体" w:eastAsia="宋体"/>
                <w:sz w:val="16"/>
              </w:rPr>
              <w:t>麦盖提县尕孜库勒乡人民政府</w:t>
            </w:r>
          </w:p>
        </w:tc>
      </w:tr>
      <w:tr w14:paraId="679EAF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7CFAA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452C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EA05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433D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CDF2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801A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6180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45B18">
            <w:pPr>
              <w:jc w:val="center"/>
            </w:pPr>
            <w:r>
              <w:rPr>
                <w:rFonts w:ascii="宋体" w:hAnsi="宋体" w:eastAsia="宋体"/>
                <w:sz w:val="16"/>
              </w:rPr>
              <w:t>得分</w:t>
            </w:r>
          </w:p>
        </w:tc>
      </w:tr>
      <w:tr w14:paraId="1459BF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23531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8682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3D44E">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0A650">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2823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BE2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4880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0DA5E">
            <w:pPr>
              <w:jc w:val="center"/>
            </w:pPr>
            <w:r>
              <w:rPr>
                <w:rFonts w:ascii="宋体" w:hAnsi="宋体" w:eastAsia="宋体"/>
                <w:sz w:val="16"/>
              </w:rPr>
              <w:t>10.00分</w:t>
            </w:r>
          </w:p>
        </w:tc>
      </w:tr>
      <w:tr w14:paraId="191F73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3B76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EA87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68734">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1A0FC">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76F01">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B2B1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A60D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072FB">
            <w:pPr>
              <w:jc w:val="center"/>
            </w:pPr>
            <w:r>
              <w:rPr>
                <w:rFonts w:ascii="宋体" w:hAnsi="宋体" w:eastAsia="宋体"/>
                <w:sz w:val="16"/>
              </w:rPr>
              <w:t>—</w:t>
            </w:r>
          </w:p>
        </w:tc>
      </w:tr>
      <w:tr w14:paraId="572693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81F13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3CC7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CD6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55F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5B3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6211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A89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15560">
            <w:pPr>
              <w:jc w:val="center"/>
            </w:pPr>
            <w:r>
              <w:rPr>
                <w:rFonts w:ascii="宋体" w:hAnsi="宋体" w:eastAsia="宋体"/>
                <w:sz w:val="16"/>
              </w:rPr>
              <w:t>—</w:t>
            </w:r>
          </w:p>
        </w:tc>
      </w:tr>
      <w:tr w14:paraId="573F306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7C81E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20B07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DA322E">
            <w:pPr>
              <w:jc w:val="center"/>
            </w:pPr>
            <w:r>
              <w:rPr>
                <w:rFonts w:ascii="宋体" w:hAnsi="宋体" w:eastAsia="宋体"/>
                <w:sz w:val="16"/>
              </w:rPr>
              <w:t>实际完成情况</w:t>
            </w:r>
          </w:p>
        </w:tc>
      </w:tr>
      <w:tr w14:paraId="3283D1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E5D12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4B25CF">
            <w:pPr>
              <w:jc w:val="both"/>
            </w:pPr>
            <w:r>
              <w:rPr>
                <w:rFonts w:ascii="宋体" w:hAnsi="宋体" w:eastAsia="宋体"/>
                <w:sz w:val="16"/>
              </w:rPr>
              <w:t>本项目2024年总投资为10万元，主要用于支付尕孜库勒乡村级组织活动场所建设项目尾款，项目的实施可提高工作人员积极性，进一步提升政府公信力。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4415D6">
            <w:pPr>
              <w:jc w:val="both"/>
            </w:pPr>
            <w:r>
              <w:rPr>
                <w:rFonts w:hint="eastAsia" w:ascii="宋体" w:hAnsi="宋体"/>
                <w:sz w:val="16"/>
                <w:lang w:eastAsia="zh-CN"/>
              </w:rPr>
              <w:t>截至</w:t>
            </w:r>
            <w:r>
              <w:rPr>
                <w:rFonts w:ascii="宋体" w:hAnsi="宋体" w:eastAsia="宋体"/>
                <w:sz w:val="16"/>
              </w:rPr>
              <w:t>绩效自评日，本项目实际支出为10万元，已完成支付尕孜库勒乡村级组织活动场所建设项目尾款，项目的实施提高了工作人员积极性，进一步提升了政府公信力。</w:t>
            </w:r>
          </w:p>
        </w:tc>
      </w:tr>
      <w:tr w14:paraId="3C9419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94C7C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2780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CF97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97A2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FE32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10F7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D6FE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C413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8282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570D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FC3A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1E29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D0D7E">
            <w:pPr>
              <w:jc w:val="center"/>
            </w:pPr>
            <w:r>
              <w:rPr>
                <w:rFonts w:ascii="宋体" w:hAnsi="宋体" w:eastAsia="宋体"/>
                <w:sz w:val="16"/>
              </w:rPr>
              <w:t>偏差原因分析及改进措施</w:t>
            </w:r>
          </w:p>
        </w:tc>
      </w:tr>
      <w:tr w14:paraId="635C73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9ED11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9B082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4BA8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29C30">
            <w:pPr>
              <w:jc w:val="center"/>
            </w:pPr>
            <w:r>
              <w:rPr>
                <w:rFonts w:ascii="宋体" w:hAnsi="宋体" w:eastAsia="宋体"/>
                <w:sz w:val="16"/>
              </w:rPr>
              <w:t>支付工程尾款项目数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208ED">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EB8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4DA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4250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2E5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A39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1550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A60B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02BC5">
            <w:pPr>
              <w:jc w:val="center"/>
            </w:pPr>
          </w:p>
        </w:tc>
      </w:tr>
      <w:tr w14:paraId="4428E4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24E6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72BF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39343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609F8">
            <w:pPr>
              <w:jc w:val="center"/>
            </w:pPr>
            <w:r>
              <w:rPr>
                <w:rFonts w:ascii="宋体" w:hAnsi="宋体" w:eastAsia="宋体"/>
                <w:sz w:val="16"/>
              </w:rPr>
              <w:t>尾款支付完成率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AA7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68B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6A0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C560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446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3C12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D5E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105F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3A35C">
            <w:pPr>
              <w:jc w:val="center"/>
            </w:pPr>
          </w:p>
        </w:tc>
      </w:tr>
      <w:tr w14:paraId="276A9A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2E9C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0FA1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08E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E99DC">
            <w:pPr>
              <w:jc w:val="center"/>
            </w:pPr>
            <w:r>
              <w:rPr>
                <w:rFonts w:ascii="宋体" w:hAnsi="宋体" w:eastAsia="宋体"/>
                <w:sz w:val="16"/>
              </w:rPr>
              <w:t>尾款支付合规率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75D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368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466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61F9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DE9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0175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ECE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36A9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D4B66">
            <w:pPr>
              <w:jc w:val="center"/>
            </w:pPr>
          </w:p>
        </w:tc>
      </w:tr>
      <w:tr w14:paraId="23043A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BEC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23FA1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F6B0F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67527">
            <w:pPr>
              <w:jc w:val="center"/>
            </w:pPr>
            <w:r>
              <w:rPr>
                <w:rFonts w:ascii="宋体" w:hAnsi="宋体" w:eastAsia="宋体"/>
                <w:sz w:val="16"/>
              </w:rPr>
              <w:t>化解完成时限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CE550">
            <w:pPr>
              <w:jc w:val="center"/>
            </w:pPr>
            <w:r>
              <w:rPr>
                <w:rFonts w:ascii="宋体" w:hAnsi="宋体" w:eastAsia="宋体"/>
                <w:sz w:val="16"/>
              </w:rPr>
              <w:t>=2024年5月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C74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F6A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AC48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C9E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9286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98FD0">
            <w:pPr>
              <w:jc w:val="center"/>
            </w:pPr>
            <w:r>
              <w:rPr>
                <w:rFonts w:ascii="宋体" w:hAnsi="宋体" w:eastAsia="宋体"/>
                <w:sz w:val="16"/>
              </w:rPr>
              <w:t>=2024年3月29日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5940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8A741">
            <w:pPr>
              <w:jc w:val="center"/>
            </w:pPr>
          </w:p>
        </w:tc>
      </w:tr>
      <w:tr w14:paraId="321938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5DFB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CCE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23F0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47F1C">
            <w:pPr>
              <w:jc w:val="center"/>
            </w:pPr>
            <w:r>
              <w:rPr>
                <w:rFonts w:ascii="宋体" w:hAnsi="宋体" w:eastAsia="宋体"/>
                <w:sz w:val="16"/>
              </w:rPr>
              <w:t>尾款支付及时率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F94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35B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EFB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22DF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91A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3B770">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AFF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7FAF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F59B0">
            <w:pPr>
              <w:jc w:val="center"/>
            </w:pPr>
          </w:p>
        </w:tc>
      </w:tr>
      <w:tr w14:paraId="3432AB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D6D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19A5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B7CB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D8BB0">
            <w:pPr>
              <w:jc w:val="center"/>
            </w:pPr>
            <w:r>
              <w:rPr>
                <w:rFonts w:ascii="宋体" w:hAnsi="宋体" w:eastAsia="宋体"/>
                <w:sz w:val="16"/>
              </w:rPr>
              <w:t>支付项目尾款金额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811BB">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7E22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0FC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2569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15C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0762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CCC8D">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A7CF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7AED2">
            <w:pPr>
              <w:jc w:val="center"/>
            </w:pPr>
          </w:p>
        </w:tc>
      </w:tr>
      <w:tr w14:paraId="4943FA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F0D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7F50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666A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9265C">
            <w:pPr>
              <w:jc w:val="center"/>
            </w:pPr>
            <w:r>
              <w:rPr>
                <w:rFonts w:ascii="宋体" w:hAnsi="宋体" w:eastAsia="宋体"/>
                <w:sz w:val="16"/>
              </w:rPr>
              <w:t>提高服务社会发展能力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D3D7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A49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F3E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398F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243C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061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97E6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4986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4EB26">
            <w:pPr>
              <w:jc w:val="center"/>
            </w:pPr>
          </w:p>
        </w:tc>
      </w:tr>
      <w:tr w14:paraId="57885A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0CB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4104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5AC9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F3D0E">
            <w:pPr>
              <w:jc w:val="center"/>
            </w:pPr>
            <w:r>
              <w:rPr>
                <w:rFonts w:ascii="宋体" w:hAnsi="宋体" w:eastAsia="宋体"/>
                <w:sz w:val="16"/>
              </w:rPr>
              <w:t>施工方满意度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735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97C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CB43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EE9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D862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C60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D05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DAB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D96D0">
            <w:pPr>
              <w:jc w:val="center"/>
            </w:pPr>
          </w:p>
        </w:tc>
      </w:tr>
      <w:tr w14:paraId="720018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5A19D">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1AD6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3E2E4">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FBDCC6">
            <w:pPr>
              <w:jc w:val="center"/>
            </w:pPr>
            <w:r>
              <w:rPr>
                <w:rFonts w:ascii="宋体" w:hAnsi="宋体" w:eastAsia="宋体"/>
                <w:sz w:val="16"/>
              </w:rPr>
              <w:t>100分</w:t>
            </w:r>
          </w:p>
        </w:tc>
      </w:tr>
    </w:tbl>
    <w:p w14:paraId="5D089C60">
      <w:r>
        <w:br w:type="page"/>
      </w:r>
    </w:p>
    <w:tbl>
      <w:tblPr>
        <w:tblStyle w:val="9"/>
        <w:tblW w:w="0" w:type="auto"/>
        <w:tblInd w:w="0" w:type="dxa"/>
        <w:tblLayout w:type="autofit"/>
        <w:tblCellMar>
          <w:top w:w="0" w:type="dxa"/>
          <w:left w:w="108" w:type="dxa"/>
          <w:bottom w:w="0" w:type="dxa"/>
          <w:right w:w="108" w:type="dxa"/>
        </w:tblCellMar>
      </w:tblPr>
      <w:tblGrid>
        <w:gridCol w:w="621"/>
        <w:gridCol w:w="601"/>
        <w:gridCol w:w="601"/>
        <w:gridCol w:w="601"/>
        <w:gridCol w:w="936"/>
        <w:gridCol w:w="601"/>
        <w:gridCol w:w="601"/>
        <w:gridCol w:w="601"/>
        <w:gridCol w:w="601"/>
        <w:gridCol w:w="611"/>
        <w:gridCol w:w="856"/>
        <w:gridCol w:w="630"/>
        <w:gridCol w:w="568"/>
        <w:gridCol w:w="631"/>
      </w:tblGrid>
      <w:tr w14:paraId="7861FD39">
        <w:tblPrEx>
          <w:tblCellMar>
            <w:top w:w="0" w:type="dxa"/>
            <w:left w:w="108" w:type="dxa"/>
            <w:bottom w:w="0" w:type="dxa"/>
            <w:right w:w="108" w:type="dxa"/>
          </w:tblCellMar>
        </w:tblPrEx>
        <w:tc>
          <w:tcPr>
            <w:tcW w:w="8848" w:type="dxa"/>
            <w:gridSpan w:val="14"/>
            <w:vAlign w:val="center"/>
          </w:tcPr>
          <w:p w14:paraId="5290263D">
            <w:pPr>
              <w:jc w:val="center"/>
            </w:pPr>
            <w:r>
              <w:rPr>
                <w:rFonts w:ascii="宋体" w:hAnsi="宋体" w:eastAsia="宋体"/>
                <w:sz w:val="24"/>
              </w:rPr>
              <w:t>项目支出绩效自评表</w:t>
            </w:r>
          </w:p>
        </w:tc>
      </w:tr>
      <w:tr w14:paraId="17388F10">
        <w:tblPrEx>
          <w:tblCellMar>
            <w:top w:w="0" w:type="dxa"/>
            <w:left w:w="108" w:type="dxa"/>
            <w:bottom w:w="0" w:type="dxa"/>
            <w:right w:w="108" w:type="dxa"/>
          </w:tblCellMar>
        </w:tblPrEx>
        <w:tc>
          <w:tcPr>
            <w:tcW w:w="8848" w:type="dxa"/>
            <w:gridSpan w:val="14"/>
            <w:vAlign w:val="center"/>
          </w:tcPr>
          <w:p w14:paraId="45C9A88D">
            <w:pPr>
              <w:jc w:val="center"/>
            </w:pPr>
            <w:r>
              <w:rPr>
                <w:rFonts w:ascii="宋体" w:hAnsi="宋体" w:eastAsia="宋体"/>
                <w:sz w:val="24"/>
              </w:rPr>
              <w:t>(2024年度)</w:t>
            </w:r>
          </w:p>
        </w:tc>
      </w:tr>
      <w:tr w14:paraId="581E9E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E3E6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4CBFC15">
            <w:pPr>
              <w:jc w:val="center"/>
            </w:pPr>
            <w:r>
              <w:rPr>
                <w:rFonts w:ascii="宋体" w:hAnsi="宋体" w:eastAsia="宋体"/>
                <w:sz w:val="16"/>
              </w:rPr>
              <w:t>麦盖提县尕孜库勒乡土地平整项目（增减挂）</w:t>
            </w:r>
          </w:p>
        </w:tc>
      </w:tr>
      <w:tr w14:paraId="7E3093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D616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DA2B73">
            <w:pPr>
              <w:jc w:val="center"/>
            </w:pPr>
            <w:r>
              <w:rPr>
                <w:rFonts w:ascii="宋体" w:hAnsi="宋体" w:eastAsia="宋体"/>
                <w:sz w:val="16"/>
              </w:rPr>
              <w:t>麦盖提县尕孜库勒乡人民政府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4F31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BAEABA">
            <w:pPr>
              <w:jc w:val="center"/>
            </w:pPr>
            <w:r>
              <w:rPr>
                <w:rFonts w:ascii="宋体" w:hAnsi="宋体" w:eastAsia="宋体"/>
                <w:sz w:val="16"/>
              </w:rPr>
              <w:t>麦盖提县尕孜库勒乡人民政府</w:t>
            </w:r>
          </w:p>
        </w:tc>
      </w:tr>
      <w:tr w14:paraId="2BD93E3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32F04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FCEC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7664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EAD7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387D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BD2A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37BA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E004A">
            <w:pPr>
              <w:jc w:val="center"/>
            </w:pPr>
            <w:r>
              <w:rPr>
                <w:rFonts w:ascii="宋体" w:hAnsi="宋体" w:eastAsia="宋体"/>
                <w:sz w:val="16"/>
              </w:rPr>
              <w:t>得分</w:t>
            </w:r>
          </w:p>
        </w:tc>
      </w:tr>
      <w:tr w14:paraId="5DAECB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3F1DB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216F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5491C">
            <w:pPr>
              <w:jc w:val="center"/>
            </w:pPr>
            <w:r>
              <w:rPr>
                <w:rFonts w:ascii="宋体" w:hAnsi="宋体" w:eastAsia="宋体"/>
                <w:sz w:val="16"/>
              </w:rPr>
              <w:t>84.10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191F0">
            <w:pPr>
              <w:jc w:val="center"/>
            </w:pPr>
            <w:r>
              <w:rPr>
                <w:rFonts w:ascii="宋体" w:hAnsi="宋体" w:eastAsia="宋体"/>
                <w:sz w:val="16"/>
              </w:rPr>
              <w:t>84.10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E6372">
            <w:pPr>
              <w:jc w:val="center"/>
            </w:pPr>
            <w:r>
              <w:rPr>
                <w:rFonts w:ascii="宋体" w:hAnsi="宋体" w:eastAsia="宋体"/>
                <w:sz w:val="16"/>
              </w:rPr>
              <w:t>84.10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6F1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47D3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CFA15">
            <w:pPr>
              <w:jc w:val="center"/>
            </w:pPr>
            <w:r>
              <w:rPr>
                <w:rFonts w:ascii="宋体" w:hAnsi="宋体" w:eastAsia="宋体"/>
                <w:sz w:val="16"/>
              </w:rPr>
              <w:t>10.00分</w:t>
            </w:r>
          </w:p>
        </w:tc>
      </w:tr>
      <w:tr w14:paraId="28727E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610B7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A021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B2D60">
            <w:pPr>
              <w:jc w:val="center"/>
            </w:pPr>
            <w:r>
              <w:rPr>
                <w:rFonts w:ascii="宋体" w:hAnsi="宋体" w:eastAsia="宋体"/>
                <w:sz w:val="16"/>
              </w:rPr>
              <w:t>84.10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A8443">
            <w:pPr>
              <w:jc w:val="center"/>
            </w:pPr>
            <w:r>
              <w:rPr>
                <w:rFonts w:ascii="宋体" w:hAnsi="宋体" w:eastAsia="宋体"/>
                <w:sz w:val="16"/>
              </w:rPr>
              <w:t>84.10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94B5F">
            <w:pPr>
              <w:jc w:val="center"/>
            </w:pPr>
            <w:r>
              <w:rPr>
                <w:rFonts w:ascii="宋体" w:hAnsi="宋体" w:eastAsia="宋体"/>
                <w:sz w:val="16"/>
              </w:rPr>
              <w:t>84.10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6B50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F13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A15CC">
            <w:pPr>
              <w:jc w:val="center"/>
            </w:pPr>
            <w:r>
              <w:rPr>
                <w:rFonts w:ascii="宋体" w:hAnsi="宋体" w:eastAsia="宋体"/>
                <w:sz w:val="16"/>
              </w:rPr>
              <w:t>—</w:t>
            </w:r>
          </w:p>
        </w:tc>
      </w:tr>
      <w:tr w14:paraId="09C419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BEE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52DE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DB4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F3F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607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C26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561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C3CCC">
            <w:pPr>
              <w:jc w:val="center"/>
            </w:pPr>
            <w:r>
              <w:rPr>
                <w:rFonts w:ascii="宋体" w:hAnsi="宋体" w:eastAsia="宋体"/>
                <w:sz w:val="16"/>
              </w:rPr>
              <w:t>—</w:t>
            </w:r>
          </w:p>
        </w:tc>
      </w:tr>
      <w:tr w14:paraId="4A9E84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D45A9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59DA0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B2D59B">
            <w:pPr>
              <w:jc w:val="center"/>
            </w:pPr>
            <w:r>
              <w:rPr>
                <w:rFonts w:ascii="宋体" w:hAnsi="宋体" w:eastAsia="宋体"/>
                <w:sz w:val="16"/>
              </w:rPr>
              <w:t>实际完成情况</w:t>
            </w:r>
          </w:p>
        </w:tc>
      </w:tr>
      <w:tr w14:paraId="662E9F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948BC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E96266">
            <w:pPr>
              <w:jc w:val="both"/>
            </w:pPr>
            <w:r>
              <w:rPr>
                <w:rFonts w:ascii="宋体" w:hAnsi="宋体" w:eastAsia="宋体"/>
                <w:sz w:val="16"/>
              </w:rPr>
              <w:t>项目总金额84.1万元，实施土地平整面积361.46亩，新修建农渠1条，总长度600m，新修建素土压实生产路一条，总长度783m。通过项目的实施，改善农牧农业生产条件，提高农牧业生产水平，增加农牧民收入，使当地的农业经济得到长足发展，生产生活条件得到很大改善，经济收益稳步增长。</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D9172A">
            <w:pPr>
              <w:jc w:val="both"/>
            </w:pPr>
            <w:r>
              <w:rPr>
                <w:rFonts w:ascii="宋体" w:hAnsi="宋体" w:eastAsia="宋体"/>
                <w:sz w:val="16"/>
              </w:rPr>
              <w:t>截至自评节点本项目实际支出金额84.1万元，已完成实施土地平整面积361.46亩，新修建农渠1条，总长度600m，新修建素土压实生产路一条，总长度783m。通过项目的实施，改善农牧农业生产条件，提高农牧业生产水平，增加农牧民收入，使当地的农业经济得到长足发展，生产生活条件得到很大改善，经济收益稳步增长。</w:t>
            </w:r>
          </w:p>
        </w:tc>
      </w:tr>
      <w:tr w14:paraId="5792240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26791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4675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ECFC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19A9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B271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3452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1ADE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F3B9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0AE0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ED63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DB65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4F3A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B4230">
            <w:pPr>
              <w:jc w:val="center"/>
            </w:pPr>
            <w:r>
              <w:rPr>
                <w:rFonts w:ascii="宋体" w:hAnsi="宋体" w:eastAsia="宋体"/>
                <w:sz w:val="16"/>
              </w:rPr>
              <w:t>偏差原因分析及改进措施</w:t>
            </w:r>
          </w:p>
        </w:tc>
      </w:tr>
      <w:tr w14:paraId="256A89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5E486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D4CB9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D171F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8D69A">
            <w:pPr>
              <w:jc w:val="center"/>
            </w:pPr>
            <w:r>
              <w:rPr>
                <w:rFonts w:ascii="宋体" w:hAnsi="宋体" w:eastAsia="宋体"/>
                <w:sz w:val="16"/>
              </w:rPr>
              <w:t>项目覆盖行政村数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1C64A">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9B1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326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357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092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270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895A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AD2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0EB12">
            <w:pPr>
              <w:jc w:val="center"/>
            </w:pPr>
          </w:p>
        </w:tc>
      </w:tr>
      <w:tr w14:paraId="52C670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443E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CBD8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6B7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8CAA0">
            <w:pPr>
              <w:jc w:val="center"/>
            </w:pPr>
            <w:r>
              <w:rPr>
                <w:rFonts w:ascii="宋体" w:hAnsi="宋体" w:eastAsia="宋体"/>
                <w:sz w:val="16"/>
              </w:rPr>
              <w:t>土地平整亩数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9B0F7">
            <w:pPr>
              <w:jc w:val="center"/>
            </w:pPr>
            <w:r>
              <w:rPr>
                <w:rFonts w:ascii="宋体" w:hAnsi="宋体" w:eastAsia="宋体"/>
                <w:sz w:val="16"/>
              </w:rPr>
              <w:t>&gt;=361.46亩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805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D11F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519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CE9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876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90038">
            <w:pPr>
              <w:jc w:val="center"/>
            </w:pPr>
            <w:r>
              <w:rPr>
                <w:rFonts w:ascii="宋体" w:hAnsi="宋体" w:eastAsia="宋体"/>
                <w:sz w:val="16"/>
              </w:rPr>
              <w:t>=361.46亩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797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235D9">
            <w:pPr>
              <w:jc w:val="center"/>
            </w:pPr>
          </w:p>
        </w:tc>
      </w:tr>
      <w:tr w14:paraId="62A85E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BD3C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9641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99D3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ED487">
            <w:pPr>
              <w:jc w:val="center"/>
            </w:pPr>
            <w:r>
              <w:rPr>
                <w:rFonts w:ascii="宋体" w:hAnsi="宋体" w:eastAsia="宋体"/>
                <w:sz w:val="16"/>
              </w:rPr>
              <w:t>土地验收合格率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2EC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E7A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611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AB7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921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430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1D2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1CC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41F27">
            <w:pPr>
              <w:jc w:val="center"/>
            </w:pPr>
          </w:p>
        </w:tc>
      </w:tr>
      <w:tr w14:paraId="153FB2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486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59ED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B3E6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E245E">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FDECF">
            <w:pPr>
              <w:jc w:val="center"/>
            </w:pPr>
            <w:r>
              <w:rPr>
                <w:rFonts w:ascii="宋体" w:hAnsi="宋体" w:eastAsia="宋体"/>
                <w:sz w:val="16"/>
              </w:rPr>
              <w:t>=2024年9月30日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230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48A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81F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5DA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A5351">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84484">
            <w:pPr>
              <w:jc w:val="center"/>
            </w:pPr>
            <w:r>
              <w:rPr>
                <w:rFonts w:ascii="宋体" w:hAnsi="宋体" w:eastAsia="宋体"/>
                <w:sz w:val="16"/>
              </w:rPr>
              <w:t>=2024年3月26日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F63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55BC6">
            <w:pPr>
              <w:jc w:val="center"/>
            </w:pPr>
          </w:p>
        </w:tc>
      </w:tr>
      <w:tr w14:paraId="72A7DB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B57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7F94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9162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49F5C">
            <w:pPr>
              <w:jc w:val="center"/>
            </w:pPr>
            <w:r>
              <w:rPr>
                <w:rFonts w:ascii="宋体" w:hAnsi="宋体" w:eastAsia="宋体"/>
                <w:sz w:val="16"/>
              </w:rPr>
              <w:t>亩均投资成本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7647F">
            <w:pPr>
              <w:jc w:val="center"/>
            </w:pPr>
            <w:r>
              <w:rPr>
                <w:rFonts w:ascii="宋体" w:hAnsi="宋体" w:eastAsia="宋体"/>
                <w:sz w:val="16"/>
              </w:rPr>
              <w:t>&lt;=2326.68元/亩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6A41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179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D967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8A2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4FFC4">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B2BDD">
            <w:pPr>
              <w:jc w:val="center"/>
            </w:pPr>
            <w:r>
              <w:rPr>
                <w:rFonts w:ascii="宋体" w:hAnsi="宋体" w:eastAsia="宋体"/>
                <w:sz w:val="16"/>
              </w:rPr>
              <w:t>=2326.68元/亩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4EFD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58060">
            <w:pPr>
              <w:jc w:val="center"/>
            </w:pPr>
          </w:p>
        </w:tc>
      </w:tr>
      <w:tr w14:paraId="5DBF55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5A32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1545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8BD5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19590">
            <w:pPr>
              <w:jc w:val="center"/>
            </w:pPr>
            <w:r>
              <w:rPr>
                <w:rFonts w:ascii="宋体" w:hAnsi="宋体" w:eastAsia="宋体"/>
                <w:sz w:val="16"/>
              </w:rPr>
              <w:t>提高土地利用效率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A2952">
            <w:pPr>
              <w:jc w:val="center"/>
            </w:pPr>
            <w:r>
              <w:rPr>
                <w:rFonts w:ascii="宋体" w:hAnsi="宋体" w:eastAsia="宋体"/>
                <w:sz w:val="16"/>
              </w:rPr>
              <w:t>持续提高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97A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EE95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DA99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7821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650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F0137">
            <w:pPr>
              <w:jc w:val="center"/>
            </w:pPr>
            <w:r>
              <w:rPr>
                <w:rFonts w:ascii="宋体" w:hAnsi="宋体" w:eastAsia="宋体"/>
                <w:sz w:val="16"/>
              </w:rPr>
              <w:t>持续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00FB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0BE4B">
            <w:pPr>
              <w:jc w:val="center"/>
            </w:pPr>
          </w:p>
        </w:tc>
      </w:tr>
      <w:tr w14:paraId="7B4C29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E21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BA9F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6F4E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5CC8D">
            <w:pPr>
              <w:jc w:val="center"/>
            </w:pPr>
            <w:r>
              <w:rPr>
                <w:rFonts w:ascii="宋体" w:hAnsi="宋体" w:eastAsia="宋体"/>
                <w:sz w:val="16"/>
              </w:rPr>
              <w:t>受益村民满意度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CEB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207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7FB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A0D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0164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767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CDE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182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4176B">
            <w:pPr>
              <w:jc w:val="center"/>
            </w:pPr>
          </w:p>
        </w:tc>
      </w:tr>
      <w:tr w14:paraId="1196438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9D70C">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F604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3DCD6">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8E75B6">
            <w:pPr>
              <w:jc w:val="center"/>
            </w:pPr>
            <w:r>
              <w:rPr>
                <w:rFonts w:ascii="宋体" w:hAnsi="宋体" w:eastAsia="宋体"/>
                <w:sz w:val="16"/>
              </w:rPr>
              <w:t>100分</w:t>
            </w:r>
          </w:p>
        </w:tc>
      </w:tr>
    </w:tbl>
    <w:p w14:paraId="4B1F459F">
      <w:r>
        <w:br w:type="page"/>
      </w:r>
    </w:p>
    <w:p w14:paraId="145ABE46">
      <w:pPr>
        <w:spacing w:line="640" w:lineRule="exact"/>
        <w:ind w:firstLine="640"/>
        <w:jc w:val="both"/>
        <w:outlineLvl w:val="2"/>
      </w:pPr>
      <w:r>
        <w:rPr>
          <w:rFonts w:ascii="黑体" w:hAnsi="黑体" w:eastAsia="黑体"/>
          <w:sz w:val="32"/>
        </w:rPr>
        <w:t>十二、其他需说明的事项</w:t>
      </w:r>
    </w:p>
    <w:p w14:paraId="002CBBBB">
      <w:pPr>
        <w:spacing w:line="580" w:lineRule="exact"/>
        <w:ind w:firstLine="640"/>
        <w:jc w:val="both"/>
      </w:pPr>
      <w:r>
        <w:rPr>
          <w:rFonts w:ascii="仿宋_GB2312" w:hAnsi="仿宋_GB2312" w:eastAsia="仿宋_GB2312"/>
          <w:b w:val="0"/>
          <w:sz w:val="32"/>
        </w:rPr>
        <w:t>本单位无其他需说明的事项。</w:t>
      </w:r>
    </w:p>
    <w:p w14:paraId="40549DE8">
      <w:r>
        <w:br w:type="page"/>
      </w:r>
    </w:p>
    <w:p w14:paraId="5A855AB6">
      <w:pPr>
        <w:spacing w:line="240" w:lineRule="auto"/>
        <w:jc w:val="center"/>
        <w:outlineLvl w:val="1"/>
      </w:pPr>
      <w:r>
        <w:rPr>
          <w:rFonts w:ascii="黑体" w:hAnsi="黑体" w:eastAsia="黑体"/>
          <w:sz w:val="32"/>
        </w:rPr>
        <w:t>第三部分 专业名词解释</w:t>
      </w:r>
    </w:p>
    <w:p w14:paraId="0659713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6357EC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6CBB21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00D5B0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D7871E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7A475A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6954E5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58B326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B4F868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607688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1E8846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BA5141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9E44B4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778F3F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F026195">
      <w:r>
        <w:br w:type="page"/>
      </w:r>
    </w:p>
    <w:p w14:paraId="2F0BB3D1">
      <w:pPr>
        <w:spacing w:line="240" w:lineRule="auto"/>
        <w:jc w:val="center"/>
        <w:outlineLvl w:val="1"/>
      </w:pPr>
      <w:r>
        <w:rPr>
          <w:rFonts w:ascii="黑体" w:hAnsi="黑体" w:eastAsia="黑体"/>
          <w:sz w:val="32"/>
        </w:rPr>
        <w:t>第四部分 部门决算报表（见附表）</w:t>
      </w:r>
    </w:p>
    <w:p w14:paraId="27B33BFF">
      <w:pPr>
        <w:spacing w:line="240" w:lineRule="auto"/>
        <w:ind w:firstLine="640"/>
        <w:jc w:val="both"/>
      </w:pPr>
      <w:r>
        <w:rPr>
          <w:rFonts w:ascii="仿宋_GB2312" w:hAnsi="仿宋_GB2312" w:eastAsia="仿宋_GB2312"/>
          <w:b w:val="0"/>
          <w:sz w:val="32"/>
        </w:rPr>
        <w:t>一、《收入支出决算总表》</w:t>
      </w:r>
    </w:p>
    <w:p w14:paraId="3B1BD746">
      <w:pPr>
        <w:spacing w:line="240" w:lineRule="auto"/>
        <w:ind w:firstLine="640"/>
        <w:jc w:val="both"/>
      </w:pPr>
      <w:r>
        <w:rPr>
          <w:rFonts w:ascii="仿宋_GB2312" w:hAnsi="仿宋_GB2312" w:eastAsia="仿宋_GB2312"/>
          <w:b w:val="0"/>
          <w:sz w:val="32"/>
        </w:rPr>
        <w:t>二、《收入决算表》</w:t>
      </w:r>
    </w:p>
    <w:p w14:paraId="68A77E08">
      <w:pPr>
        <w:spacing w:line="240" w:lineRule="auto"/>
        <w:ind w:firstLine="640"/>
        <w:jc w:val="both"/>
      </w:pPr>
      <w:r>
        <w:rPr>
          <w:rFonts w:ascii="仿宋_GB2312" w:hAnsi="仿宋_GB2312" w:eastAsia="仿宋_GB2312"/>
          <w:b w:val="0"/>
          <w:sz w:val="32"/>
        </w:rPr>
        <w:t>三、《支出决算表》</w:t>
      </w:r>
    </w:p>
    <w:p w14:paraId="10077F71">
      <w:pPr>
        <w:spacing w:line="240" w:lineRule="auto"/>
        <w:ind w:firstLine="640"/>
        <w:jc w:val="both"/>
      </w:pPr>
      <w:r>
        <w:rPr>
          <w:rFonts w:ascii="仿宋_GB2312" w:hAnsi="仿宋_GB2312" w:eastAsia="仿宋_GB2312"/>
          <w:b w:val="0"/>
          <w:sz w:val="32"/>
        </w:rPr>
        <w:t>四、《财政拨款收入支出决算总表》</w:t>
      </w:r>
    </w:p>
    <w:p w14:paraId="7937797D">
      <w:pPr>
        <w:spacing w:line="240" w:lineRule="auto"/>
        <w:ind w:firstLine="640"/>
        <w:jc w:val="both"/>
      </w:pPr>
      <w:r>
        <w:rPr>
          <w:rFonts w:ascii="仿宋_GB2312" w:hAnsi="仿宋_GB2312" w:eastAsia="仿宋_GB2312"/>
          <w:b w:val="0"/>
          <w:sz w:val="32"/>
        </w:rPr>
        <w:t>五、《一般公共预算财政拨款支出决算表》</w:t>
      </w:r>
    </w:p>
    <w:p w14:paraId="416A91D7">
      <w:pPr>
        <w:spacing w:line="240" w:lineRule="auto"/>
        <w:ind w:firstLine="640"/>
        <w:jc w:val="both"/>
      </w:pPr>
      <w:r>
        <w:rPr>
          <w:rFonts w:ascii="仿宋_GB2312" w:hAnsi="仿宋_GB2312" w:eastAsia="仿宋_GB2312"/>
          <w:b w:val="0"/>
          <w:sz w:val="32"/>
        </w:rPr>
        <w:t>六、《一般公共预算财政拨款基本支出决算表》</w:t>
      </w:r>
    </w:p>
    <w:p w14:paraId="0C230CDB">
      <w:pPr>
        <w:spacing w:line="240" w:lineRule="auto"/>
        <w:ind w:firstLine="640"/>
        <w:jc w:val="both"/>
      </w:pPr>
      <w:r>
        <w:rPr>
          <w:rFonts w:ascii="仿宋_GB2312" w:hAnsi="仿宋_GB2312" w:eastAsia="仿宋_GB2312"/>
          <w:b w:val="0"/>
          <w:sz w:val="32"/>
        </w:rPr>
        <w:t>七、《政府性基金预算财政拨款收入支出决算表》</w:t>
      </w:r>
    </w:p>
    <w:p w14:paraId="183E7BF9">
      <w:pPr>
        <w:spacing w:line="240" w:lineRule="auto"/>
        <w:ind w:firstLine="640"/>
        <w:jc w:val="both"/>
      </w:pPr>
      <w:r>
        <w:rPr>
          <w:rFonts w:ascii="仿宋_GB2312" w:hAnsi="仿宋_GB2312" w:eastAsia="仿宋_GB2312"/>
          <w:b w:val="0"/>
          <w:sz w:val="32"/>
        </w:rPr>
        <w:t>八、《国有资本经营预算财政拨款收入支出决算表》</w:t>
      </w:r>
    </w:p>
    <w:p w14:paraId="51A6681D">
      <w:pPr>
        <w:spacing w:line="240" w:lineRule="auto"/>
        <w:ind w:firstLine="640"/>
        <w:jc w:val="both"/>
      </w:pPr>
      <w:r>
        <w:rPr>
          <w:rFonts w:ascii="仿宋_GB2312" w:hAnsi="仿宋_GB2312" w:eastAsia="仿宋_GB2312"/>
          <w:b w:val="0"/>
          <w:sz w:val="32"/>
        </w:rPr>
        <w:t>九、《财政拨款“三公”经费支出决算表》</w:t>
      </w:r>
    </w:p>
    <w:p w14:paraId="25D6CEDC">
      <w:pPr>
        <w:spacing w:line="240" w:lineRule="auto"/>
        <w:ind w:firstLine="640"/>
        <w:jc w:val="both"/>
      </w:pPr>
    </w:p>
    <w:p w14:paraId="0C3BDFFA">
      <w:pPr>
        <w:spacing w:line="240" w:lineRule="auto"/>
        <w:ind w:firstLine="640"/>
        <w:jc w:val="both"/>
      </w:pPr>
    </w:p>
    <w:p w14:paraId="626AAD09">
      <w:pPr>
        <w:spacing w:line="240" w:lineRule="auto"/>
        <w:ind w:firstLine="640"/>
        <w:jc w:val="both"/>
      </w:pPr>
    </w:p>
    <w:p w14:paraId="6881D883">
      <w:pPr>
        <w:spacing w:line="240" w:lineRule="auto"/>
        <w:ind w:firstLine="640"/>
        <w:jc w:val="both"/>
      </w:pPr>
    </w:p>
    <w:p w14:paraId="1D81573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30ABB0">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B321D77">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5B321D77">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0YWExMzE5YzRhZjlhMDk1OWE1MGRjZWRjNTZiNGYifQ=="/>
  </w:docVars>
  <w:rsids>
    <w:rsidRoot w:val="00000000"/>
    <w:rsid w:val="021B7195"/>
    <w:rsid w:val="02F73D26"/>
    <w:rsid w:val="034D4FEF"/>
    <w:rsid w:val="043E5B56"/>
    <w:rsid w:val="06792773"/>
    <w:rsid w:val="09A729D8"/>
    <w:rsid w:val="0A3C58E8"/>
    <w:rsid w:val="0A7B4867"/>
    <w:rsid w:val="0B8C3ECC"/>
    <w:rsid w:val="0C3613A3"/>
    <w:rsid w:val="0C7227A7"/>
    <w:rsid w:val="0D0E50B0"/>
    <w:rsid w:val="0DCA6EF7"/>
    <w:rsid w:val="0E4B1576"/>
    <w:rsid w:val="0EA04331"/>
    <w:rsid w:val="0F9811B3"/>
    <w:rsid w:val="11E15093"/>
    <w:rsid w:val="120E0809"/>
    <w:rsid w:val="19071D6C"/>
    <w:rsid w:val="19B5554D"/>
    <w:rsid w:val="1B8F2D19"/>
    <w:rsid w:val="1C317E4F"/>
    <w:rsid w:val="1C472464"/>
    <w:rsid w:val="1DAF458D"/>
    <w:rsid w:val="1E086ACE"/>
    <w:rsid w:val="1E0D06E1"/>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C082BC1"/>
    <w:rsid w:val="3C414DBF"/>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12341</Words>
  <Characters>14232</Characters>
  <Lines>0</Lines>
  <Paragraphs>0</Paragraphs>
  <TotalTime>17</TotalTime>
  <ScaleCrop>false</ScaleCrop>
  <LinksUpToDate>false</LinksUpToDate>
  <CharactersWithSpaces>14257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2025-09-04T03:44:13Z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