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4AF97">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51474F5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339F73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04D87B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13555F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6E18DE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麦盖提县巴扎结米镇人民政府2024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13AC5EA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31D7139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B8F2A0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4DC5104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71793B2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80BFA9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4AD9D18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663C53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3215EBB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02ADE1F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3187BEA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921CB6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A78F5F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7D363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59C6554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6BE5C83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6CC7D6B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07EDEA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25B676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C3F088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2531FFF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E54B7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687E42D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611CEDE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7F06B5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8B31A7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9F40CE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ED6B92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78E404D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FD79FE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AAFDFB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5EF2420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A3590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257A61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C6B383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394F1CD">
      <w:r>
        <w:br w:type="page"/>
      </w:r>
    </w:p>
    <w:p w14:paraId="22A9E643">
      <w:pPr>
        <w:spacing w:line="640" w:lineRule="exact"/>
        <w:jc w:val="center"/>
        <w:outlineLvl w:val="1"/>
      </w:pPr>
      <w:r>
        <w:rPr>
          <w:rFonts w:ascii="黑体" w:hAnsi="黑体" w:eastAsia="黑体"/>
          <w:sz w:val="32"/>
        </w:rPr>
        <w:t>第一部分 单位概况</w:t>
      </w:r>
    </w:p>
    <w:p w14:paraId="7DCEC038">
      <w:pPr>
        <w:spacing w:line="640" w:lineRule="exact"/>
        <w:ind w:firstLine="640"/>
        <w:jc w:val="both"/>
        <w:outlineLvl w:val="2"/>
      </w:pPr>
      <w:r>
        <w:rPr>
          <w:rFonts w:ascii="黑体" w:hAnsi="黑体" w:eastAsia="黑体"/>
          <w:sz w:val="32"/>
        </w:rPr>
        <w:t>一、主要职能</w:t>
      </w:r>
    </w:p>
    <w:p w14:paraId="5B74F989">
      <w:pPr>
        <w:spacing w:line="580" w:lineRule="exact"/>
        <w:ind w:firstLine="640"/>
        <w:jc w:val="both"/>
      </w:pPr>
      <w:r>
        <w:rPr>
          <w:rFonts w:ascii="仿宋_GB2312" w:hAnsi="仿宋_GB2312" w:eastAsia="仿宋_GB2312"/>
          <w:sz w:val="32"/>
        </w:rPr>
        <w:t>1.保障本单位行政、事业编职工，离退休职工工资福利及财政负担社保部分支出。</w:t>
      </w:r>
    </w:p>
    <w:p w14:paraId="76AD4DDC">
      <w:pPr>
        <w:spacing w:line="580" w:lineRule="exact"/>
        <w:ind w:firstLine="640"/>
        <w:jc w:val="both"/>
      </w:pPr>
      <w:r>
        <w:rPr>
          <w:rFonts w:ascii="仿宋_GB2312" w:hAnsi="仿宋_GB2312" w:eastAsia="仿宋_GB2312"/>
          <w:sz w:val="32"/>
        </w:rPr>
        <w:t>2.保障本单位的日常运转，执行本级及上级国家行政机关的决定和命令，执行全乡的社会和经济发展规划、预算。</w:t>
      </w:r>
    </w:p>
    <w:p w14:paraId="2B3BE925">
      <w:pPr>
        <w:spacing w:line="580" w:lineRule="exact"/>
        <w:ind w:firstLine="640"/>
        <w:jc w:val="both"/>
      </w:pPr>
      <w:r>
        <w:rPr>
          <w:rFonts w:ascii="仿宋_GB2312" w:hAnsi="仿宋_GB2312" w:eastAsia="仿宋_GB2312"/>
          <w:sz w:val="32"/>
        </w:rPr>
        <w:t>3.管理乡镇的经济、教育、科技、文化、卫生、体育事业和财政、民政、治安、人民调解、安全生产监督管理等行政工作。</w:t>
      </w:r>
    </w:p>
    <w:p w14:paraId="3847F19B">
      <w:pPr>
        <w:spacing w:line="580" w:lineRule="exact"/>
        <w:ind w:firstLine="640"/>
        <w:jc w:val="both"/>
      </w:pPr>
      <w:r>
        <w:rPr>
          <w:rFonts w:ascii="仿宋_GB2312" w:hAnsi="仿宋_GB2312" w:eastAsia="仿宋_GB2312"/>
          <w:sz w:val="32"/>
        </w:rPr>
        <w:t>4.保护社会主义的全民财产和劳动群体集体所有财产，保护公民私人的合法所有财产，维护社会秩序，保障公民的人身权利、民主权利和其他权利。</w:t>
      </w:r>
    </w:p>
    <w:p w14:paraId="43A5ED52">
      <w:pPr>
        <w:spacing w:line="580" w:lineRule="exact"/>
        <w:ind w:firstLine="640"/>
        <w:jc w:val="both"/>
      </w:pPr>
      <w:r>
        <w:rPr>
          <w:rFonts w:ascii="仿宋_GB2312" w:hAnsi="仿宋_GB2312" w:eastAsia="仿宋_GB2312"/>
          <w:sz w:val="32"/>
        </w:rPr>
        <w:t>5.完成县委、</w:t>
      </w:r>
      <w:r>
        <w:rPr>
          <w:rFonts w:hint="eastAsia" w:ascii="仿宋_GB2312" w:hAnsi="仿宋_GB2312" w:eastAsia="仿宋_GB2312"/>
          <w:sz w:val="32"/>
          <w:lang w:eastAsia="zh-CN"/>
        </w:rPr>
        <w:t>县政府</w:t>
      </w:r>
      <w:r>
        <w:rPr>
          <w:rFonts w:ascii="仿宋_GB2312" w:hAnsi="仿宋_GB2312" w:eastAsia="仿宋_GB2312"/>
          <w:sz w:val="32"/>
        </w:rPr>
        <w:t>及上级主管部门交办的其他任务。</w:t>
      </w:r>
    </w:p>
    <w:p w14:paraId="0CADEC6F">
      <w:pPr>
        <w:spacing w:line="640" w:lineRule="exact"/>
        <w:ind w:firstLine="640"/>
        <w:jc w:val="both"/>
        <w:outlineLvl w:val="2"/>
      </w:pPr>
      <w:r>
        <w:rPr>
          <w:rFonts w:ascii="黑体" w:hAnsi="黑体" w:eastAsia="黑体"/>
          <w:sz w:val="32"/>
        </w:rPr>
        <w:t>二、机构设置及人员情况</w:t>
      </w:r>
    </w:p>
    <w:p w14:paraId="19B29950">
      <w:pPr>
        <w:spacing w:line="580" w:lineRule="exact"/>
        <w:ind w:firstLine="640"/>
        <w:jc w:val="both"/>
      </w:pPr>
      <w:r>
        <w:rPr>
          <w:rFonts w:ascii="仿宋_GB2312" w:hAnsi="仿宋_GB2312" w:eastAsia="仿宋_GB2312"/>
          <w:sz w:val="32"/>
        </w:rPr>
        <w:t>麦盖提县巴扎结米镇人民政府2024年度，实有人数136人，其中：在职人员115人，减少3人；离休人员0人，增加0人；退休人员21人,增加1人。</w:t>
      </w:r>
    </w:p>
    <w:p w14:paraId="2A6AB2DF">
      <w:pPr>
        <w:spacing w:line="580" w:lineRule="exact"/>
        <w:ind w:firstLine="640"/>
        <w:jc w:val="both"/>
      </w:pPr>
      <w:r>
        <w:rPr>
          <w:rFonts w:ascii="仿宋_GB2312" w:hAnsi="仿宋_GB2312" w:eastAsia="仿宋_GB2312"/>
          <w:sz w:val="32"/>
        </w:rPr>
        <w:t>麦盖提县巴扎结米镇人民政府无下属预算单位，下设5个科室，分别是：党政综合办公室、党建工作办公室、经济发展和财政办公室、社会事务办公室（退役军人服务站）、综合执法办公室。</w:t>
      </w:r>
    </w:p>
    <w:p w14:paraId="24FDA685">
      <w:r>
        <w:br w:type="page"/>
      </w:r>
    </w:p>
    <w:p w14:paraId="35160075">
      <w:pPr>
        <w:spacing w:line="240" w:lineRule="auto"/>
        <w:jc w:val="center"/>
        <w:outlineLvl w:val="1"/>
      </w:pPr>
      <w:r>
        <w:rPr>
          <w:rFonts w:ascii="黑体" w:hAnsi="黑体" w:eastAsia="黑体"/>
          <w:sz w:val="32"/>
        </w:rPr>
        <w:t>第二部分 部门决算情况说明</w:t>
      </w:r>
    </w:p>
    <w:p w14:paraId="183A01F2">
      <w:pPr>
        <w:spacing w:line="640" w:lineRule="exact"/>
        <w:ind w:firstLine="640"/>
        <w:jc w:val="both"/>
        <w:outlineLvl w:val="2"/>
      </w:pPr>
      <w:r>
        <w:rPr>
          <w:rFonts w:ascii="黑体" w:hAnsi="黑体" w:eastAsia="黑体"/>
          <w:sz w:val="32"/>
        </w:rPr>
        <w:t>一、收入支出决算总体情况说明</w:t>
      </w:r>
    </w:p>
    <w:p w14:paraId="5F8590A5">
      <w:pPr>
        <w:spacing w:line="580" w:lineRule="exact"/>
        <w:ind w:firstLine="640"/>
        <w:jc w:val="both"/>
      </w:pPr>
      <w:r>
        <w:rPr>
          <w:rFonts w:ascii="仿宋_GB2312" w:hAnsi="仿宋_GB2312" w:eastAsia="仿宋_GB2312"/>
          <w:b/>
          <w:sz w:val="32"/>
        </w:rPr>
        <w:t>2024年度收入总计4,611.97万元，</w:t>
      </w:r>
      <w:r>
        <w:rPr>
          <w:rFonts w:ascii="仿宋_GB2312" w:hAnsi="仿宋_GB2312" w:eastAsia="仿宋_GB2312"/>
          <w:b w:val="0"/>
          <w:sz w:val="32"/>
        </w:rPr>
        <w:t>其中：本年收入合计4,611.97万元，使用非财政拨款结余（含专用结余）0.00万元，年初结转和结余0.00万元。</w:t>
      </w:r>
    </w:p>
    <w:p w14:paraId="047356C0">
      <w:pPr>
        <w:spacing w:line="580" w:lineRule="exact"/>
        <w:ind w:firstLine="640"/>
        <w:jc w:val="both"/>
      </w:pPr>
      <w:r>
        <w:rPr>
          <w:rFonts w:ascii="仿宋_GB2312" w:hAnsi="仿宋_GB2312" w:eastAsia="仿宋_GB2312"/>
          <w:b/>
          <w:sz w:val="32"/>
        </w:rPr>
        <w:t>2024年度支出总计4,611.97万元，</w:t>
      </w:r>
      <w:r>
        <w:rPr>
          <w:rFonts w:ascii="仿宋_GB2312" w:hAnsi="仿宋_GB2312" w:eastAsia="仿宋_GB2312"/>
          <w:b w:val="0"/>
          <w:sz w:val="32"/>
        </w:rPr>
        <w:t>其中：本年支出合计4,597.56万元，结余分配0.00万元，年末结转和结余14.41万元。</w:t>
      </w:r>
    </w:p>
    <w:p w14:paraId="06BBF4AF">
      <w:pPr>
        <w:spacing w:line="580" w:lineRule="exact"/>
        <w:ind w:firstLine="640"/>
        <w:jc w:val="both"/>
      </w:pPr>
      <w:r>
        <w:rPr>
          <w:rFonts w:ascii="仿宋_GB2312" w:hAnsi="仿宋_GB2312" w:eastAsia="仿宋_GB2312"/>
          <w:b w:val="0"/>
          <w:sz w:val="32"/>
        </w:rPr>
        <w:t>收入支出总体与上年相比，增加1,344.87万元，增长41.16%，主要原因是：本年增加麦盖提县巴扎结米镇五小工程建设项目，麦盖提县巴扎结米镇搬迁点配套设施建设项目、麦盖提县巴扎结米镇亚胡木丹村自治区重点示范村创建项目等项目，导致收入支出总体增加。</w:t>
      </w:r>
    </w:p>
    <w:p w14:paraId="37192A26">
      <w:pPr>
        <w:spacing w:line="640" w:lineRule="exact"/>
        <w:ind w:firstLine="640"/>
        <w:jc w:val="both"/>
        <w:outlineLvl w:val="2"/>
      </w:pPr>
      <w:r>
        <w:rPr>
          <w:rFonts w:ascii="黑体" w:hAnsi="黑体" w:eastAsia="黑体"/>
          <w:sz w:val="32"/>
        </w:rPr>
        <w:t>二、收入决算情况说明</w:t>
      </w:r>
    </w:p>
    <w:p w14:paraId="7C05502B">
      <w:pPr>
        <w:spacing w:line="580" w:lineRule="exact"/>
        <w:ind w:firstLine="640"/>
        <w:jc w:val="both"/>
      </w:pPr>
      <w:r>
        <w:rPr>
          <w:rFonts w:ascii="仿宋_GB2312" w:hAnsi="仿宋_GB2312" w:eastAsia="仿宋_GB2312"/>
          <w:b/>
          <w:sz w:val="32"/>
        </w:rPr>
        <w:t>本年收入4,611.97万元，</w:t>
      </w:r>
      <w:r>
        <w:rPr>
          <w:rFonts w:ascii="仿宋_GB2312" w:hAnsi="仿宋_GB2312" w:eastAsia="仿宋_GB2312"/>
          <w:b w:val="0"/>
          <w:sz w:val="32"/>
        </w:rPr>
        <w:t>其中：财政拨款收入4,550.43万元，占98.67%；上级补助收入0.00万元，占0.00%；事业收入0.00万元，占0.00%；经营收入0.00万元，占0.00%；附属单位上缴收入0.00万元，占0.00%；其他收入61.55万元，占1.33%。</w:t>
      </w:r>
    </w:p>
    <w:p w14:paraId="3382760F">
      <w:pPr>
        <w:spacing w:line="640" w:lineRule="exact"/>
        <w:ind w:firstLine="640"/>
        <w:jc w:val="both"/>
        <w:outlineLvl w:val="2"/>
      </w:pPr>
      <w:r>
        <w:rPr>
          <w:rFonts w:ascii="黑体" w:hAnsi="黑体" w:eastAsia="黑体"/>
          <w:sz w:val="32"/>
        </w:rPr>
        <w:t>三、支出决算情况说明</w:t>
      </w:r>
    </w:p>
    <w:p w14:paraId="27603BDC">
      <w:pPr>
        <w:spacing w:line="580" w:lineRule="exact"/>
        <w:ind w:firstLine="640"/>
        <w:jc w:val="both"/>
      </w:pPr>
      <w:r>
        <w:rPr>
          <w:rFonts w:ascii="仿宋_GB2312" w:hAnsi="仿宋_GB2312" w:eastAsia="仿宋_GB2312"/>
          <w:b/>
          <w:sz w:val="32"/>
        </w:rPr>
        <w:t>本年支出4,597.56万元，</w:t>
      </w:r>
      <w:r>
        <w:rPr>
          <w:rFonts w:ascii="仿宋_GB2312" w:hAnsi="仿宋_GB2312" w:eastAsia="仿宋_GB2312"/>
          <w:b w:val="0"/>
          <w:sz w:val="32"/>
        </w:rPr>
        <w:t>其中：基本支出2,107.27万元，占45.83%；项目支出2,490.29万元，占54.17%；上缴上级支出0.00万元，占0.00%；经营支出0.00万元，占0.00%；对附属单位补助支出0.00万元，占0.00%。</w:t>
      </w:r>
    </w:p>
    <w:p w14:paraId="187D67F6">
      <w:pPr>
        <w:spacing w:line="640" w:lineRule="exact"/>
        <w:ind w:firstLine="640"/>
        <w:jc w:val="both"/>
        <w:outlineLvl w:val="2"/>
      </w:pPr>
      <w:r>
        <w:rPr>
          <w:rFonts w:ascii="黑体" w:hAnsi="黑体" w:eastAsia="黑体"/>
          <w:sz w:val="32"/>
        </w:rPr>
        <w:t>四、财政拨款收入支出决算总体情况说明</w:t>
      </w:r>
    </w:p>
    <w:p w14:paraId="069E6635">
      <w:pPr>
        <w:spacing w:line="580" w:lineRule="exact"/>
        <w:ind w:firstLine="640"/>
        <w:jc w:val="both"/>
      </w:pPr>
      <w:r>
        <w:rPr>
          <w:rFonts w:ascii="仿宋_GB2312" w:hAnsi="仿宋_GB2312" w:eastAsia="仿宋_GB2312"/>
          <w:b/>
          <w:sz w:val="32"/>
        </w:rPr>
        <w:t>2024年度财政拨款收入总计4,550.43万元，</w:t>
      </w:r>
      <w:r>
        <w:rPr>
          <w:rFonts w:ascii="仿宋_GB2312" w:hAnsi="仿宋_GB2312" w:eastAsia="仿宋_GB2312"/>
          <w:b w:val="0"/>
          <w:sz w:val="32"/>
        </w:rPr>
        <w:t>其中：年初财政拨款结转和结余0.00万元，本年财政拨款收入4,550.43万元。</w:t>
      </w:r>
      <w:r>
        <w:rPr>
          <w:rFonts w:ascii="仿宋_GB2312" w:hAnsi="仿宋_GB2312" w:eastAsia="仿宋_GB2312"/>
          <w:b/>
          <w:sz w:val="32"/>
        </w:rPr>
        <w:t>财政拨款支出总计4,550.43万元，</w:t>
      </w:r>
      <w:r>
        <w:rPr>
          <w:rFonts w:ascii="仿宋_GB2312" w:hAnsi="仿宋_GB2312" w:eastAsia="仿宋_GB2312"/>
          <w:b w:val="0"/>
          <w:sz w:val="32"/>
        </w:rPr>
        <w:t>其中：年末财政拨款结转和结余0.00万元，本年财政拨款支出4,550.43万元。</w:t>
      </w:r>
    </w:p>
    <w:p w14:paraId="2E78AAA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1,838.45万元，增长67.79%，主要原因是：本年度新增麦盖提县巴扎结米镇五小工程建设项目，麦盖提县巴扎结米镇搬迁点配套设施建设项目，麦盖提县巴扎结米镇亚胡木丹村自治区重点示范村创建项目、麦盖提县巴扎结米镇波斯喀木（4）村扶持发展新型农村集体经济等项目，导致财政拨款收入支出总</w:t>
      </w:r>
      <w:r>
        <w:rPr>
          <w:rFonts w:hint="eastAsia" w:ascii="仿宋_GB2312" w:hAnsi="仿宋_GB2312" w:eastAsia="仿宋_GB2312"/>
          <w:b w:val="0"/>
          <w:sz w:val="32"/>
          <w:lang w:eastAsia="zh-CN"/>
        </w:rPr>
        <w:t>体与</w:t>
      </w:r>
      <w:r>
        <w:rPr>
          <w:rFonts w:ascii="仿宋_GB2312" w:hAnsi="仿宋_GB2312" w:eastAsia="仿宋_GB2312"/>
          <w:b w:val="0"/>
          <w:sz w:val="32"/>
        </w:rPr>
        <w:t>上年相比增加。</w:t>
      </w:r>
      <w:r>
        <w:rPr>
          <w:rFonts w:ascii="仿宋_GB2312" w:hAnsi="仿宋_GB2312" w:eastAsia="仿宋_GB2312"/>
          <w:b/>
          <w:sz w:val="32"/>
        </w:rPr>
        <w:t>与年初预算相比，</w:t>
      </w:r>
      <w:r>
        <w:rPr>
          <w:rFonts w:ascii="仿宋_GB2312" w:hAnsi="仿宋_GB2312" w:eastAsia="仿宋_GB2312"/>
          <w:b w:val="0"/>
          <w:sz w:val="32"/>
        </w:rPr>
        <w:t>年初预算数2,131.72万元，决算数4,550.43万元，预决算差异率113.46%，主要原因是：本年度在职人员工资调薪，工资、社保、住房公积金等相关人员经费增加，年中追加人员经费；年中追加麦盖提县巴扎结米镇搬迁点配套设施建设项目、麦盖提县巴扎结米镇五小工程建设项目、导致预决算存在差异。</w:t>
      </w:r>
    </w:p>
    <w:p w14:paraId="61202C4C">
      <w:pPr>
        <w:spacing w:line="640" w:lineRule="exact"/>
        <w:ind w:firstLine="640"/>
        <w:jc w:val="both"/>
        <w:outlineLvl w:val="2"/>
      </w:pPr>
      <w:r>
        <w:rPr>
          <w:rFonts w:ascii="黑体" w:hAnsi="黑体" w:eastAsia="黑体"/>
          <w:sz w:val="32"/>
        </w:rPr>
        <w:t>五、一般公共预算财政拨款支出决算情况说明</w:t>
      </w:r>
    </w:p>
    <w:p w14:paraId="1FE03364">
      <w:pPr>
        <w:spacing w:line="640" w:lineRule="exact"/>
        <w:ind w:firstLine="640"/>
        <w:jc w:val="both"/>
        <w:outlineLvl w:val="3"/>
      </w:pPr>
      <w:r>
        <w:rPr>
          <w:rFonts w:ascii="楷体_GB2312" w:hAnsi="楷体_GB2312" w:eastAsia="楷体_GB2312"/>
          <w:b/>
          <w:sz w:val="32"/>
        </w:rPr>
        <w:t>（一）一般公共预算财政拨款支出决算总体情况</w:t>
      </w:r>
    </w:p>
    <w:p w14:paraId="0801817A">
      <w:pPr>
        <w:spacing w:line="580" w:lineRule="exact"/>
        <w:ind w:firstLine="640"/>
        <w:jc w:val="both"/>
      </w:pPr>
      <w:r>
        <w:rPr>
          <w:rFonts w:ascii="仿宋_GB2312" w:hAnsi="仿宋_GB2312" w:eastAsia="仿宋_GB2312"/>
          <w:b/>
          <w:sz w:val="32"/>
        </w:rPr>
        <w:t>2024年度一般公共预算财政拨款支出4,550.43万元，</w:t>
      </w:r>
      <w:r>
        <w:rPr>
          <w:rFonts w:ascii="仿宋_GB2312" w:hAnsi="仿宋_GB2312" w:eastAsia="仿宋_GB2312"/>
          <w:b w:val="0"/>
          <w:sz w:val="32"/>
        </w:rPr>
        <w:t>占本年支出合计的98.97%。</w:t>
      </w:r>
      <w:r>
        <w:rPr>
          <w:rFonts w:ascii="仿宋_GB2312" w:hAnsi="仿宋_GB2312" w:eastAsia="仿宋_GB2312"/>
          <w:b/>
          <w:sz w:val="32"/>
        </w:rPr>
        <w:t>与上年相比，</w:t>
      </w:r>
      <w:r>
        <w:rPr>
          <w:rFonts w:ascii="仿宋_GB2312" w:hAnsi="仿宋_GB2312" w:eastAsia="仿宋_GB2312"/>
          <w:b w:val="0"/>
          <w:sz w:val="32"/>
        </w:rPr>
        <w:t>增加1,838.45万元，增长67.79%，主要原因是：本年度新增麦盖提县巴扎结米镇五小工程建设项目，麦盖提县巴扎结米镇搬迁点配套设施建设项目，麦盖提县巴扎结米镇亚胡木丹村自治区重点示范村创建项目、麦盖提县巴扎结米镇波斯喀木（4）村扶持发展新型农村集体经济等项目，导致财政拨款收入支出总</w:t>
      </w:r>
      <w:r>
        <w:rPr>
          <w:rFonts w:hint="eastAsia" w:ascii="仿宋_GB2312" w:hAnsi="仿宋_GB2312" w:eastAsia="仿宋_GB2312"/>
          <w:b w:val="0"/>
          <w:sz w:val="32"/>
          <w:lang w:eastAsia="zh-CN"/>
        </w:rPr>
        <w:t>体与</w:t>
      </w:r>
      <w:r>
        <w:rPr>
          <w:rFonts w:ascii="仿宋_GB2312" w:hAnsi="仿宋_GB2312" w:eastAsia="仿宋_GB2312"/>
          <w:b w:val="0"/>
          <w:sz w:val="32"/>
        </w:rPr>
        <w:t>上年相比增加。</w:t>
      </w:r>
      <w:r>
        <w:rPr>
          <w:rFonts w:ascii="仿宋_GB2312" w:hAnsi="仿宋_GB2312" w:eastAsia="仿宋_GB2312"/>
          <w:b/>
          <w:sz w:val="32"/>
        </w:rPr>
        <w:t>与年初预算相比,</w:t>
      </w:r>
      <w:r>
        <w:rPr>
          <w:rFonts w:ascii="仿宋_GB2312" w:hAnsi="仿宋_GB2312" w:eastAsia="仿宋_GB2312"/>
          <w:b w:val="0"/>
          <w:sz w:val="32"/>
        </w:rPr>
        <w:t>年初预算数2,131.72万元，决算数4,550.43万元，预决算差异率113.46%，主要原因是：本年度在职人员工资调薪，工资、社保、住房公积金等相关人员经费增加，年中追加人员经费；年中追加麦盖提县巴扎结米镇搬迁点配套设施建设项目、麦盖提县巴扎结米镇五小工程建设项目、导致预决算存在差异。</w:t>
      </w:r>
    </w:p>
    <w:p w14:paraId="76455371">
      <w:pPr>
        <w:spacing w:line="640" w:lineRule="exact"/>
        <w:ind w:firstLine="640"/>
        <w:jc w:val="both"/>
        <w:outlineLvl w:val="3"/>
      </w:pPr>
      <w:r>
        <w:rPr>
          <w:rFonts w:ascii="楷体_GB2312" w:hAnsi="楷体_GB2312" w:eastAsia="楷体_GB2312"/>
          <w:b/>
          <w:sz w:val="32"/>
        </w:rPr>
        <w:t>（二）一般公共预算财政拨款支出决算结构情况</w:t>
      </w:r>
    </w:p>
    <w:p w14:paraId="2439AB9F">
      <w:pPr>
        <w:spacing w:line="580" w:lineRule="exact"/>
        <w:ind w:firstLine="640"/>
        <w:jc w:val="both"/>
      </w:pPr>
      <w:r>
        <w:rPr>
          <w:rFonts w:ascii="仿宋_GB2312" w:hAnsi="仿宋_GB2312" w:eastAsia="仿宋_GB2312"/>
          <w:b w:val="0"/>
          <w:sz w:val="32"/>
        </w:rPr>
        <w:t>1.一般公共服务支出(类)1,776.94万元,占39.05%。</w:t>
      </w:r>
    </w:p>
    <w:p w14:paraId="2DEE8A9F">
      <w:pPr>
        <w:spacing w:line="580" w:lineRule="exact"/>
        <w:ind w:firstLine="640"/>
        <w:jc w:val="both"/>
      </w:pPr>
      <w:r>
        <w:rPr>
          <w:rFonts w:ascii="仿宋_GB2312" w:hAnsi="仿宋_GB2312" w:eastAsia="仿宋_GB2312"/>
          <w:b w:val="0"/>
          <w:sz w:val="32"/>
        </w:rPr>
        <w:t>2.文化旅游体育与传媒支出(类)92.32万元,占2.03%。</w:t>
      </w:r>
    </w:p>
    <w:p w14:paraId="3A3F6D19">
      <w:pPr>
        <w:spacing w:line="580" w:lineRule="exact"/>
        <w:ind w:firstLine="640"/>
        <w:jc w:val="both"/>
      </w:pPr>
      <w:r>
        <w:rPr>
          <w:rFonts w:ascii="仿宋_GB2312" w:hAnsi="仿宋_GB2312" w:eastAsia="仿宋_GB2312"/>
          <w:b w:val="0"/>
          <w:sz w:val="32"/>
        </w:rPr>
        <w:t>3.社会保障和就业支出(类)240.88万元,占5.29%。</w:t>
      </w:r>
    </w:p>
    <w:p w14:paraId="55EA3FBA">
      <w:pPr>
        <w:spacing w:line="580" w:lineRule="exact"/>
        <w:ind w:firstLine="640"/>
        <w:jc w:val="both"/>
      </w:pPr>
      <w:r>
        <w:rPr>
          <w:rFonts w:ascii="仿宋_GB2312" w:hAnsi="仿宋_GB2312" w:eastAsia="仿宋_GB2312"/>
          <w:b w:val="0"/>
          <w:sz w:val="32"/>
        </w:rPr>
        <w:t>4.卫生健康支出(类)97.67万元,占2.15%。</w:t>
      </w:r>
    </w:p>
    <w:p w14:paraId="6BE729FD">
      <w:pPr>
        <w:spacing w:line="580" w:lineRule="exact"/>
        <w:ind w:firstLine="640"/>
        <w:jc w:val="both"/>
      </w:pPr>
      <w:r>
        <w:rPr>
          <w:rFonts w:ascii="仿宋_GB2312" w:hAnsi="仿宋_GB2312" w:eastAsia="仿宋_GB2312"/>
          <w:b w:val="0"/>
          <w:sz w:val="32"/>
        </w:rPr>
        <w:t>5.节能环保支出(类)3.19万元,占0.07%。</w:t>
      </w:r>
    </w:p>
    <w:p w14:paraId="6CC16EEE">
      <w:pPr>
        <w:spacing w:line="580" w:lineRule="exact"/>
        <w:ind w:firstLine="640"/>
        <w:jc w:val="both"/>
      </w:pPr>
      <w:r>
        <w:rPr>
          <w:rFonts w:ascii="仿宋_GB2312" w:hAnsi="仿宋_GB2312" w:eastAsia="仿宋_GB2312"/>
          <w:b w:val="0"/>
          <w:sz w:val="32"/>
        </w:rPr>
        <w:t>6.城乡社区支出(类)156.00万元,占3.43%。</w:t>
      </w:r>
    </w:p>
    <w:p w14:paraId="5E655267">
      <w:pPr>
        <w:spacing w:line="580" w:lineRule="exact"/>
        <w:ind w:firstLine="640"/>
        <w:jc w:val="both"/>
      </w:pPr>
      <w:r>
        <w:rPr>
          <w:rFonts w:ascii="仿宋_GB2312" w:hAnsi="仿宋_GB2312" w:eastAsia="仿宋_GB2312"/>
          <w:b w:val="0"/>
          <w:sz w:val="32"/>
        </w:rPr>
        <w:t>7.农林水支出(类)1,999.44万元,占43.94%。</w:t>
      </w:r>
    </w:p>
    <w:p w14:paraId="134EF499">
      <w:pPr>
        <w:spacing w:line="580" w:lineRule="exact"/>
        <w:ind w:firstLine="640"/>
        <w:jc w:val="both"/>
      </w:pPr>
      <w:r>
        <w:rPr>
          <w:rFonts w:ascii="仿宋_GB2312" w:hAnsi="仿宋_GB2312" w:eastAsia="仿宋_GB2312"/>
          <w:b w:val="0"/>
          <w:sz w:val="32"/>
        </w:rPr>
        <w:t>8.住房保障支出(类)154.92万元,占3.40%。</w:t>
      </w:r>
    </w:p>
    <w:p w14:paraId="1C18811D">
      <w:pPr>
        <w:spacing w:line="580" w:lineRule="exact"/>
        <w:ind w:firstLine="640"/>
        <w:jc w:val="both"/>
      </w:pPr>
      <w:r>
        <w:rPr>
          <w:rFonts w:ascii="仿宋_GB2312" w:hAnsi="仿宋_GB2312" w:eastAsia="仿宋_GB2312"/>
          <w:b w:val="0"/>
          <w:sz w:val="32"/>
        </w:rPr>
        <w:t>9.其他支出(类)29.07万元,占0.64%。</w:t>
      </w:r>
    </w:p>
    <w:p w14:paraId="2D5DD1AC">
      <w:pPr>
        <w:spacing w:line="640" w:lineRule="exact"/>
        <w:ind w:firstLine="640"/>
        <w:jc w:val="both"/>
        <w:outlineLvl w:val="3"/>
      </w:pPr>
      <w:r>
        <w:rPr>
          <w:rFonts w:ascii="楷体_GB2312" w:hAnsi="楷体_GB2312" w:eastAsia="楷体_GB2312"/>
          <w:b/>
          <w:sz w:val="32"/>
        </w:rPr>
        <w:t>（三）一般公共预算财政拨款支出决算具体情况</w:t>
      </w:r>
    </w:p>
    <w:p w14:paraId="127051FC">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1.一般公共服务支出(类)政府办公厅（室）及相关机构事务(款)行政运行(项):支出决算数为1,624.44万元，比上年决算减少5.26万元，下降0.32%,主要原因是：本年在职人员减少，相应人员经费较上年减少。</w:t>
      </w:r>
    </w:p>
    <w:p w14:paraId="676E5DD3">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增加2024年中央政法纪检监察转移支付资金项目，导致相关经费增加。</w:t>
      </w:r>
    </w:p>
    <w:p w14:paraId="14435891">
      <w:pPr>
        <w:spacing w:line="580" w:lineRule="exact"/>
        <w:ind w:firstLine="640"/>
        <w:jc w:val="both"/>
      </w:pPr>
      <w:r>
        <w:rPr>
          <w:rFonts w:ascii="仿宋_GB2312" w:hAnsi="仿宋_GB2312" w:eastAsia="仿宋_GB2312"/>
          <w:b w:val="0"/>
          <w:sz w:val="32"/>
        </w:rPr>
        <w:t>3.一般公共服务支出(类)组织事务(款)其他组织事务支出(项):支出决算数为150.50万元，比上年决算增加81.50万元，增长118.12%,主要原因是：本年度增加驻村工作为民办实事经费和2024年村级组织运转经费，导致相关经费增加。</w:t>
      </w:r>
    </w:p>
    <w:p w14:paraId="1BE9A779">
      <w:pPr>
        <w:spacing w:line="580" w:lineRule="exact"/>
        <w:ind w:firstLine="640"/>
        <w:jc w:val="both"/>
      </w:pPr>
      <w:r>
        <w:rPr>
          <w:rFonts w:ascii="仿宋_GB2312" w:hAnsi="仿宋_GB2312" w:eastAsia="仿宋_GB2312"/>
          <w:b w:val="0"/>
          <w:sz w:val="32"/>
        </w:rPr>
        <w:t>4.公共安全支出(类)其他公共安全支出(款)其他公共安全支出(项):支出决算数为0.00万元，比上年决算减少1.55万元，下降100.00%,主要原因是：本年减少专项业务经费，导致经费较上年减少。</w:t>
      </w:r>
    </w:p>
    <w:p w14:paraId="06F6E2EE">
      <w:pPr>
        <w:spacing w:line="580" w:lineRule="exact"/>
        <w:ind w:firstLine="640"/>
        <w:jc w:val="both"/>
      </w:pPr>
      <w:r>
        <w:rPr>
          <w:rFonts w:ascii="仿宋_GB2312" w:hAnsi="仿宋_GB2312" w:eastAsia="仿宋_GB2312"/>
          <w:b w:val="0"/>
          <w:sz w:val="32"/>
        </w:rPr>
        <w:t>5.文化旅游体育与传媒支出(类)文化和旅游(款)群众文化(项):支出决算数为72.32万元，比上年决算增加72.32万元，增长100.00%,主要原因是：本年科目调整，2023中央补助地方公共服务体系建设补助资金项目经费上年在其他文化旅游体育与传媒支出科目列支，本年在群众文化科目列支、本年增加2024年第二批中央补助地方公共服务体系建设补助资金项目（12）村等项目，导致经费较上年增加。</w:t>
      </w:r>
    </w:p>
    <w:p w14:paraId="59E5F35C">
      <w:pPr>
        <w:spacing w:line="580" w:lineRule="exact"/>
        <w:ind w:firstLine="640"/>
        <w:jc w:val="both"/>
      </w:pPr>
      <w:r>
        <w:rPr>
          <w:rFonts w:ascii="仿宋_GB2312" w:hAnsi="仿宋_GB2312" w:eastAsia="仿宋_GB2312"/>
          <w:b w:val="0"/>
          <w:sz w:val="32"/>
        </w:rPr>
        <w:t>6.文化旅游体育与传媒支出(类)其他文化旅游体育与传媒支出(款)其他文化旅游体育与传媒支出(项):支出决算数为20.00万元，比上年决算减少100.00万元，下降83.33%,主要原因是：本年科目调整，2023中央补助地方公共服务体系建设补助资金项目经费上年在其他文化旅游体育与传媒支出科目列支，本年在群众文化科目列支，导致经费较上年减少。</w:t>
      </w:r>
    </w:p>
    <w:p w14:paraId="60011BC4">
      <w:pPr>
        <w:spacing w:line="580" w:lineRule="exact"/>
        <w:ind w:firstLine="640"/>
        <w:jc w:val="both"/>
      </w:pPr>
      <w:r>
        <w:rPr>
          <w:rFonts w:ascii="仿宋_GB2312" w:hAnsi="仿宋_GB2312" w:eastAsia="仿宋_GB2312"/>
          <w:b w:val="0"/>
          <w:sz w:val="32"/>
        </w:rPr>
        <w:t>7.社会保障和就业支出(类)民政管理事务(款)其他民政管理事务支出(项):支出决算数为5.00万元，比上年决算减少3.00万元，下降37.50%,主要原因是：本年减少2024年农村幸福大院运转补助项目经费，导致相关经费减少。</w:t>
      </w:r>
    </w:p>
    <w:p w14:paraId="62AB542B">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8.社会保障和就业支出(类)行政事业单位养老支出(款)行政单位离退休(项):支出决算数为25.36万元，比上年决算增加6.91万元，增长37.45%,主要原因是：本年增加退休人员基础绩效奖，退休费支出增加。</w:t>
      </w:r>
    </w:p>
    <w:p w14:paraId="6AE3B3B0">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191.19万元，比上年决算增加7.35万元，增长4.00%,主要原因是：本年在职人员工资基数调增，养老缴费基数上涨，相应支出增加。</w:t>
      </w:r>
    </w:p>
    <w:p w14:paraId="4709BBEF">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9.33万元，比上年决算增加3.16万元，增长51.22%,主要原因是：本年新增调出外县人员较上年增加，职业年金缴费支出增加。</w:t>
      </w:r>
    </w:p>
    <w:p w14:paraId="39959E16">
      <w:pPr>
        <w:spacing w:line="580" w:lineRule="exact"/>
        <w:ind w:firstLine="640"/>
        <w:jc w:val="both"/>
      </w:pPr>
      <w:r>
        <w:rPr>
          <w:rFonts w:ascii="仿宋_GB2312" w:hAnsi="仿宋_GB2312" w:eastAsia="仿宋_GB2312"/>
          <w:b w:val="0"/>
          <w:sz w:val="32"/>
        </w:rPr>
        <w:t>11.社会保障和就业支出(类)临时救助(款)临时救助支出(项):支出决算数为10.00万元，比上年决算减少55.00万元，下降84.62%,主要原因是：本年度临时救助项目比去年减少。</w:t>
      </w:r>
    </w:p>
    <w:p w14:paraId="79FC1B81">
      <w:pPr>
        <w:spacing w:line="580" w:lineRule="exact"/>
        <w:ind w:firstLine="640"/>
        <w:jc w:val="both"/>
      </w:pPr>
      <w:r>
        <w:rPr>
          <w:rFonts w:ascii="仿宋_GB2312" w:hAnsi="仿宋_GB2312" w:eastAsia="仿宋_GB2312"/>
          <w:b w:val="0"/>
          <w:sz w:val="32"/>
        </w:rPr>
        <w:t>12.卫生健康支出(类)行政事业单位医疗(款)行政单位医疗(项):支出决算数为81.25万元，比上年决算增加3.33万元，增长4.27%,主要原因是：本年在职人员工资基数调增，医疗缴费基数上涨，相应支出增加。</w:t>
      </w:r>
    </w:p>
    <w:p w14:paraId="229A53BD">
      <w:pPr>
        <w:spacing w:line="580" w:lineRule="exact"/>
        <w:ind w:firstLine="640"/>
        <w:jc w:val="both"/>
      </w:pPr>
      <w:r>
        <w:rPr>
          <w:rFonts w:ascii="仿宋_GB2312" w:hAnsi="仿宋_GB2312" w:eastAsia="仿宋_GB2312"/>
          <w:b w:val="0"/>
          <w:sz w:val="32"/>
        </w:rPr>
        <w:t>13.卫生健康支出(类)行政事业单位医疗(款)公务员医疗补助(项):支出决算数为16.41万元，比上年决算增加0.72万元，增长4.59%,主要原因是：本年在职人员工资基数调增，医疗缴费基数上涨，相应支出增加。</w:t>
      </w:r>
    </w:p>
    <w:p w14:paraId="47818355">
      <w:pPr>
        <w:spacing w:line="580" w:lineRule="exact"/>
        <w:ind w:firstLine="640"/>
        <w:jc w:val="both"/>
      </w:pPr>
      <w:r>
        <w:rPr>
          <w:rFonts w:ascii="仿宋_GB2312" w:hAnsi="仿宋_GB2312" w:eastAsia="仿宋_GB2312"/>
          <w:b w:val="0"/>
          <w:sz w:val="32"/>
        </w:rPr>
        <w:t>14.节能环保支出(类)能源管理事务(款)能源行业管理(项):支出决算数为3.19万元，比上年决算增加3.19万元，增长100.00%,主要原因是：本年增加2021年“煤改电”项目前期费用项目，导致相关经费增加。</w:t>
      </w:r>
    </w:p>
    <w:p w14:paraId="36C33F38">
      <w:pPr>
        <w:spacing w:line="580" w:lineRule="exact"/>
        <w:ind w:firstLine="640"/>
        <w:jc w:val="both"/>
      </w:pPr>
      <w:r>
        <w:rPr>
          <w:rFonts w:ascii="仿宋_GB2312" w:hAnsi="仿宋_GB2312" w:eastAsia="仿宋_GB2312"/>
          <w:b w:val="0"/>
          <w:sz w:val="32"/>
        </w:rPr>
        <w:t>15.城乡社区支出(类)城乡社区公共设施(款)其他城乡社区公共设施支出(项):支出决算数为156.00万元，比上年决算增加156.00万元，增长100.00%,主要原因是：本年度新增麦盖提县巴扎结米镇五小工程建设项目，导致相关经费增加。</w:t>
      </w:r>
    </w:p>
    <w:p w14:paraId="0B2E8927">
      <w:pPr>
        <w:spacing w:line="580" w:lineRule="exact"/>
        <w:ind w:firstLine="640"/>
        <w:jc w:val="both"/>
      </w:pPr>
      <w:r>
        <w:rPr>
          <w:rFonts w:ascii="仿宋_GB2312" w:hAnsi="仿宋_GB2312" w:eastAsia="仿宋_GB2312"/>
          <w:b w:val="0"/>
          <w:sz w:val="32"/>
        </w:rPr>
        <w:t>16.农林水支出(类)林业和草原(款)其他林业和草原支出(项):支出决算数为0.00万元，比上年决算减少6.00万元，下降100.00%,主要原因是：本年度减少库台克勒克村文化广场项目资金，导致相关经费减少。</w:t>
      </w:r>
    </w:p>
    <w:p w14:paraId="23C7DE57">
      <w:pPr>
        <w:spacing w:line="580" w:lineRule="exact"/>
        <w:ind w:firstLine="640"/>
        <w:jc w:val="both"/>
      </w:pPr>
      <w:r>
        <w:rPr>
          <w:rFonts w:ascii="仿宋_GB2312" w:hAnsi="仿宋_GB2312" w:eastAsia="仿宋_GB2312"/>
          <w:b w:val="0"/>
          <w:sz w:val="32"/>
        </w:rPr>
        <w:t>17.农林水支出(类)巩固脱贫攻坚成果衔接乡村振兴(款)农村基础设施建设(项):支出决算数为1,658.29万元，比上年决算增加1,658.29万元，增长100.00%,主要原因是：本年度增加麦盖提县巴扎结米镇搬迁点配套设施建设项目、麦盖提县巴扎结米镇亚胡木丹村自治区重点示范村创建等项目，导致相关经费增加。</w:t>
      </w:r>
    </w:p>
    <w:p w14:paraId="2DE87B19">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121.12万元，比上年决算增加121.12万元，增长100.00%,主要原因是：本年度增加巴扎结米镇产业（林果业）扶持以奖代补、麦盖提县巴扎结米镇波斯卡木（4）村扶持发展新型农村集体经济等项目，导致相关经费增加。</w:t>
      </w:r>
    </w:p>
    <w:p w14:paraId="503B00BA">
      <w:pPr>
        <w:spacing w:line="580" w:lineRule="exact"/>
        <w:ind w:firstLine="640"/>
        <w:jc w:val="both"/>
      </w:pPr>
      <w:r>
        <w:rPr>
          <w:rFonts w:ascii="仿宋_GB2312" w:hAnsi="仿宋_GB2312" w:eastAsia="仿宋_GB2312"/>
          <w:b w:val="0"/>
          <w:sz w:val="32"/>
        </w:rPr>
        <w:t>19.农林水支出(类)农村综合改革(款)对村级公益事业建设的补助(项):支出决算数为150.00万元，比上年决算增加146.86万元，增长4,677.07%,主要原因是：本年新增农村综合改革转移支付（农村事业财政奖补）项目、中央农村综合改革转移支付资金项目（贝勒克其村）、中央农村综合改革转移支付资金项目（苏帕墩村）等项目，导致相关经费增加。</w:t>
      </w:r>
    </w:p>
    <w:p w14:paraId="2BA75E65">
      <w:pPr>
        <w:spacing w:line="580" w:lineRule="exact"/>
        <w:ind w:firstLine="640"/>
        <w:jc w:val="both"/>
      </w:pPr>
      <w:r>
        <w:rPr>
          <w:rFonts w:ascii="仿宋_GB2312" w:hAnsi="仿宋_GB2312" w:eastAsia="仿宋_GB2312"/>
          <w:b w:val="0"/>
          <w:sz w:val="32"/>
        </w:rPr>
        <w:t>20.农林水支出(类)其他农林水支出(款)其他农林水支出(项):支出决算数为70.03万元，比上年决算增加70.03万元，增长100.00%,主要原因是：本年度新增麦盖提县2024年美丽庭院建设项目，导致相关经费增加。</w:t>
      </w:r>
    </w:p>
    <w:p w14:paraId="4B3174BB">
      <w:pPr>
        <w:spacing w:line="580" w:lineRule="exact"/>
        <w:ind w:firstLine="640"/>
        <w:jc w:val="both"/>
      </w:pPr>
      <w:r>
        <w:rPr>
          <w:rFonts w:ascii="仿宋_GB2312" w:hAnsi="仿宋_GB2312" w:eastAsia="仿宋_GB2312"/>
          <w:b w:val="0"/>
          <w:sz w:val="32"/>
        </w:rPr>
        <w:t>21.住房保障支出(类)住房改革支出(款)住房公积金(项):支出决算数为154.92万元，比上年决算增加22.26万元，增长16.78%,主要原因是：本年在职人员工资基数调增，公积金缴费基数上涨，相应支出增加。</w:t>
      </w:r>
    </w:p>
    <w:p w14:paraId="447009C3">
      <w:pPr>
        <w:spacing w:line="580" w:lineRule="exact"/>
        <w:ind w:firstLine="640"/>
        <w:jc w:val="both"/>
      </w:pPr>
      <w:r>
        <w:rPr>
          <w:rFonts w:ascii="仿宋_GB2312" w:hAnsi="仿宋_GB2312" w:eastAsia="仿宋_GB2312"/>
          <w:b w:val="0"/>
          <w:sz w:val="32"/>
        </w:rPr>
        <w:t>22.其他支出(类)其他支出(款)其他支出(项):支出决算数为29.07万元，比上年决算减少344.28万元，下降92.21%,主要原因是：本年度减少巴扎结米镇2023年村级组织活动场所建设项目、2023年乡镇干部周转宿舍建设项目，2023年自治区人大活动经费等项目，导致相关经费减少。</w:t>
      </w:r>
    </w:p>
    <w:p w14:paraId="67A8BB07">
      <w:pPr>
        <w:spacing w:line="640" w:lineRule="exact"/>
        <w:ind w:firstLine="640"/>
        <w:jc w:val="both"/>
        <w:outlineLvl w:val="2"/>
      </w:pPr>
      <w:r>
        <w:rPr>
          <w:rFonts w:ascii="黑体" w:hAnsi="黑体" w:eastAsia="黑体"/>
          <w:sz w:val="32"/>
        </w:rPr>
        <w:t>六、一般公共预算财政拨款基本支出决算情况说明</w:t>
      </w:r>
    </w:p>
    <w:p w14:paraId="2ACF5CF6">
      <w:pPr>
        <w:spacing w:line="580" w:lineRule="exact"/>
        <w:ind w:firstLine="640"/>
        <w:jc w:val="both"/>
      </w:pPr>
      <w:r>
        <w:rPr>
          <w:rFonts w:ascii="仿宋_GB2312" w:hAnsi="仿宋_GB2312" w:eastAsia="仿宋_GB2312"/>
          <w:b w:val="0"/>
          <w:sz w:val="32"/>
        </w:rPr>
        <w:t>2024年度一般公共预算财政拨款基本支出2,102.90万元，其中：</w:t>
      </w:r>
      <w:r>
        <w:rPr>
          <w:rFonts w:ascii="仿宋_GB2312" w:hAnsi="仿宋_GB2312" w:eastAsia="仿宋_GB2312"/>
          <w:b/>
          <w:sz w:val="32"/>
        </w:rPr>
        <w:t>人员经费1,980.51万元，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7A0EF471">
      <w:pPr>
        <w:spacing w:line="580" w:lineRule="exact"/>
        <w:ind w:firstLine="640"/>
        <w:jc w:val="both"/>
      </w:pPr>
      <w:r>
        <w:rPr>
          <w:rFonts w:ascii="仿宋_GB2312" w:hAnsi="仿宋_GB2312" w:eastAsia="仿宋_GB2312"/>
          <w:b/>
          <w:sz w:val="32"/>
        </w:rPr>
        <w:t>公用经费122.39万元，</w:t>
      </w:r>
      <w:r>
        <w:rPr>
          <w:rFonts w:ascii="仿宋_GB2312" w:hAnsi="仿宋_GB2312" w:eastAsia="仿宋_GB2312"/>
          <w:b w:val="0"/>
          <w:sz w:val="32"/>
        </w:rPr>
        <w:t>包括：办公费、水费、电费、邮电费、取暖费、差旅费、维修（护）费、劳务费、公务用车运行维护费、其他商品和服务支出。</w:t>
      </w:r>
    </w:p>
    <w:p w14:paraId="24AEF62E">
      <w:pPr>
        <w:spacing w:line="640" w:lineRule="exact"/>
        <w:ind w:firstLine="640"/>
        <w:jc w:val="both"/>
        <w:outlineLvl w:val="2"/>
      </w:pPr>
      <w:r>
        <w:rPr>
          <w:rFonts w:ascii="黑体" w:hAnsi="黑体" w:eastAsia="黑体"/>
          <w:sz w:val="32"/>
        </w:rPr>
        <w:t>七、政府性基金预算财政拨款收入支出决算情况说明</w:t>
      </w:r>
    </w:p>
    <w:p w14:paraId="1386647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9652317">
      <w:pPr>
        <w:spacing w:line="640" w:lineRule="exact"/>
        <w:ind w:firstLine="640"/>
        <w:jc w:val="both"/>
        <w:outlineLvl w:val="2"/>
      </w:pPr>
      <w:r>
        <w:rPr>
          <w:rFonts w:ascii="黑体" w:hAnsi="黑体" w:eastAsia="黑体"/>
          <w:sz w:val="32"/>
        </w:rPr>
        <w:t>八、国有资本经营预算财政拨款收入支出决算情况说明</w:t>
      </w:r>
    </w:p>
    <w:p w14:paraId="4530945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8D30365">
      <w:pPr>
        <w:spacing w:line="640" w:lineRule="exact"/>
        <w:ind w:firstLine="640"/>
        <w:jc w:val="both"/>
        <w:outlineLvl w:val="2"/>
      </w:pPr>
      <w:r>
        <w:rPr>
          <w:rFonts w:ascii="黑体" w:hAnsi="黑体" w:eastAsia="黑体"/>
          <w:sz w:val="32"/>
        </w:rPr>
        <w:t>九、财政拨款“三公”经费支出决算情况说明</w:t>
      </w:r>
    </w:p>
    <w:p w14:paraId="153721F3">
      <w:pPr>
        <w:spacing w:line="580" w:lineRule="exact"/>
        <w:ind w:firstLine="640"/>
        <w:jc w:val="both"/>
      </w:pPr>
      <w:r>
        <w:rPr>
          <w:rFonts w:ascii="仿宋_GB2312" w:hAnsi="仿宋_GB2312" w:eastAsia="仿宋_GB2312"/>
          <w:b/>
          <w:sz w:val="32"/>
        </w:rPr>
        <w:t>2024年度财政拨款“三公”经费支出8.75万元，</w:t>
      </w:r>
      <w:r>
        <w:rPr>
          <w:rFonts w:ascii="仿宋_GB2312" w:hAnsi="仿宋_GB2312" w:eastAsia="仿宋_GB2312"/>
          <w:b w:val="0"/>
          <w:sz w:val="32"/>
        </w:rPr>
        <w:t>比上年减少8.41万元，下降49.01%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8.75万元，占100.00%，比上年减少8.41万元，下降49.01%，主要原因是：严格落实中央八项规定精神，厉行节约，减少公务用车运行维护费。公务接待费支出0.00万元，占0.00%，比上年增加0.00万元，增长0.00%，主要原因是：2023年与2024年均未安排公务接待费支出。</w:t>
      </w:r>
    </w:p>
    <w:p w14:paraId="30A94B3E">
      <w:pPr>
        <w:spacing w:line="580" w:lineRule="exact"/>
        <w:ind w:firstLine="640"/>
        <w:jc w:val="both"/>
      </w:pPr>
      <w:r>
        <w:rPr>
          <w:rFonts w:ascii="仿宋_GB2312" w:hAnsi="仿宋_GB2312" w:eastAsia="仿宋_GB2312"/>
          <w:b/>
          <w:sz w:val="32"/>
        </w:rPr>
        <w:t>具体情况如下：</w:t>
      </w:r>
    </w:p>
    <w:p w14:paraId="17D4013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6BC26F6">
      <w:pPr>
        <w:spacing w:line="580" w:lineRule="exact"/>
        <w:ind w:firstLine="640"/>
        <w:jc w:val="both"/>
      </w:pPr>
      <w:r>
        <w:rPr>
          <w:rFonts w:ascii="仿宋_GB2312" w:hAnsi="仿宋_GB2312" w:eastAsia="仿宋_GB2312"/>
          <w:b w:val="0"/>
          <w:sz w:val="32"/>
        </w:rPr>
        <w:t>公务用车购置及运行维护费8.75万元，其中：公务用车购置费0.00万元，公务用车运行维护费8.75万元。公务用车运行维护费开支内容包括车辆燃油费、保险费、维修维护费。公务用车购置数0辆，公务用车保有量15辆。国有资产占用情况中固定资产车辆15辆，与公务用车保有量差异原因是：本单位固定资产车辆与公务用车保有量一致无差异。</w:t>
      </w:r>
    </w:p>
    <w:p w14:paraId="1FE9E7B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713BE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8.75万元，决算数8.75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8.75万元，决算数8.75万元，预决算差异率0.00%，主要原因是：严格按照预算执行，预决算无差异。公务接待费全年预算数0.00万元，决算数0.00万元，预决算差异率0.00%，主要原因是：本单位无公务接待费。</w:t>
      </w:r>
    </w:p>
    <w:p w14:paraId="4A2FE8B3">
      <w:pPr>
        <w:spacing w:line="640" w:lineRule="exact"/>
        <w:ind w:firstLine="640"/>
        <w:jc w:val="both"/>
        <w:outlineLvl w:val="2"/>
      </w:pPr>
      <w:r>
        <w:rPr>
          <w:rFonts w:ascii="黑体" w:hAnsi="黑体" w:eastAsia="黑体"/>
          <w:sz w:val="32"/>
        </w:rPr>
        <w:t>十、其他重要事项的情况说明</w:t>
      </w:r>
    </w:p>
    <w:p w14:paraId="3417B137">
      <w:pPr>
        <w:spacing w:line="640" w:lineRule="exact"/>
        <w:ind w:firstLine="640"/>
        <w:jc w:val="both"/>
        <w:outlineLvl w:val="3"/>
      </w:pPr>
      <w:r>
        <w:rPr>
          <w:rFonts w:ascii="楷体_GB2312" w:hAnsi="楷体_GB2312" w:eastAsia="楷体_GB2312"/>
          <w:b/>
          <w:sz w:val="32"/>
        </w:rPr>
        <w:t>（一）机关运行经费及公用经费支出情况</w:t>
      </w:r>
    </w:p>
    <w:p w14:paraId="1E3334E1">
      <w:pPr>
        <w:spacing w:line="580" w:lineRule="exact"/>
        <w:ind w:firstLine="640"/>
        <w:jc w:val="both"/>
        <w:rPr>
          <w:rFonts w:hint="eastAsia" w:eastAsia="仿宋_GB2312"/>
          <w:lang w:val="en-US" w:eastAsia="zh-CN"/>
        </w:rPr>
      </w:pPr>
      <w:r>
        <w:rPr>
          <w:rFonts w:ascii="仿宋_GB2312" w:hAnsi="仿宋_GB2312" w:eastAsia="仿宋_GB2312"/>
          <w:b w:val="0"/>
          <w:sz w:val="32"/>
        </w:rPr>
        <w:t>2024年度麦盖提县巴扎结米镇人民政府（行政单位和参照公务员法管理事业单位）机关运行经费支出122.39万元，比上年减少25.98万元，下降17.51%，主要原因是：严控经费支出，</w:t>
      </w:r>
      <w:r>
        <w:rPr>
          <w:rFonts w:hint="eastAsia" w:ascii="仿宋_GB2312" w:hAnsi="仿宋_GB2312" w:eastAsia="仿宋_GB2312"/>
          <w:b w:val="0"/>
          <w:sz w:val="32"/>
          <w:lang w:val="en-US" w:eastAsia="zh-CN"/>
        </w:rPr>
        <w:t>本年取暖费、维修（护）费较上年减少</w:t>
      </w:r>
      <w:r>
        <w:rPr>
          <w:rFonts w:ascii="仿宋_GB2312" w:hAnsi="仿宋_GB2312" w:eastAsia="仿宋_GB2312"/>
          <w:b w:val="0"/>
          <w:sz w:val="32"/>
        </w:rPr>
        <w:t>。</w:t>
      </w:r>
    </w:p>
    <w:p w14:paraId="7BC3C458">
      <w:pPr>
        <w:spacing w:line="640" w:lineRule="exact"/>
        <w:ind w:firstLine="640"/>
        <w:jc w:val="both"/>
        <w:outlineLvl w:val="3"/>
      </w:pPr>
      <w:r>
        <w:rPr>
          <w:rFonts w:ascii="楷体_GB2312" w:hAnsi="楷体_GB2312" w:eastAsia="楷体_GB2312"/>
          <w:b/>
          <w:sz w:val="32"/>
        </w:rPr>
        <w:t>（二）政府采购情况</w:t>
      </w:r>
    </w:p>
    <w:p w14:paraId="4E1295FF">
      <w:pPr>
        <w:spacing w:line="580" w:lineRule="exact"/>
        <w:ind w:firstLine="640"/>
        <w:jc w:val="both"/>
      </w:pPr>
      <w:r>
        <w:rPr>
          <w:rFonts w:ascii="仿宋_GB2312" w:hAnsi="仿宋_GB2312" w:eastAsia="仿宋_GB2312"/>
          <w:b w:val="0"/>
          <w:sz w:val="32"/>
        </w:rPr>
        <w:t>2024年度政府采购支出总额16.44万元，其中：政府采购货物支出10.51万元、政府采购工程支出2.94万元、政府采购服务支出2.98万元。</w:t>
      </w:r>
    </w:p>
    <w:p w14:paraId="04A268E0">
      <w:pPr>
        <w:spacing w:line="580" w:lineRule="exact"/>
        <w:ind w:firstLine="640"/>
        <w:jc w:val="both"/>
      </w:pPr>
      <w:r>
        <w:rPr>
          <w:rFonts w:ascii="仿宋_GB2312" w:hAnsi="仿宋_GB2312" w:eastAsia="仿宋_GB2312"/>
          <w:b w:val="0"/>
          <w:sz w:val="32"/>
        </w:rPr>
        <w:t>授予中小企业合同金额15.25万元，占政府采购支出总额的92.76%，其中：授予小微企业合同金额15.25万元，占政府采购支出总额的92.76%。</w:t>
      </w:r>
    </w:p>
    <w:p w14:paraId="2B742649">
      <w:pPr>
        <w:spacing w:line="640" w:lineRule="exact"/>
        <w:ind w:firstLine="640"/>
        <w:jc w:val="both"/>
        <w:outlineLvl w:val="3"/>
      </w:pPr>
      <w:r>
        <w:rPr>
          <w:rFonts w:ascii="楷体_GB2312" w:hAnsi="楷体_GB2312" w:eastAsia="楷体_GB2312"/>
          <w:b/>
          <w:sz w:val="32"/>
        </w:rPr>
        <w:t>（三）国有资产占用情况说明</w:t>
      </w:r>
    </w:p>
    <w:p w14:paraId="4247045E">
      <w:pPr>
        <w:spacing w:line="580" w:lineRule="exact"/>
        <w:ind w:firstLine="640"/>
        <w:jc w:val="both"/>
      </w:pPr>
      <w:r>
        <w:rPr>
          <w:rFonts w:ascii="仿宋_GB2312" w:hAnsi="仿宋_GB2312" w:eastAsia="仿宋_GB2312"/>
          <w:b w:val="0"/>
          <w:sz w:val="32"/>
        </w:rPr>
        <w:t>截至2024年12月31日，房屋7,128.32平方米，价值1,554.04万元。车辆15辆，价值74.86万元，其中：副部（省）级及以上领导用车0辆、主要负责人用车0辆、机要通信用车0辆、应急保障用车0辆、执法执勤用车0辆、特种专业技术用车0辆、离退休干部服务用车0辆、其他用车15辆，其他用车主要是：一般公务用车。单价100万元（含）以上设备（不含车辆）0台（套）。</w:t>
      </w:r>
    </w:p>
    <w:p w14:paraId="497A893B">
      <w:pPr>
        <w:spacing w:line="640" w:lineRule="exact"/>
        <w:ind w:firstLine="640"/>
        <w:jc w:val="both"/>
        <w:outlineLvl w:val="2"/>
      </w:pPr>
      <w:r>
        <w:rPr>
          <w:rFonts w:ascii="黑体" w:hAnsi="黑体" w:eastAsia="黑体"/>
          <w:sz w:val="32"/>
        </w:rPr>
        <w:t>十一、预算绩效的情况说明</w:t>
      </w:r>
    </w:p>
    <w:p w14:paraId="739FDD4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4,620.55万元，实际执行总额4,597.57万元；预算绩效评价项目1个，全年预算数67.21万元，全年执行数67.21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对个别项目资金使用方面预算不够细致，出现实际支出数超出了预算申报数或出现项目资金结余数额多的情况，导致调剂频繁，缺乏预算编制的科学性。二是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在以后年度，我单位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和评价报告。</w:t>
      </w:r>
    </w:p>
    <w:p w14:paraId="375776E3">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0658C2C">
        <w:tblPrEx>
          <w:tblCellMar>
            <w:top w:w="0" w:type="dxa"/>
            <w:left w:w="108" w:type="dxa"/>
            <w:bottom w:w="0" w:type="dxa"/>
            <w:right w:w="108" w:type="dxa"/>
          </w:tblCellMar>
        </w:tblPrEx>
        <w:tc>
          <w:tcPr>
            <w:tcW w:w="8847" w:type="dxa"/>
            <w:gridSpan w:val="9"/>
            <w:vAlign w:val="center"/>
          </w:tcPr>
          <w:p w14:paraId="3820B854">
            <w:pPr>
              <w:jc w:val="center"/>
            </w:pPr>
            <w:r>
              <w:rPr>
                <w:rFonts w:ascii="宋体" w:hAnsi="宋体" w:eastAsia="宋体"/>
                <w:sz w:val="24"/>
              </w:rPr>
              <w:t>单位整体支出绩效自评表</w:t>
            </w:r>
          </w:p>
        </w:tc>
      </w:tr>
      <w:tr w14:paraId="329F1FBF">
        <w:tblPrEx>
          <w:tblCellMar>
            <w:top w:w="0" w:type="dxa"/>
            <w:left w:w="108" w:type="dxa"/>
            <w:bottom w:w="0" w:type="dxa"/>
            <w:right w:w="108" w:type="dxa"/>
          </w:tblCellMar>
        </w:tblPrEx>
        <w:tc>
          <w:tcPr>
            <w:tcW w:w="8847" w:type="dxa"/>
            <w:gridSpan w:val="9"/>
            <w:vAlign w:val="center"/>
          </w:tcPr>
          <w:p w14:paraId="1975B508">
            <w:pPr>
              <w:jc w:val="center"/>
            </w:pPr>
            <w:r>
              <w:rPr>
                <w:rFonts w:ascii="宋体" w:hAnsi="宋体" w:eastAsia="宋体"/>
                <w:sz w:val="24"/>
              </w:rPr>
              <w:t>（2024年度）</w:t>
            </w:r>
          </w:p>
        </w:tc>
      </w:tr>
      <w:tr w14:paraId="607BDF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2CD8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BC8A85">
            <w:pPr>
              <w:jc w:val="center"/>
            </w:pPr>
            <w:r>
              <w:rPr>
                <w:rFonts w:ascii="宋体" w:hAnsi="宋体" w:eastAsia="宋体"/>
                <w:sz w:val="16"/>
              </w:rPr>
              <w:t>麦盖提县巴扎结米镇人民政府</w:t>
            </w:r>
          </w:p>
        </w:tc>
      </w:tr>
      <w:tr w14:paraId="5EB142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1AAD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4369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0D3C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92C3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E282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9717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77B7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0C162">
            <w:pPr>
              <w:jc w:val="center"/>
            </w:pPr>
            <w:r>
              <w:rPr>
                <w:rFonts w:ascii="宋体" w:hAnsi="宋体" w:eastAsia="宋体"/>
                <w:sz w:val="16"/>
              </w:rPr>
              <w:t>得分</w:t>
            </w:r>
          </w:p>
        </w:tc>
      </w:tr>
      <w:tr w14:paraId="159778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75E3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B65F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309F3">
            <w:pPr>
              <w:jc w:val="center"/>
            </w:pPr>
            <w:r>
              <w:rPr>
                <w:rFonts w:ascii="宋体" w:hAnsi="宋体" w:eastAsia="宋体"/>
                <w:sz w:val="16"/>
              </w:rPr>
              <w:t>2,131.73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DB3D4">
            <w:pPr>
              <w:jc w:val="center"/>
            </w:pPr>
            <w:r>
              <w:rPr>
                <w:rFonts w:ascii="宋体" w:hAnsi="宋体" w:eastAsia="宋体"/>
                <w:sz w:val="16"/>
              </w:rPr>
              <w:t>4,620.55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14342">
            <w:pPr>
              <w:jc w:val="center"/>
            </w:pPr>
            <w:r>
              <w:rPr>
                <w:rFonts w:ascii="宋体" w:hAnsi="宋体" w:eastAsia="宋体"/>
                <w:sz w:val="16"/>
              </w:rPr>
              <w:t>4,597.57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2E6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E4A06">
            <w:pPr>
              <w:jc w:val="center"/>
            </w:pPr>
            <w:r>
              <w:rPr>
                <w:rFonts w:ascii="宋体" w:hAnsi="宋体" w:eastAsia="宋体"/>
                <w:sz w:val="16"/>
              </w:rPr>
              <w:t>99.50%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969A6">
            <w:pPr>
              <w:jc w:val="center"/>
            </w:pPr>
            <w:r>
              <w:rPr>
                <w:rFonts w:ascii="宋体" w:hAnsi="宋体" w:eastAsia="宋体"/>
                <w:sz w:val="16"/>
              </w:rPr>
              <w:t>9.95</w:t>
            </w:r>
          </w:p>
        </w:tc>
      </w:tr>
      <w:tr w14:paraId="2F9F74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0DB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02E4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7C150">
            <w:pPr>
              <w:jc w:val="center"/>
            </w:pPr>
            <w:r>
              <w:rPr>
                <w:rFonts w:ascii="宋体" w:hAnsi="宋体" w:eastAsia="宋体"/>
                <w:sz w:val="16"/>
              </w:rPr>
              <w:t>73.50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18798">
            <w:pPr>
              <w:jc w:val="center"/>
            </w:pPr>
            <w:r>
              <w:rPr>
                <w:rFonts w:ascii="宋体" w:hAnsi="宋体" w:eastAsia="宋体"/>
                <w:sz w:val="16"/>
              </w:rPr>
              <w:t>1,826.05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36D32">
            <w:pPr>
              <w:jc w:val="center"/>
            </w:pPr>
            <w:r>
              <w:rPr>
                <w:rFonts w:ascii="宋体" w:hAnsi="宋体" w:eastAsia="宋体"/>
                <w:sz w:val="16"/>
              </w:rPr>
              <w:t>1,803.07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9D0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C909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0ADE6">
            <w:pPr>
              <w:jc w:val="center"/>
            </w:pPr>
            <w:r>
              <w:rPr>
                <w:rFonts w:ascii="宋体" w:hAnsi="宋体" w:eastAsia="宋体"/>
                <w:sz w:val="16"/>
              </w:rPr>
              <w:t>—</w:t>
            </w:r>
          </w:p>
        </w:tc>
      </w:tr>
      <w:tr w14:paraId="617FC8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C4F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3222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A5C09">
            <w:pPr>
              <w:jc w:val="center"/>
            </w:pPr>
            <w:r>
              <w:rPr>
                <w:rFonts w:ascii="宋体" w:hAnsi="宋体" w:eastAsia="宋体"/>
                <w:sz w:val="16"/>
              </w:rPr>
              <w:t>2,058.23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E51AE">
            <w:pPr>
              <w:jc w:val="center"/>
            </w:pPr>
            <w:r>
              <w:rPr>
                <w:rFonts w:ascii="宋体" w:hAnsi="宋体" w:eastAsia="宋体"/>
                <w:sz w:val="16"/>
              </w:rPr>
              <w:t>2,794.50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47A6D">
            <w:pPr>
              <w:jc w:val="center"/>
            </w:pPr>
            <w:r>
              <w:rPr>
                <w:rFonts w:ascii="宋体" w:hAnsi="宋体" w:eastAsia="宋体"/>
                <w:sz w:val="16"/>
              </w:rPr>
              <w:t>2,794.50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441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38B0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AD4FC">
            <w:pPr>
              <w:jc w:val="center"/>
            </w:pPr>
            <w:r>
              <w:rPr>
                <w:rFonts w:ascii="宋体" w:hAnsi="宋体" w:eastAsia="宋体"/>
                <w:sz w:val="16"/>
              </w:rPr>
              <w:t>—</w:t>
            </w:r>
          </w:p>
        </w:tc>
      </w:tr>
      <w:tr w14:paraId="3F6CA9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9CA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9701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745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4E6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A01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76C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4B9B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97981">
            <w:pPr>
              <w:jc w:val="center"/>
            </w:pPr>
            <w:r>
              <w:rPr>
                <w:rFonts w:ascii="宋体" w:hAnsi="宋体" w:eastAsia="宋体"/>
                <w:sz w:val="16"/>
              </w:rPr>
              <w:t>—</w:t>
            </w:r>
          </w:p>
        </w:tc>
      </w:tr>
      <w:tr w14:paraId="0FDD9C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038A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3E005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B22F8A">
            <w:pPr>
              <w:jc w:val="center"/>
              <w:rPr>
                <w:rFonts w:hint="eastAsia" w:eastAsia="宋体"/>
                <w:lang w:eastAsia="zh-CN"/>
              </w:rPr>
            </w:pPr>
            <w:r>
              <w:rPr>
                <w:rFonts w:hint="eastAsia" w:ascii="宋体" w:hAnsi="宋体"/>
                <w:sz w:val="16"/>
                <w:lang w:eastAsia="zh-CN"/>
              </w:rPr>
              <w:t>实际完成情况</w:t>
            </w:r>
          </w:p>
        </w:tc>
      </w:tr>
      <w:tr w14:paraId="5C9A96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DA6F7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F7F5C7">
            <w:pPr>
              <w:jc w:val="both"/>
            </w:pPr>
            <w:r>
              <w:rPr>
                <w:rFonts w:hint="eastAsia" w:ascii="宋体" w:hAnsi="宋体"/>
                <w:sz w:val="16"/>
                <w:lang w:eastAsia="zh-CN"/>
              </w:rPr>
              <w:t>1.</w:t>
            </w:r>
            <w:r>
              <w:rPr>
                <w:rFonts w:ascii="宋体" w:hAnsi="宋体" w:eastAsia="宋体"/>
                <w:sz w:val="16"/>
              </w:rPr>
              <w:t>管理本乡内的经济、教育、科技、文化、卫生、体育事业和财政、民政、治安、人民调解、安全生产监督管理等行政工作；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074614">
            <w:pPr>
              <w:jc w:val="both"/>
            </w:pPr>
            <w:r>
              <w:rPr>
                <w:rFonts w:hint="eastAsia" w:ascii="宋体" w:hAnsi="宋体"/>
                <w:sz w:val="16"/>
                <w:lang w:eastAsia="zh-CN"/>
              </w:rPr>
              <w:t>截至</w:t>
            </w:r>
            <w:r>
              <w:rPr>
                <w:rFonts w:ascii="宋体" w:hAnsi="宋体" w:eastAsia="宋体"/>
                <w:sz w:val="16"/>
              </w:rPr>
              <w:t>自评日，我单位已完成：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1、管理本乡内的经济、教育、科技、文化、卫生、体育事业和财政、民政、治安、人民调解、安全生产监督管理等行政工作；24年完成宣传教育活动12次，群众困难诉求解决完成率达到100%；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、民主权利和其他权利；耕地利用率达到100%；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3、劳动力就业率达到100%，防返贫监测全覆盖。</w:t>
            </w:r>
          </w:p>
        </w:tc>
      </w:tr>
      <w:tr w14:paraId="07BD23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E971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FC7A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E67E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376F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FD07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C20C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4F2D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6FB1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41171">
            <w:pPr>
              <w:jc w:val="center"/>
            </w:pPr>
            <w:r>
              <w:rPr>
                <w:rFonts w:ascii="宋体" w:hAnsi="宋体" w:eastAsia="宋体"/>
                <w:sz w:val="16"/>
              </w:rPr>
              <w:t>得分</w:t>
            </w:r>
          </w:p>
        </w:tc>
      </w:tr>
      <w:tr w14:paraId="32FBBD0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C3764">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C7A2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D046E">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E097F">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66357">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331E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71F9B">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645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967BE">
            <w:pPr>
              <w:jc w:val="center"/>
            </w:pPr>
            <w:r>
              <w:rPr>
                <w:rFonts w:ascii="宋体" w:hAnsi="宋体" w:eastAsia="宋体"/>
                <w:sz w:val="16"/>
              </w:rPr>
              <w:t>18</w:t>
            </w:r>
          </w:p>
        </w:tc>
      </w:tr>
      <w:tr w14:paraId="37E526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4541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8625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4497E">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86A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838A1">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973F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754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F0F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2FD8F">
            <w:pPr>
              <w:jc w:val="center"/>
            </w:pPr>
            <w:r>
              <w:rPr>
                <w:rFonts w:ascii="宋体" w:hAnsi="宋体" w:eastAsia="宋体"/>
                <w:sz w:val="16"/>
              </w:rPr>
              <w:t>18</w:t>
            </w:r>
          </w:p>
        </w:tc>
      </w:tr>
      <w:tr w14:paraId="6FCFDC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D5B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11E5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DC73B">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E43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06548">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2D3F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FB0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16F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F5D17">
            <w:pPr>
              <w:jc w:val="center"/>
            </w:pPr>
            <w:r>
              <w:rPr>
                <w:rFonts w:ascii="宋体" w:hAnsi="宋体" w:eastAsia="宋体"/>
                <w:sz w:val="16"/>
              </w:rPr>
              <w:t>18</w:t>
            </w:r>
          </w:p>
        </w:tc>
      </w:tr>
      <w:tr w14:paraId="165BBE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8E8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F1C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A67A">
            <w:pPr>
              <w:jc w:val="center"/>
            </w:pPr>
            <w:r>
              <w:rPr>
                <w:rFonts w:ascii="宋体" w:hAnsi="宋体" w:eastAsia="宋体"/>
                <w:sz w:val="16"/>
              </w:rPr>
              <w:t>防返贫监测覆盖率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78E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E1669">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B91C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D12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E62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D13DD">
            <w:pPr>
              <w:jc w:val="center"/>
            </w:pPr>
            <w:r>
              <w:rPr>
                <w:rFonts w:ascii="宋体" w:hAnsi="宋体" w:eastAsia="宋体"/>
                <w:sz w:val="16"/>
              </w:rPr>
              <w:t>18</w:t>
            </w:r>
          </w:p>
        </w:tc>
      </w:tr>
      <w:tr w14:paraId="5EC6AB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574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BC64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D64E9">
            <w:pPr>
              <w:jc w:val="center"/>
            </w:pPr>
            <w:r>
              <w:rPr>
                <w:rFonts w:ascii="宋体" w:hAnsi="宋体" w:eastAsia="宋体"/>
                <w:sz w:val="16"/>
              </w:rPr>
              <w:t>耕地利用率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30C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BC574">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AF2B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222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DE7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82782">
            <w:pPr>
              <w:jc w:val="center"/>
            </w:pPr>
            <w:r>
              <w:rPr>
                <w:rFonts w:ascii="宋体" w:hAnsi="宋体" w:eastAsia="宋体"/>
                <w:sz w:val="16"/>
              </w:rPr>
              <w:t>18</w:t>
            </w:r>
          </w:p>
        </w:tc>
      </w:tr>
    </w:tbl>
    <w:p w14:paraId="6665DC44">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01742CB">
        <w:tblPrEx>
          <w:tblCellMar>
            <w:top w:w="0" w:type="dxa"/>
            <w:left w:w="108" w:type="dxa"/>
            <w:bottom w:w="0" w:type="dxa"/>
            <w:right w:w="108" w:type="dxa"/>
          </w:tblCellMar>
        </w:tblPrEx>
        <w:tc>
          <w:tcPr>
            <w:tcW w:w="9056" w:type="dxa"/>
            <w:gridSpan w:val="14"/>
            <w:vAlign w:val="center"/>
          </w:tcPr>
          <w:p w14:paraId="14478328">
            <w:pPr>
              <w:jc w:val="center"/>
            </w:pPr>
            <w:r>
              <w:rPr>
                <w:rFonts w:ascii="宋体" w:hAnsi="宋体" w:eastAsia="宋体"/>
                <w:sz w:val="24"/>
              </w:rPr>
              <w:t>项目支出绩效自评表</w:t>
            </w:r>
          </w:p>
        </w:tc>
      </w:tr>
      <w:tr w14:paraId="7DBC0374">
        <w:tblPrEx>
          <w:tblCellMar>
            <w:top w:w="0" w:type="dxa"/>
            <w:left w:w="108" w:type="dxa"/>
            <w:bottom w:w="0" w:type="dxa"/>
            <w:right w:w="108" w:type="dxa"/>
          </w:tblCellMar>
        </w:tblPrEx>
        <w:tc>
          <w:tcPr>
            <w:tcW w:w="9056" w:type="dxa"/>
            <w:gridSpan w:val="14"/>
            <w:vAlign w:val="center"/>
          </w:tcPr>
          <w:p w14:paraId="06C4CC34">
            <w:pPr>
              <w:jc w:val="center"/>
            </w:pPr>
            <w:r>
              <w:rPr>
                <w:rFonts w:ascii="宋体" w:hAnsi="宋体" w:eastAsia="宋体"/>
                <w:sz w:val="24"/>
              </w:rPr>
              <w:t>(2024年度)</w:t>
            </w:r>
          </w:p>
        </w:tc>
      </w:tr>
      <w:tr w14:paraId="545C28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1497">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7210DA">
            <w:pPr>
              <w:jc w:val="center"/>
            </w:pPr>
            <w:r>
              <w:rPr>
                <w:rFonts w:ascii="宋体" w:hAnsi="宋体" w:eastAsia="宋体"/>
                <w:sz w:val="16"/>
              </w:rPr>
              <w:t>2024年麦盖提县巴扎结米镇业务活动项目</w:t>
            </w:r>
          </w:p>
        </w:tc>
      </w:tr>
      <w:tr w14:paraId="321484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BF97">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9E3EF">
            <w:pPr>
              <w:jc w:val="center"/>
            </w:pPr>
            <w:r>
              <w:rPr>
                <w:rFonts w:ascii="宋体" w:hAnsi="宋体" w:eastAsia="宋体"/>
                <w:sz w:val="16"/>
              </w:rPr>
              <w:t>麦盖提县巴扎结米镇人民政府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4672">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6CD2B5">
            <w:pPr>
              <w:jc w:val="center"/>
            </w:pPr>
            <w:r>
              <w:rPr>
                <w:rFonts w:ascii="宋体" w:hAnsi="宋体" w:eastAsia="宋体"/>
                <w:sz w:val="16"/>
              </w:rPr>
              <w:t>麦盖提县巴扎结米镇人民政府</w:t>
            </w:r>
          </w:p>
        </w:tc>
      </w:tr>
      <w:tr w14:paraId="133D13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381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38E40">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1C7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548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BB2B1">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AA7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4FF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5F95">
            <w:pPr>
              <w:jc w:val="center"/>
            </w:pPr>
            <w:r>
              <w:rPr>
                <w:rFonts w:ascii="宋体" w:hAnsi="宋体" w:eastAsia="宋体"/>
                <w:sz w:val="16"/>
              </w:rPr>
              <w:t>得分</w:t>
            </w:r>
          </w:p>
        </w:tc>
      </w:tr>
      <w:tr w14:paraId="52761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023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4C6FD">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24DA2">
            <w:pPr>
              <w:jc w:val="center"/>
            </w:pPr>
            <w:r>
              <w:rPr>
                <w:rFonts w:ascii="宋体" w:hAnsi="宋体" w:eastAsia="宋体"/>
                <w:sz w:val="16"/>
              </w:rPr>
              <w:t>32.92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A3FD5">
            <w:pPr>
              <w:jc w:val="center"/>
            </w:pPr>
            <w:r>
              <w:rPr>
                <w:rFonts w:ascii="宋体" w:hAnsi="宋体" w:eastAsia="宋体"/>
                <w:sz w:val="16"/>
              </w:rPr>
              <w:t>67.21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DB030">
            <w:pPr>
              <w:jc w:val="center"/>
            </w:pPr>
            <w:r>
              <w:rPr>
                <w:rFonts w:ascii="宋体" w:hAnsi="宋体" w:eastAsia="宋体"/>
                <w:sz w:val="16"/>
              </w:rPr>
              <w:t>67.21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CF3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EB56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01FC">
            <w:pPr>
              <w:jc w:val="center"/>
            </w:pPr>
            <w:r>
              <w:rPr>
                <w:rFonts w:ascii="宋体" w:hAnsi="宋体" w:eastAsia="宋体"/>
                <w:sz w:val="16"/>
              </w:rPr>
              <w:t>10.00分</w:t>
            </w:r>
          </w:p>
        </w:tc>
      </w:tr>
      <w:tr w14:paraId="16FF2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494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7AD6A">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185E1">
            <w:pPr>
              <w:jc w:val="center"/>
            </w:pPr>
            <w:r>
              <w:rPr>
                <w:rFonts w:ascii="宋体" w:hAnsi="宋体" w:eastAsia="宋体"/>
                <w:sz w:val="16"/>
              </w:rPr>
              <w:t>32.92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039E3">
            <w:pPr>
              <w:jc w:val="center"/>
            </w:pPr>
            <w:r>
              <w:rPr>
                <w:rFonts w:ascii="宋体" w:hAnsi="宋体" w:eastAsia="宋体"/>
                <w:sz w:val="16"/>
              </w:rPr>
              <w:t>67.21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1C7BB">
            <w:pPr>
              <w:jc w:val="center"/>
            </w:pPr>
            <w:r>
              <w:rPr>
                <w:rFonts w:ascii="宋体" w:hAnsi="宋体" w:eastAsia="宋体"/>
                <w:sz w:val="16"/>
              </w:rPr>
              <w:t>67.21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7DF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033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B4AC">
            <w:pPr>
              <w:jc w:val="center"/>
            </w:pPr>
            <w:r>
              <w:rPr>
                <w:rFonts w:ascii="宋体" w:hAnsi="宋体" w:eastAsia="宋体"/>
                <w:sz w:val="16"/>
              </w:rPr>
              <w:t>—</w:t>
            </w:r>
          </w:p>
        </w:tc>
      </w:tr>
      <w:tr w14:paraId="21843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979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21C24">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6ED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743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7BA4D">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66D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6BA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565D">
            <w:pPr>
              <w:jc w:val="center"/>
            </w:pPr>
            <w:r>
              <w:rPr>
                <w:rFonts w:ascii="宋体" w:hAnsi="宋体" w:eastAsia="宋体"/>
                <w:sz w:val="16"/>
              </w:rPr>
              <w:t>—</w:t>
            </w:r>
          </w:p>
        </w:tc>
      </w:tr>
      <w:tr w14:paraId="25B12F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41DD8">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BFBC6F">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DAEB4F">
            <w:pPr>
              <w:jc w:val="center"/>
            </w:pPr>
            <w:r>
              <w:rPr>
                <w:rFonts w:ascii="宋体" w:hAnsi="宋体" w:eastAsia="宋体"/>
                <w:sz w:val="16"/>
              </w:rPr>
              <w:t>实际完成情况</w:t>
            </w:r>
          </w:p>
        </w:tc>
      </w:tr>
      <w:tr w14:paraId="68A1E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CD011"/>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CF88DA">
            <w:pPr>
              <w:jc w:val="both"/>
            </w:pPr>
            <w:r>
              <w:rPr>
                <w:rFonts w:ascii="宋体" w:hAnsi="宋体" w:eastAsia="宋体"/>
                <w:sz w:val="16"/>
              </w:rPr>
              <w:t>本项目2024年计划总投资为67.21万元，主要用于保障我单位5个办公室日常运转及5辆公务用车运行维护费，项目的实施可有效提升社会公众服务能力，保障单位日常工作正常开展。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299352">
            <w:pPr>
              <w:jc w:val="both"/>
            </w:pPr>
            <w:r>
              <w:rPr>
                <w:rFonts w:hint="eastAsia" w:ascii="宋体" w:hAnsi="宋体"/>
                <w:sz w:val="16"/>
                <w:lang w:eastAsia="zh-CN"/>
              </w:rPr>
              <w:t>截至</w:t>
            </w:r>
            <w:r>
              <w:rPr>
                <w:rFonts w:ascii="宋体" w:hAnsi="宋体" w:eastAsia="宋体"/>
                <w:sz w:val="16"/>
              </w:rPr>
              <w:t>自评日，本项目已支出金额为67.21万元，已保障我单位1-12月5个办公室日常运转及5辆公务用车运行维护费，如1-12月份临时工工资等，项目的实施有效提升了社会公众服务能力，保障了单位日常工作正常开展，保障了乡镇正常运转。</w:t>
            </w:r>
          </w:p>
        </w:tc>
      </w:tr>
      <w:tr w14:paraId="0D0359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A04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44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00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5D31">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F55F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54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F5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9E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C43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FAA0">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EACA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5DC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939A2">
            <w:pPr>
              <w:jc w:val="center"/>
            </w:pPr>
            <w:r>
              <w:rPr>
                <w:rFonts w:ascii="宋体" w:hAnsi="宋体" w:eastAsia="宋体"/>
                <w:sz w:val="16"/>
              </w:rPr>
              <w:t>偏差原因分析及改进措施</w:t>
            </w:r>
          </w:p>
        </w:tc>
      </w:tr>
      <w:tr w14:paraId="2F698A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E96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D457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14D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B106">
            <w:pPr>
              <w:jc w:val="center"/>
            </w:pPr>
            <w:r>
              <w:rPr>
                <w:rFonts w:ascii="宋体" w:hAnsi="宋体" w:eastAsia="宋体"/>
                <w:sz w:val="16"/>
              </w:rPr>
              <w:t>保障办公室数量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71837D">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CB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94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BC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2E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1DDA">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ABC48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35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A3A33">
            <w:pPr>
              <w:jc w:val="center"/>
            </w:pPr>
          </w:p>
        </w:tc>
      </w:tr>
      <w:tr w14:paraId="02D01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66A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1F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4A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DFB7">
            <w:pPr>
              <w:jc w:val="center"/>
            </w:pPr>
            <w:r>
              <w:rPr>
                <w:rFonts w:ascii="宋体" w:hAnsi="宋体" w:eastAsia="宋体"/>
                <w:sz w:val="16"/>
              </w:rPr>
              <w:t>保障公务用车数量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F66F2B1">
            <w:pPr>
              <w:jc w:val="center"/>
            </w:pPr>
            <w:r>
              <w:rPr>
                <w:rFonts w:ascii="宋体" w:hAnsi="宋体" w:eastAsia="宋体"/>
                <w:sz w:val="16"/>
              </w:rPr>
              <w:t>&gt;=5辆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C6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3AC7">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06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61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F38A">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E8E22E">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5E3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96533">
            <w:pPr>
              <w:jc w:val="center"/>
            </w:pPr>
          </w:p>
        </w:tc>
      </w:tr>
      <w:tr w14:paraId="24D68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DA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57F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EF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B8BA">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A115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4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17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C4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3C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0F7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D7C7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2C6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70887">
            <w:pPr>
              <w:jc w:val="center"/>
            </w:pPr>
          </w:p>
        </w:tc>
      </w:tr>
      <w:tr w14:paraId="2A9B0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B18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EEE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E4B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389B">
            <w:pPr>
              <w:jc w:val="center"/>
            </w:pPr>
            <w:r>
              <w:rPr>
                <w:rFonts w:ascii="宋体" w:hAnsi="宋体" w:eastAsia="宋体"/>
                <w:sz w:val="16"/>
              </w:rPr>
              <w:t>资金拨付及时率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479B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93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91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26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DC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76A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511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FBC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E52F3">
            <w:pPr>
              <w:jc w:val="center"/>
            </w:pPr>
          </w:p>
        </w:tc>
      </w:tr>
      <w:tr w14:paraId="3A860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81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DF9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F46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FE6A">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1BBBE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8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18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A3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E8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BC0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2B260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5EB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CFABD">
            <w:pPr>
              <w:jc w:val="center"/>
            </w:pPr>
          </w:p>
        </w:tc>
      </w:tr>
      <w:tr w14:paraId="61A12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F93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AC2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2FD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81CF">
            <w:pPr>
              <w:jc w:val="center"/>
            </w:pPr>
            <w:r>
              <w:rPr>
                <w:rFonts w:ascii="宋体" w:hAnsi="宋体" w:eastAsia="宋体"/>
                <w:sz w:val="16"/>
              </w:rPr>
              <w:t>保障办公运转成本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F837FB">
            <w:pPr>
              <w:jc w:val="center"/>
            </w:pPr>
            <w:r>
              <w:rPr>
                <w:rFonts w:ascii="宋体" w:hAnsi="宋体" w:eastAsia="宋体"/>
                <w:sz w:val="16"/>
              </w:rPr>
              <w:t>&lt;=29.59万元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13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39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A9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BE3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B85E">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70DEEA">
            <w:pPr>
              <w:jc w:val="center"/>
            </w:pPr>
            <w:r>
              <w:rPr>
                <w:rFonts w:ascii="宋体" w:hAnsi="宋体" w:eastAsia="宋体"/>
                <w:sz w:val="16"/>
              </w:rPr>
              <w:t>=29.59万元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A3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B3720">
            <w:pPr>
              <w:jc w:val="center"/>
            </w:pPr>
          </w:p>
        </w:tc>
      </w:tr>
      <w:tr w14:paraId="4A7FD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D1D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314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FF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5D30">
            <w:pPr>
              <w:jc w:val="center"/>
            </w:pPr>
            <w:r>
              <w:rPr>
                <w:rFonts w:ascii="宋体" w:hAnsi="宋体" w:eastAsia="宋体"/>
                <w:sz w:val="16"/>
              </w:rPr>
              <w:t>保障公务用车运行成本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B2EF18">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65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B2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67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F3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802B">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07EC97">
            <w:pPr>
              <w:jc w:val="center"/>
            </w:pPr>
            <w:r>
              <w:rPr>
                <w:rFonts w:ascii="宋体" w:hAnsi="宋体" w:eastAsia="宋体"/>
                <w:sz w:val="16"/>
              </w:rPr>
              <w: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3B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FEB97">
            <w:pPr>
              <w:jc w:val="center"/>
            </w:pPr>
          </w:p>
        </w:tc>
      </w:tr>
      <w:tr w14:paraId="04416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7F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E79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FD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D6D6">
            <w:pPr>
              <w:jc w:val="center"/>
            </w:pPr>
            <w:r>
              <w:rPr>
                <w:rFonts w:ascii="宋体" w:hAnsi="宋体" w:eastAsia="宋体"/>
                <w:sz w:val="16"/>
              </w:rPr>
              <w:t>伙食费费用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F2BA80">
            <w:pPr>
              <w:jc w:val="center"/>
            </w:pPr>
            <w:r>
              <w:rPr>
                <w:rFonts w:ascii="宋体" w:hAnsi="宋体" w:eastAsia="宋体"/>
                <w:sz w:val="16"/>
              </w:rPr>
              <w:t>&lt;=9.92万元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FE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3C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77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CA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628C">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CE54B4">
            <w:pPr>
              <w:jc w:val="center"/>
            </w:pPr>
            <w:r>
              <w:rPr>
                <w:rFonts w:ascii="宋体" w:hAnsi="宋体" w:eastAsia="宋体"/>
                <w:sz w:val="16"/>
              </w:rPr>
              <w:t>=9.92万元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0F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BCE3C">
            <w:pPr>
              <w:jc w:val="center"/>
            </w:pPr>
          </w:p>
        </w:tc>
      </w:tr>
      <w:tr w14:paraId="0C6A4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0E9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6A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0C6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D25A">
            <w:pPr>
              <w:jc w:val="center"/>
            </w:pPr>
            <w:r>
              <w:rPr>
                <w:rFonts w:ascii="宋体" w:hAnsi="宋体" w:eastAsia="宋体"/>
                <w:sz w:val="16"/>
              </w:rPr>
              <w:t>其他费用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6BFF2D">
            <w:pPr>
              <w:jc w:val="center"/>
            </w:pPr>
            <w:r>
              <w:rPr>
                <w:rFonts w:ascii="宋体" w:hAnsi="宋体" w:eastAsia="宋体"/>
                <w:sz w:val="16"/>
              </w:rPr>
              <w:t>&lt;=24.37万元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D7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0B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D5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7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79A3">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370BC3">
            <w:pPr>
              <w:jc w:val="center"/>
            </w:pPr>
            <w:r>
              <w:rPr>
                <w:rFonts w:ascii="宋体" w:hAnsi="宋体" w:eastAsia="宋体"/>
                <w:sz w:val="16"/>
              </w:rPr>
              <w:t>=24.37万元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90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79925">
            <w:pPr>
              <w:jc w:val="center"/>
            </w:pPr>
          </w:p>
        </w:tc>
      </w:tr>
      <w:tr w14:paraId="03A8C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6D3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96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98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BB1E">
            <w:pPr>
              <w:jc w:val="center"/>
            </w:pPr>
            <w:r>
              <w:rPr>
                <w:rFonts w:ascii="宋体" w:hAnsi="宋体" w:eastAsia="宋体"/>
                <w:sz w:val="16"/>
              </w:rPr>
              <w:t>保障乡镇正常运转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5CF54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79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D8B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BF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08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8B0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2E679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1A4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EA86F">
            <w:pPr>
              <w:jc w:val="center"/>
            </w:pPr>
          </w:p>
        </w:tc>
      </w:tr>
      <w:tr w14:paraId="240D8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79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38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00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D764">
            <w:pPr>
              <w:jc w:val="center"/>
            </w:pPr>
            <w:r>
              <w:rPr>
                <w:rFonts w:ascii="宋体" w:hAnsi="宋体" w:eastAsia="宋体"/>
                <w:sz w:val="16"/>
              </w:rPr>
              <w:t>工作人员满意度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EC2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BF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F9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EC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78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51A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253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20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C014C">
            <w:pPr>
              <w:jc w:val="center"/>
            </w:pPr>
          </w:p>
        </w:tc>
      </w:tr>
      <w:tr w14:paraId="1BA981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2B45">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9DE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5D7B">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CA7DBD">
            <w:pPr>
              <w:jc w:val="center"/>
            </w:pPr>
            <w:r>
              <w:rPr>
                <w:rFonts w:ascii="宋体" w:hAnsi="宋体" w:eastAsia="宋体"/>
                <w:sz w:val="16"/>
              </w:rPr>
              <w:t>100分</w:t>
            </w:r>
          </w:p>
        </w:tc>
      </w:tr>
    </w:tbl>
    <w:p w14:paraId="1A51BBBC">
      <w:r>
        <w:br w:type="page"/>
      </w:r>
    </w:p>
    <w:p w14:paraId="19A8C38C">
      <w:pPr>
        <w:spacing w:line="640" w:lineRule="exact"/>
        <w:ind w:firstLine="640"/>
        <w:jc w:val="both"/>
        <w:outlineLvl w:val="2"/>
      </w:pPr>
      <w:r>
        <w:rPr>
          <w:rFonts w:ascii="黑体" w:hAnsi="黑体" w:eastAsia="黑体"/>
          <w:sz w:val="32"/>
        </w:rPr>
        <w:t>十二、其他需说明的事项</w:t>
      </w:r>
    </w:p>
    <w:p w14:paraId="5C01A7FE">
      <w:pPr>
        <w:spacing w:line="580" w:lineRule="exact"/>
        <w:ind w:firstLine="640"/>
        <w:jc w:val="both"/>
      </w:pPr>
      <w:r>
        <w:rPr>
          <w:rFonts w:ascii="仿宋_GB2312" w:hAnsi="仿宋_GB2312" w:eastAsia="仿宋_GB2312"/>
          <w:b w:val="0"/>
          <w:sz w:val="32"/>
        </w:rPr>
        <w:t>本单位无其他需说明的事项。</w:t>
      </w:r>
    </w:p>
    <w:p w14:paraId="180E0392">
      <w:r>
        <w:br w:type="page"/>
      </w:r>
    </w:p>
    <w:p w14:paraId="27897BBB">
      <w:pPr>
        <w:spacing w:line="240" w:lineRule="auto"/>
        <w:jc w:val="center"/>
        <w:outlineLvl w:val="1"/>
      </w:pPr>
      <w:r>
        <w:rPr>
          <w:rFonts w:ascii="黑体" w:hAnsi="黑体" w:eastAsia="黑体"/>
          <w:sz w:val="32"/>
        </w:rPr>
        <w:t>第三部分 专业名词解释</w:t>
      </w:r>
    </w:p>
    <w:p w14:paraId="55D6C8C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A7B994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C17AF7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D698F6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B149C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3F31F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18483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12F308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DA470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4D3BD8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925E62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BA2B23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9B7769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1621D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06E4F59">
      <w:r>
        <w:br w:type="page"/>
      </w:r>
    </w:p>
    <w:p w14:paraId="623B7057">
      <w:pPr>
        <w:spacing w:line="240" w:lineRule="auto"/>
        <w:jc w:val="center"/>
        <w:outlineLvl w:val="1"/>
      </w:pPr>
      <w:r>
        <w:rPr>
          <w:rFonts w:ascii="黑体" w:hAnsi="黑体" w:eastAsia="黑体"/>
          <w:sz w:val="32"/>
        </w:rPr>
        <w:t>第四部分 部门决算报表（见附表）</w:t>
      </w:r>
    </w:p>
    <w:p w14:paraId="097F6091">
      <w:pPr>
        <w:spacing w:line="240" w:lineRule="auto"/>
        <w:ind w:firstLine="640"/>
        <w:jc w:val="both"/>
      </w:pPr>
      <w:r>
        <w:rPr>
          <w:rFonts w:ascii="仿宋_GB2312" w:hAnsi="仿宋_GB2312" w:eastAsia="仿宋_GB2312"/>
          <w:b w:val="0"/>
          <w:sz w:val="32"/>
        </w:rPr>
        <w:t>一、《收入支出决算总表》</w:t>
      </w:r>
    </w:p>
    <w:p w14:paraId="763BB9EA">
      <w:pPr>
        <w:spacing w:line="240" w:lineRule="auto"/>
        <w:ind w:firstLine="640"/>
        <w:jc w:val="both"/>
      </w:pPr>
      <w:r>
        <w:rPr>
          <w:rFonts w:ascii="仿宋_GB2312" w:hAnsi="仿宋_GB2312" w:eastAsia="仿宋_GB2312"/>
          <w:b w:val="0"/>
          <w:sz w:val="32"/>
        </w:rPr>
        <w:t>二、《收入决算表》</w:t>
      </w:r>
    </w:p>
    <w:p w14:paraId="67EED944">
      <w:pPr>
        <w:spacing w:line="240" w:lineRule="auto"/>
        <w:ind w:firstLine="640"/>
        <w:jc w:val="both"/>
      </w:pPr>
      <w:r>
        <w:rPr>
          <w:rFonts w:ascii="仿宋_GB2312" w:hAnsi="仿宋_GB2312" w:eastAsia="仿宋_GB2312"/>
          <w:b w:val="0"/>
          <w:sz w:val="32"/>
        </w:rPr>
        <w:t>三、《支出决算表》</w:t>
      </w:r>
    </w:p>
    <w:p w14:paraId="2AE9B3D4">
      <w:pPr>
        <w:spacing w:line="240" w:lineRule="auto"/>
        <w:ind w:firstLine="640"/>
        <w:jc w:val="both"/>
      </w:pPr>
      <w:r>
        <w:rPr>
          <w:rFonts w:ascii="仿宋_GB2312" w:hAnsi="仿宋_GB2312" w:eastAsia="仿宋_GB2312"/>
          <w:b w:val="0"/>
          <w:sz w:val="32"/>
        </w:rPr>
        <w:t>四、《财政拨款收入支出决算总表》</w:t>
      </w:r>
    </w:p>
    <w:p w14:paraId="0EE9FFDA">
      <w:pPr>
        <w:spacing w:line="240" w:lineRule="auto"/>
        <w:ind w:firstLine="640"/>
        <w:jc w:val="both"/>
      </w:pPr>
      <w:r>
        <w:rPr>
          <w:rFonts w:ascii="仿宋_GB2312" w:hAnsi="仿宋_GB2312" w:eastAsia="仿宋_GB2312"/>
          <w:b w:val="0"/>
          <w:sz w:val="32"/>
        </w:rPr>
        <w:t>五、《一般公共预算财政拨款支出决算表》</w:t>
      </w:r>
    </w:p>
    <w:p w14:paraId="455FEB50">
      <w:pPr>
        <w:spacing w:line="240" w:lineRule="auto"/>
        <w:ind w:firstLine="640"/>
        <w:jc w:val="both"/>
      </w:pPr>
      <w:r>
        <w:rPr>
          <w:rFonts w:ascii="仿宋_GB2312" w:hAnsi="仿宋_GB2312" w:eastAsia="仿宋_GB2312"/>
          <w:b w:val="0"/>
          <w:sz w:val="32"/>
        </w:rPr>
        <w:t>六、《一般公共预算财政拨款基本支出决算表》</w:t>
      </w:r>
    </w:p>
    <w:p w14:paraId="5C73E007">
      <w:pPr>
        <w:spacing w:line="240" w:lineRule="auto"/>
        <w:ind w:firstLine="640"/>
        <w:jc w:val="both"/>
      </w:pPr>
      <w:r>
        <w:rPr>
          <w:rFonts w:ascii="仿宋_GB2312" w:hAnsi="仿宋_GB2312" w:eastAsia="仿宋_GB2312"/>
          <w:b w:val="0"/>
          <w:sz w:val="32"/>
        </w:rPr>
        <w:t>七、《政府性基金预算财政拨款收入支出决算表》</w:t>
      </w:r>
    </w:p>
    <w:p w14:paraId="03F24D06">
      <w:pPr>
        <w:spacing w:line="240" w:lineRule="auto"/>
        <w:ind w:firstLine="640"/>
        <w:jc w:val="both"/>
      </w:pPr>
      <w:r>
        <w:rPr>
          <w:rFonts w:ascii="仿宋_GB2312" w:hAnsi="仿宋_GB2312" w:eastAsia="仿宋_GB2312"/>
          <w:b w:val="0"/>
          <w:sz w:val="32"/>
        </w:rPr>
        <w:t>八、《国有资本经营预算财政拨款收入支出决算表》</w:t>
      </w:r>
    </w:p>
    <w:p w14:paraId="7DE83FD5">
      <w:pPr>
        <w:spacing w:line="240" w:lineRule="auto"/>
        <w:ind w:firstLine="640"/>
        <w:jc w:val="both"/>
      </w:pPr>
      <w:r>
        <w:rPr>
          <w:rFonts w:ascii="仿宋_GB2312" w:hAnsi="仿宋_GB2312" w:eastAsia="仿宋_GB2312"/>
          <w:b w:val="0"/>
          <w:sz w:val="32"/>
        </w:rPr>
        <w:t>九、《财政拨款“三公”经费支出决算表》</w:t>
      </w:r>
    </w:p>
    <w:p w14:paraId="6E69CE30">
      <w:pPr>
        <w:spacing w:line="240" w:lineRule="auto"/>
        <w:ind w:firstLine="640"/>
        <w:jc w:val="both"/>
      </w:pPr>
    </w:p>
    <w:p w14:paraId="657511AE">
      <w:pPr>
        <w:spacing w:line="240" w:lineRule="auto"/>
        <w:ind w:firstLine="640"/>
        <w:jc w:val="both"/>
      </w:pPr>
    </w:p>
    <w:p w14:paraId="0EDF2E0A">
      <w:pPr>
        <w:spacing w:line="240" w:lineRule="auto"/>
        <w:ind w:firstLine="640"/>
        <w:jc w:val="both"/>
      </w:pPr>
    </w:p>
    <w:p w14:paraId="4523BB3F">
      <w:pPr>
        <w:spacing w:line="240" w:lineRule="auto"/>
        <w:ind w:firstLine="640"/>
        <w:jc w:val="both"/>
      </w:pPr>
    </w:p>
    <w:p w14:paraId="0B998C7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36B9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03E07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D03E07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BB2524"/>
    <w:rsid w:val="043E5B56"/>
    <w:rsid w:val="06792773"/>
    <w:rsid w:val="07A36365"/>
    <w:rsid w:val="09A729D8"/>
    <w:rsid w:val="0A3C58E8"/>
    <w:rsid w:val="0A7B4867"/>
    <w:rsid w:val="0B8C3ECC"/>
    <w:rsid w:val="0C3613A3"/>
    <w:rsid w:val="0C7227A7"/>
    <w:rsid w:val="0DCA6EF7"/>
    <w:rsid w:val="0E4B1576"/>
    <w:rsid w:val="0EA04331"/>
    <w:rsid w:val="0F9811B3"/>
    <w:rsid w:val="11E15093"/>
    <w:rsid w:val="120E0809"/>
    <w:rsid w:val="175C15C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35300B"/>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B91BD1"/>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7255</Words>
  <Characters>8450</Characters>
  <Lines>0</Lines>
  <Paragraphs>0</Paragraphs>
  <TotalTime>18</TotalTime>
  <ScaleCrop>false</ScaleCrop>
  <LinksUpToDate>false</LinksUpToDate>
  <CharactersWithSpaces>8458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2025-09-02T04:45:00Z</cp:lastPrinted>
  <dcterms:modified xsi:type="dcterms:W3CDTF">2025-09-04T03:44:06Z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eyJoZGlkIjoiNDg4ZTU2ZTRlNTdiNzJkNDA1YTllMzlkYTg4N2RlNjgiLCJ1c2VySWQiOiIyNTk4NTcxMjUifQ==</vt:lpwstr>
  </property>
</Properties>
</file>