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40F557">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553A8C8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674965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CC863A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56343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52AF8F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麦盖提县希依提墩乡人民政府2024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1DD8643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B9E192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1AE832B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484A42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3E9E3B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3738D58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75E06B2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7D24C5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2B63F4C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100E76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0F17EA1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32183A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5A22F49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7ED877F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B7A0F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35AB43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594CD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45AE71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74FEE1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7B55CB9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A4FAED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73F6025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326F4CB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35C8258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8054FA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F54C7C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F854B0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513F9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EC31CF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54313C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13B3B44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A85F52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2A923A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4B9B236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E1870E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010DC9D">
      <w:r>
        <w:br w:type="page"/>
      </w:r>
    </w:p>
    <w:p w14:paraId="083FD44F">
      <w:pPr>
        <w:spacing w:line="640" w:lineRule="exact"/>
        <w:jc w:val="center"/>
        <w:outlineLvl w:val="1"/>
      </w:pPr>
      <w:r>
        <w:rPr>
          <w:rFonts w:ascii="黑体" w:hAnsi="黑体" w:eastAsia="黑体"/>
          <w:sz w:val="32"/>
        </w:rPr>
        <w:t>第一部分 单位概况</w:t>
      </w:r>
    </w:p>
    <w:p w14:paraId="04E26611">
      <w:pPr>
        <w:spacing w:line="640" w:lineRule="exact"/>
        <w:ind w:firstLine="640"/>
        <w:jc w:val="both"/>
        <w:outlineLvl w:val="2"/>
      </w:pPr>
      <w:r>
        <w:rPr>
          <w:rFonts w:ascii="黑体" w:hAnsi="黑体" w:eastAsia="黑体"/>
          <w:sz w:val="32"/>
        </w:rPr>
        <w:t>一、主要职能</w:t>
      </w:r>
    </w:p>
    <w:p w14:paraId="62105C4F">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上级党委、政府的指示、决定及本级党员代表大会的决议、决定;对全镇的重大问题作出决策:完成上级下达的各项经济指标和工作任务;负责村级领导班子建设;组织落实党内民主生活会制度和党建目标责任制度。</w:t>
      </w:r>
    </w:p>
    <w:p w14:paraId="579161A6">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负责制定本乡党的建设的工作规划、计划。负责党的思想政治和宣传教育工作;负责基层党组织的建设和管理，负责党员队伍思想、作风和组织建设。</w:t>
      </w:r>
    </w:p>
    <w:p w14:paraId="19DF8E5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负责本乡行政区域内党的纪律检查和党风廉政建设及反腐败工作;对党员干部行使权力和廉洁自律情况进行监督检查;受理群众信访举报，调查处理党组织和党员违纪案件;受理党员的控告和申诉，保障党员权利。</w:t>
      </w:r>
    </w:p>
    <w:p w14:paraId="4F951FE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本行政区域内</w:t>
      </w:r>
      <w:r>
        <w:rPr>
          <w:rFonts w:ascii="仿宋_GB2312" w:hAnsi="仿宋_GB2312" w:eastAsia="仿宋_GB2312"/>
          <w:sz w:val="32"/>
          <w:highlight w:val="green"/>
        </w:rPr>
        <w:t>社会治安综合治理的组织协调和社会治安防控体系建设;</w:t>
      </w:r>
      <w:r>
        <w:rPr>
          <w:rFonts w:ascii="仿宋_GB2312" w:hAnsi="仿宋_GB2312" w:eastAsia="仿宋_GB2312"/>
          <w:sz w:val="32"/>
        </w:rPr>
        <w:t>负责平安创建组织工作;负责网格化管理的组织与实施;负责法治宣传和普法教育工作;负责出租负责房屋和流动人口的教育和管理;负责信访工作，调解处理各类民间纠纷;负责安全生产、消防安全、应急管理和学校周边环境治安整治工作。</w:t>
      </w:r>
    </w:p>
    <w:p w14:paraId="7C6C7DC1">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负责本行政区域内党的政治理论和文化思想宣传工作;负责精神文明建设及各项创建活动的组织与实施;负责拥军优属工作的组织实施。</w:t>
      </w:r>
    </w:p>
    <w:p w14:paraId="2C0769A0">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接受县人大常委会的指导，负责人大主席团日常工作;检查、督促宪法、法律法规及本级人民代表大会和上级人民代表大会及其常务委员会的决议、决定在本行政区域内的遵守和执行;听取和审议本级人大</w:t>
      </w:r>
      <w:r>
        <w:rPr>
          <w:rFonts w:hint="eastAsia" w:ascii="仿宋_GB2312" w:hAnsi="仿宋_GB2312" w:eastAsia="仿宋_GB2312"/>
          <w:sz w:val="32"/>
          <w:lang w:eastAsia="zh-CN"/>
        </w:rPr>
        <w:t>政府工作报告</w:t>
      </w:r>
      <w:r>
        <w:rPr>
          <w:rFonts w:ascii="仿宋_GB2312" w:hAnsi="仿宋_GB2312" w:eastAsia="仿宋_GB2312"/>
          <w:sz w:val="32"/>
        </w:rPr>
        <w:t>，监督本级</w:t>
      </w:r>
      <w:r>
        <w:rPr>
          <w:rFonts w:hint="eastAsia" w:ascii="仿宋_GB2312" w:hAnsi="仿宋_GB2312" w:eastAsia="仿宋_GB2312"/>
          <w:sz w:val="32"/>
          <w:lang w:eastAsia="zh-CN"/>
        </w:rPr>
        <w:t>人民政府</w:t>
      </w:r>
      <w:r>
        <w:rPr>
          <w:rFonts w:ascii="仿宋_GB2312" w:hAnsi="仿宋_GB2312" w:eastAsia="仿宋_GB2312"/>
          <w:sz w:val="32"/>
        </w:rPr>
        <w:t>的工作;督促本级</w:t>
      </w:r>
      <w:r>
        <w:rPr>
          <w:rFonts w:hint="eastAsia" w:ascii="仿宋_GB2312" w:hAnsi="仿宋_GB2312" w:eastAsia="仿宋_GB2312"/>
          <w:sz w:val="32"/>
          <w:lang w:eastAsia="zh-CN"/>
        </w:rPr>
        <w:t>人民政府</w:t>
      </w:r>
      <w:r>
        <w:rPr>
          <w:rFonts w:ascii="仿宋_GB2312" w:hAnsi="仿宋_GB2312" w:eastAsia="仿宋_GB2312"/>
          <w:sz w:val="32"/>
        </w:rPr>
        <w:t>及有关单位办理本级人民代表提出的建议、批评、意见;负责对各代表组的领导，督促各代表组按照有关制度开展代表活动。</w:t>
      </w:r>
    </w:p>
    <w:p w14:paraId="4EDD3EBE">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接受县工会、团委、妇联组织的指导。在乡党委的领导下，负责乡基层工会、团委、妇联的组织工作。负责职工思想政治教育工作，协调劳动关系，维护职工权益:向党委、政府反映职工群众的意愿和要求，并提出意见和建议。</w:t>
      </w:r>
    </w:p>
    <w:p w14:paraId="447F66DD">
      <w:pPr>
        <w:spacing w:line="640" w:lineRule="exact"/>
        <w:ind w:firstLine="640"/>
        <w:jc w:val="both"/>
        <w:outlineLvl w:val="2"/>
      </w:pPr>
      <w:r>
        <w:rPr>
          <w:rFonts w:ascii="黑体" w:hAnsi="黑体" w:eastAsia="黑体"/>
          <w:sz w:val="32"/>
        </w:rPr>
        <w:t>二、机构设置及人员情况</w:t>
      </w:r>
    </w:p>
    <w:p w14:paraId="72990949">
      <w:pPr>
        <w:spacing w:line="580" w:lineRule="exact"/>
        <w:ind w:firstLine="640"/>
        <w:jc w:val="both"/>
      </w:pPr>
      <w:r>
        <w:rPr>
          <w:rFonts w:ascii="仿宋_GB2312" w:hAnsi="仿宋_GB2312" w:eastAsia="仿宋_GB2312"/>
          <w:sz w:val="32"/>
        </w:rPr>
        <w:t>麦盖提县希依提墩乡人民政府2024年度，实有人数121人，其中：在职人员104人，减少8人；离休人员0人，增加0人；退休人员17人,增加0人。</w:t>
      </w:r>
    </w:p>
    <w:p w14:paraId="7FC45CF4">
      <w:pPr>
        <w:spacing w:line="580" w:lineRule="exact"/>
        <w:ind w:firstLine="640"/>
        <w:jc w:val="both"/>
      </w:pPr>
      <w:r>
        <w:rPr>
          <w:rFonts w:ascii="仿宋_GB2312" w:hAnsi="仿宋_GB2312" w:eastAsia="仿宋_GB2312"/>
          <w:sz w:val="32"/>
        </w:rPr>
        <w:t>麦盖提县希依提墩乡人民政府无下属预算单位，下设5个科室，分别是：党建工作办公室、党政综合办公室、社会事务办公室、经济发展与财政办公室、综合执法办公室。</w:t>
      </w:r>
    </w:p>
    <w:p w14:paraId="21FBE8CD">
      <w:r>
        <w:br w:type="page"/>
      </w:r>
    </w:p>
    <w:p w14:paraId="47A3CBE6">
      <w:pPr>
        <w:spacing w:line="240" w:lineRule="auto"/>
        <w:jc w:val="center"/>
        <w:outlineLvl w:val="1"/>
      </w:pPr>
      <w:r>
        <w:rPr>
          <w:rFonts w:ascii="黑体" w:hAnsi="黑体" w:eastAsia="黑体"/>
          <w:sz w:val="32"/>
        </w:rPr>
        <w:t>第二部分 部门决算情况说明</w:t>
      </w:r>
    </w:p>
    <w:p w14:paraId="3723CFE1">
      <w:pPr>
        <w:spacing w:line="640" w:lineRule="exact"/>
        <w:ind w:firstLine="640"/>
        <w:jc w:val="both"/>
        <w:outlineLvl w:val="2"/>
      </w:pPr>
      <w:r>
        <w:rPr>
          <w:rFonts w:ascii="黑体" w:hAnsi="黑体" w:eastAsia="黑体"/>
          <w:sz w:val="32"/>
        </w:rPr>
        <w:t>一、收入支出决算总体情况说明</w:t>
      </w:r>
    </w:p>
    <w:p w14:paraId="6E6C3193">
      <w:pPr>
        <w:spacing w:line="580" w:lineRule="exact"/>
        <w:ind w:firstLine="640"/>
        <w:jc w:val="both"/>
      </w:pPr>
      <w:r>
        <w:rPr>
          <w:rFonts w:ascii="仿宋_GB2312" w:hAnsi="仿宋_GB2312" w:eastAsia="仿宋_GB2312"/>
          <w:b/>
          <w:sz w:val="32"/>
        </w:rPr>
        <w:t>2024年度收入总计3,224.06万元，</w:t>
      </w:r>
      <w:r>
        <w:rPr>
          <w:rFonts w:ascii="仿宋_GB2312" w:hAnsi="仿宋_GB2312" w:eastAsia="仿宋_GB2312"/>
          <w:b w:val="0"/>
          <w:sz w:val="32"/>
        </w:rPr>
        <w:t>其中：本年收入合计3,208.82万元，使用非财政拨款结余（含专用结余）0.00万元，年初结转和结余15.24万元。</w:t>
      </w:r>
    </w:p>
    <w:p w14:paraId="7B5F46EA">
      <w:pPr>
        <w:spacing w:line="580" w:lineRule="exact"/>
        <w:ind w:firstLine="640"/>
        <w:jc w:val="both"/>
      </w:pPr>
      <w:r>
        <w:rPr>
          <w:rFonts w:ascii="仿宋_GB2312" w:hAnsi="仿宋_GB2312" w:eastAsia="仿宋_GB2312"/>
          <w:b/>
          <w:sz w:val="32"/>
        </w:rPr>
        <w:t>2024年度支出总计3,224.06万元，</w:t>
      </w:r>
      <w:r>
        <w:rPr>
          <w:rFonts w:ascii="仿宋_GB2312" w:hAnsi="仿宋_GB2312" w:eastAsia="仿宋_GB2312"/>
          <w:b w:val="0"/>
          <w:sz w:val="32"/>
        </w:rPr>
        <w:t>其中：本年支出合计3,208.82万元，结余分配0.00万元，年末结转和结余15.24万元。</w:t>
      </w:r>
    </w:p>
    <w:p w14:paraId="405E8096">
      <w:pPr>
        <w:spacing w:line="580" w:lineRule="exact"/>
        <w:ind w:firstLine="640"/>
        <w:jc w:val="both"/>
      </w:pPr>
      <w:r>
        <w:rPr>
          <w:rFonts w:ascii="仿宋_GB2312" w:hAnsi="仿宋_GB2312" w:eastAsia="仿宋_GB2312"/>
          <w:b w:val="0"/>
          <w:sz w:val="32"/>
        </w:rPr>
        <w:t>收入支出总体与上年相比，增加367.54万元，增长12.87%，主要原因是：本年增加自治区林长制激励资金项目、乡村绿化美化项目、中央综合改革转移支付、2024年喀什地区本级福利彩票公益金支持社会组织参与基层社会治理项目等项目。</w:t>
      </w:r>
    </w:p>
    <w:p w14:paraId="52C2F101">
      <w:pPr>
        <w:spacing w:line="640" w:lineRule="exact"/>
        <w:ind w:firstLine="640"/>
        <w:jc w:val="both"/>
        <w:outlineLvl w:val="2"/>
      </w:pPr>
      <w:r>
        <w:rPr>
          <w:rFonts w:ascii="黑体" w:hAnsi="黑体" w:eastAsia="黑体"/>
          <w:sz w:val="32"/>
        </w:rPr>
        <w:t>二、收入决算情况说明</w:t>
      </w:r>
    </w:p>
    <w:p w14:paraId="482B0852">
      <w:pPr>
        <w:spacing w:line="580" w:lineRule="exact"/>
        <w:ind w:firstLine="640"/>
        <w:jc w:val="both"/>
      </w:pPr>
      <w:r>
        <w:rPr>
          <w:rFonts w:ascii="仿宋_GB2312" w:hAnsi="仿宋_GB2312" w:eastAsia="仿宋_GB2312"/>
          <w:b/>
          <w:sz w:val="32"/>
        </w:rPr>
        <w:t>本年收入3,208.82万元，</w:t>
      </w:r>
      <w:r>
        <w:rPr>
          <w:rFonts w:ascii="仿宋_GB2312" w:hAnsi="仿宋_GB2312" w:eastAsia="仿宋_GB2312"/>
          <w:b w:val="0"/>
          <w:sz w:val="32"/>
        </w:rPr>
        <w:t>其中：财政拨款收入2,807.44万元，占87.49%；上级补助收入0.00万元，占0.00%；事业收入0.00万元，占0.00%；经营收入0.00万元，占0.00%；附属单位上缴收入0.00万元，占0.00%；其他收入401.38万元，占12.51%。</w:t>
      </w:r>
    </w:p>
    <w:p w14:paraId="4F729AF8">
      <w:pPr>
        <w:spacing w:line="640" w:lineRule="exact"/>
        <w:ind w:firstLine="640"/>
        <w:jc w:val="both"/>
        <w:outlineLvl w:val="2"/>
      </w:pPr>
      <w:r>
        <w:rPr>
          <w:rFonts w:ascii="黑体" w:hAnsi="黑体" w:eastAsia="黑体"/>
          <w:sz w:val="32"/>
        </w:rPr>
        <w:t>三、支出决算情况说明</w:t>
      </w:r>
    </w:p>
    <w:p w14:paraId="28EE8CB5">
      <w:pPr>
        <w:spacing w:line="580" w:lineRule="exact"/>
        <w:ind w:firstLine="640"/>
        <w:jc w:val="both"/>
      </w:pPr>
      <w:r>
        <w:rPr>
          <w:rFonts w:ascii="仿宋_GB2312" w:hAnsi="仿宋_GB2312" w:eastAsia="仿宋_GB2312"/>
          <w:b/>
          <w:sz w:val="32"/>
        </w:rPr>
        <w:t>本年支出3,208.82万元，</w:t>
      </w:r>
      <w:r>
        <w:rPr>
          <w:rFonts w:ascii="仿宋_GB2312" w:hAnsi="仿宋_GB2312" w:eastAsia="仿宋_GB2312"/>
          <w:b w:val="0"/>
          <w:sz w:val="32"/>
        </w:rPr>
        <w:t>其中：基本支出2,014.12万元，占62.77%；项目支出1,194.69万元，占37.23%；上缴上级支出0.00万元，占0.00%；经营支出0.00万元，占0.00%；对附属单位补助支出0.00万元，占0.00%。</w:t>
      </w:r>
    </w:p>
    <w:p w14:paraId="0C96378B">
      <w:pPr>
        <w:spacing w:line="640" w:lineRule="exact"/>
        <w:ind w:firstLine="640"/>
        <w:jc w:val="both"/>
        <w:outlineLvl w:val="2"/>
      </w:pPr>
      <w:r>
        <w:rPr>
          <w:rFonts w:ascii="黑体" w:hAnsi="黑体" w:eastAsia="黑体"/>
          <w:sz w:val="32"/>
        </w:rPr>
        <w:t>四、财政拨款收入支出决算总体情况说明</w:t>
      </w:r>
    </w:p>
    <w:p w14:paraId="2929177D">
      <w:pPr>
        <w:spacing w:line="580" w:lineRule="exact"/>
        <w:ind w:firstLine="640"/>
        <w:jc w:val="both"/>
      </w:pPr>
      <w:r>
        <w:rPr>
          <w:rFonts w:ascii="仿宋_GB2312" w:hAnsi="仿宋_GB2312" w:eastAsia="仿宋_GB2312"/>
          <w:b/>
          <w:sz w:val="32"/>
        </w:rPr>
        <w:t>2024年度财政拨款收入总计2,807.44万元，</w:t>
      </w:r>
      <w:r>
        <w:rPr>
          <w:rFonts w:ascii="仿宋_GB2312" w:hAnsi="仿宋_GB2312" w:eastAsia="仿宋_GB2312"/>
          <w:b w:val="0"/>
          <w:sz w:val="32"/>
        </w:rPr>
        <w:t>其中：年初财政拨款结转和结余0.00万元，本年财政拨款收入2,807.44万元。</w:t>
      </w:r>
      <w:r>
        <w:rPr>
          <w:rFonts w:ascii="仿宋_GB2312" w:hAnsi="仿宋_GB2312" w:eastAsia="仿宋_GB2312"/>
          <w:b/>
          <w:sz w:val="32"/>
        </w:rPr>
        <w:t>财政拨款支出总计2,807.44万元，</w:t>
      </w:r>
      <w:r>
        <w:rPr>
          <w:rFonts w:ascii="仿宋_GB2312" w:hAnsi="仿宋_GB2312" w:eastAsia="仿宋_GB2312"/>
          <w:b w:val="0"/>
          <w:sz w:val="32"/>
        </w:rPr>
        <w:t>其中：年末财政拨款结转和结余0.00万元，本年财政拨款支出2,807.44万元。</w:t>
      </w:r>
    </w:p>
    <w:p w14:paraId="278614A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增加198.62万元，增长7.61%，主要原因是：本年增加自治区林长制激励资金项目、乡村绿化美化项目、中央综合改革转移支付、2024年喀什地区本级福利彩票公益金支持社会组织参与基层社会治理项目等项目。</w:t>
      </w:r>
      <w:r>
        <w:rPr>
          <w:rFonts w:ascii="仿宋_GB2312" w:hAnsi="仿宋_GB2312" w:eastAsia="仿宋_GB2312"/>
          <w:b/>
          <w:sz w:val="32"/>
        </w:rPr>
        <w:t>与年初预算相比，</w:t>
      </w:r>
      <w:r>
        <w:rPr>
          <w:rFonts w:ascii="仿宋_GB2312" w:hAnsi="仿宋_GB2312" w:eastAsia="仿宋_GB2312"/>
          <w:b w:val="0"/>
          <w:sz w:val="32"/>
        </w:rPr>
        <w:t>年初预算数1,980.08万元，决算数2,807.44万元，预决算差异率41.78%，主要原因是：本年度在职人员工资调薪，工资、社保、住房公积金等相关人员经费增加，年中追加人员经费；年中追加公共文化服务项目、</w:t>
      </w:r>
      <w:r>
        <w:rPr>
          <w:rFonts w:hint="eastAsia" w:ascii="仿宋_GB2312" w:hAnsi="仿宋_GB2312" w:eastAsia="仿宋_GB2312"/>
          <w:b w:val="0"/>
          <w:sz w:val="32"/>
          <w:lang w:eastAsia="zh-CN"/>
        </w:rPr>
        <w:t>为民办实事</w:t>
      </w:r>
      <w:r>
        <w:rPr>
          <w:rFonts w:ascii="仿宋_GB2312" w:hAnsi="仿宋_GB2312" w:eastAsia="仿宋_GB2312"/>
          <w:b w:val="0"/>
          <w:sz w:val="32"/>
        </w:rPr>
        <w:t>活动经费、村级组织运转经费、幸福大院运转经费、自治区林长制激励资金、乡村绿化美化项目、中央综合改革转移支付资金、2024年喀什地区本级福利彩票公益金支持社会组织参与基层社会治理项目等项目经费，导致预决算存在差异。</w:t>
      </w:r>
    </w:p>
    <w:p w14:paraId="352E170E">
      <w:pPr>
        <w:spacing w:line="640" w:lineRule="exact"/>
        <w:ind w:firstLine="640"/>
        <w:jc w:val="both"/>
        <w:outlineLvl w:val="2"/>
      </w:pPr>
      <w:r>
        <w:rPr>
          <w:rFonts w:ascii="黑体" w:hAnsi="黑体" w:eastAsia="黑体"/>
          <w:sz w:val="32"/>
        </w:rPr>
        <w:t>五、一般公共预算财政拨款支出决算情况说明</w:t>
      </w:r>
    </w:p>
    <w:p w14:paraId="4509B92A">
      <w:pPr>
        <w:spacing w:line="640" w:lineRule="exact"/>
        <w:ind w:firstLine="640"/>
        <w:jc w:val="both"/>
        <w:outlineLvl w:val="3"/>
      </w:pPr>
      <w:r>
        <w:rPr>
          <w:rFonts w:ascii="楷体_GB2312" w:hAnsi="楷体_GB2312" w:eastAsia="楷体_GB2312"/>
          <w:b/>
          <w:sz w:val="32"/>
        </w:rPr>
        <w:t>（一）一般公共预算财政拨款支出决算总体情况</w:t>
      </w:r>
    </w:p>
    <w:p w14:paraId="011E45BD">
      <w:pPr>
        <w:spacing w:line="580" w:lineRule="exact"/>
        <w:ind w:firstLine="640"/>
        <w:jc w:val="both"/>
      </w:pPr>
      <w:r>
        <w:rPr>
          <w:rFonts w:ascii="仿宋_GB2312" w:hAnsi="仿宋_GB2312" w:eastAsia="仿宋_GB2312"/>
          <w:b/>
          <w:sz w:val="32"/>
        </w:rPr>
        <w:t>2024年度一般公共预算财政拨款支出2,783.44万元，</w:t>
      </w:r>
      <w:r>
        <w:rPr>
          <w:rFonts w:ascii="仿宋_GB2312" w:hAnsi="仿宋_GB2312" w:eastAsia="仿宋_GB2312"/>
          <w:b w:val="0"/>
          <w:sz w:val="32"/>
        </w:rPr>
        <w:t>占本年支出合计的86.74%。</w:t>
      </w:r>
      <w:r>
        <w:rPr>
          <w:rFonts w:ascii="仿宋_GB2312" w:hAnsi="仿宋_GB2312" w:eastAsia="仿宋_GB2312"/>
          <w:b/>
          <w:sz w:val="32"/>
        </w:rPr>
        <w:t>与上年相比，</w:t>
      </w:r>
      <w:r>
        <w:rPr>
          <w:rFonts w:ascii="仿宋_GB2312" w:hAnsi="仿宋_GB2312" w:eastAsia="仿宋_GB2312"/>
          <w:b w:val="0"/>
          <w:sz w:val="32"/>
        </w:rPr>
        <w:t>增加182.62万元，增长7.02%，主要原因是：本年增加自治区林长制激励资金项目、乡村绿化美化项目、中央综合改革转移支付等项目。</w:t>
      </w:r>
      <w:r>
        <w:rPr>
          <w:rFonts w:ascii="仿宋_GB2312" w:hAnsi="仿宋_GB2312" w:eastAsia="仿宋_GB2312"/>
          <w:b/>
          <w:sz w:val="32"/>
        </w:rPr>
        <w:t>与年初预算相比,</w:t>
      </w:r>
      <w:r>
        <w:rPr>
          <w:rFonts w:ascii="仿宋_GB2312" w:hAnsi="仿宋_GB2312" w:eastAsia="仿宋_GB2312"/>
          <w:b w:val="0"/>
          <w:sz w:val="32"/>
        </w:rPr>
        <w:t>年初预算数1,972.08万元，决算数2,783.44万元，预决算差异率41.14%，主要原因是：本年度在职人员工资调薪，工资、社保、住房公积金等相关人员经费增加，年中追加人员经费；年中追加公共文化服务项目、</w:t>
      </w:r>
      <w:r>
        <w:rPr>
          <w:rFonts w:hint="eastAsia" w:ascii="仿宋_GB2312" w:hAnsi="仿宋_GB2312" w:eastAsia="仿宋_GB2312"/>
          <w:b w:val="0"/>
          <w:sz w:val="32"/>
          <w:lang w:eastAsia="zh-CN"/>
        </w:rPr>
        <w:t>为民办实事</w:t>
      </w:r>
      <w:r>
        <w:rPr>
          <w:rFonts w:ascii="仿宋_GB2312" w:hAnsi="仿宋_GB2312" w:eastAsia="仿宋_GB2312"/>
          <w:b w:val="0"/>
          <w:sz w:val="32"/>
        </w:rPr>
        <w:t>活动经费、村级组织运转经费、幸福大院运转经费、自治区林长制激励资金、乡村绿化美化项目、中央综合改革转移支付资金等项目经费，导致预决算存在差异。</w:t>
      </w:r>
    </w:p>
    <w:p w14:paraId="49585365">
      <w:pPr>
        <w:spacing w:line="640" w:lineRule="exact"/>
        <w:ind w:firstLine="640"/>
        <w:jc w:val="both"/>
        <w:outlineLvl w:val="3"/>
      </w:pPr>
      <w:r>
        <w:rPr>
          <w:rFonts w:ascii="楷体_GB2312" w:hAnsi="楷体_GB2312" w:eastAsia="楷体_GB2312"/>
          <w:b/>
          <w:sz w:val="32"/>
        </w:rPr>
        <w:t>（二）一般公共预算财政拨款支出决算结构情况</w:t>
      </w:r>
    </w:p>
    <w:p w14:paraId="3942EA72">
      <w:pPr>
        <w:spacing w:line="580" w:lineRule="exact"/>
        <w:ind w:firstLine="640"/>
        <w:jc w:val="both"/>
      </w:pPr>
      <w:r>
        <w:rPr>
          <w:rFonts w:ascii="仿宋_GB2312" w:hAnsi="仿宋_GB2312" w:eastAsia="仿宋_GB2312"/>
          <w:b w:val="0"/>
          <w:sz w:val="32"/>
        </w:rPr>
        <w:t>1.一般公共服务支出(类)1,700.15万元,占61.08%。</w:t>
      </w:r>
    </w:p>
    <w:p w14:paraId="5833FECF">
      <w:pPr>
        <w:spacing w:line="580" w:lineRule="exact"/>
        <w:ind w:firstLine="640"/>
        <w:jc w:val="both"/>
      </w:pPr>
      <w:r>
        <w:rPr>
          <w:rFonts w:ascii="仿宋_GB2312" w:hAnsi="仿宋_GB2312" w:eastAsia="仿宋_GB2312"/>
          <w:b w:val="0"/>
          <w:sz w:val="32"/>
        </w:rPr>
        <w:t>2.文化旅游体育与传媒支出(类)64.61万元,占2.32%。</w:t>
      </w:r>
    </w:p>
    <w:p w14:paraId="41EE754E">
      <w:pPr>
        <w:spacing w:line="580" w:lineRule="exact"/>
        <w:ind w:firstLine="640"/>
        <w:jc w:val="both"/>
      </w:pPr>
      <w:r>
        <w:rPr>
          <w:rFonts w:ascii="仿宋_GB2312" w:hAnsi="仿宋_GB2312" w:eastAsia="仿宋_GB2312"/>
          <w:b w:val="0"/>
          <w:sz w:val="32"/>
        </w:rPr>
        <w:t>3.社会保障和就业支出(类)223.71万元,占8.04%。</w:t>
      </w:r>
    </w:p>
    <w:p w14:paraId="506120A9">
      <w:pPr>
        <w:spacing w:line="580" w:lineRule="exact"/>
        <w:ind w:firstLine="640"/>
        <w:jc w:val="both"/>
      </w:pPr>
      <w:r>
        <w:rPr>
          <w:rFonts w:ascii="仿宋_GB2312" w:hAnsi="仿宋_GB2312" w:eastAsia="仿宋_GB2312"/>
          <w:b w:val="0"/>
          <w:sz w:val="32"/>
        </w:rPr>
        <w:t>4.卫生健康支出(类)90.21万元,占3.24%。</w:t>
      </w:r>
    </w:p>
    <w:p w14:paraId="7B017B2F">
      <w:pPr>
        <w:spacing w:line="580" w:lineRule="exact"/>
        <w:ind w:firstLine="640"/>
        <w:jc w:val="both"/>
      </w:pPr>
      <w:r>
        <w:rPr>
          <w:rFonts w:ascii="仿宋_GB2312" w:hAnsi="仿宋_GB2312" w:eastAsia="仿宋_GB2312"/>
          <w:b w:val="0"/>
          <w:sz w:val="32"/>
        </w:rPr>
        <w:t>5.节能环保支出(类)2.95万元,占0.11%。</w:t>
      </w:r>
    </w:p>
    <w:p w14:paraId="63BAFF0B">
      <w:pPr>
        <w:spacing w:line="580" w:lineRule="exact"/>
        <w:ind w:firstLine="640"/>
        <w:jc w:val="both"/>
      </w:pPr>
      <w:r>
        <w:rPr>
          <w:rFonts w:ascii="仿宋_GB2312" w:hAnsi="仿宋_GB2312" w:eastAsia="仿宋_GB2312"/>
          <w:b w:val="0"/>
          <w:sz w:val="32"/>
        </w:rPr>
        <w:t>6.农林水支出(类)543.58万元,占19.53%。</w:t>
      </w:r>
    </w:p>
    <w:p w14:paraId="68ED2BDB">
      <w:pPr>
        <w:spacing w:line="580" w:lineRule="exact"/>
        <w:ind w:firstLine="640"/>
        <w:jc w:val="both"/>
      </w:pPr>
      <w:r>
        <w:rPr>
          <w:rFonts w:ascii="仿宋_GB2312" w:hAnsi="仿宋_GB2312" w:eastAsia="仿宋_GB2312"/>
          <w:b w:val="0"/>
          <w:sz w:val="32"/>
        </w:rPr>
        <w:t>7.住房保障支出(类)140.90万元,占5.06%。</w:t>
      </w:r>
    </w:p>
    <w:p w14:paraId="2C8C4558">
      <w:pPr>
        <w:spacing w:line="580" w:lineRule="exact"/>
        <w:ind w:firstLine="640"/>
        <w:jc w:val="both"/>
      </w:pPr>
      <w:r>
        <w:rPr>
          <w:rFonts w:ascii="仿宋_GB2312" w:hAnsi="仿宋_GB2312" w:eastAsia="仿宋_GB2312"/>
          <w:b w:val="0"/>
          <w:sz w:val="32"/>
        </w:rPr>
        <w:t>8.其他支出(类)17.32万元,占0.62%。</w:t>
      </w:r>
    </w:p>
    <w:p w14:paraId="523A1304">
      <w:pPr>
        <w:spacing w:line="640" w:lineRule="exact"/>
        <w:ind w:firstLine="640"/>
        <w:jc w:val="both"/>
        <w:outlineLvl w:val="3"/>
      </w:pPr>
      <w:r>
        <w:rPr>
          <w:rFonts w:ascii="楷体_GB2312" w:hAnsi="楷体_GB2312" w:eastAsia="楷体_GB2312"/>
          <w:b/>
          <w:sz w:val="32"/>
        </w:rPr>
        <w:t>（三）一般公共预算财政拨款支出决算具体情况</w:t>
      </w:r>
    </w:p>
    <w:p w14:paraId="56A09237">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1.一般公共服务支出(类)政府办公厅（室）及相关机构事务(款)行政运行(项):支出决算数为1,574.30万元，比上年决算减少58.64万元，下降3.59%,主要原因是：本年在职人员减少，相应人员经费较上年减少。</w:t>
      </w:r>
    </w:p>
    <w:p w14:paraId="68E8E190">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2.一般公共服务支出(类)纪检监察事务(款)其他纪检监察事务支出(项):支出决算数为2.00万元，比上年决算增加0.50万元，增长33.33%,主要原因是：本年度纪检办公室办案经费增加，办公费用增加，造成纪检监察事务</w:t>
      </w:r>
      <w:r>
        <w:rPr>
          <w:rFonts w:hint="eastAsia" w:ascii="仿宋_GB2312" w:hAnsi="仿宋_GB2312" w:eastAsia="仿宋_GB2312"/>
          <w:b w:val="0"/>
          <w:sz w:val="32"/>
          <w:lang w:val="en-US" w:eastAsia="zh-CN"/>
        </w:rPr>
        <w:t>经费</w:t>
      </w:r>
      <w:r>
        <w:rPr>
          <w:rFonts w:ascii="仿宋_GB2312" w:hAnsi="仿宋_GB2312" w:eastAsia="仿宋_GB2312"/>
          <w:b w:val="0"/>
          <w:sz w:val="32"/>
        </w:rPr>
        <w:t>增加。</w:t>
      </w:r>
    </w:p>
    <w:p w14:paraId="36588C13">
      <w:pPr>
        <w:spacing w:line="580" w:lineRule="exact"/>
        <w:ind w:firstLine="640"/>
        <w:jc w:val="both"/>
      </w:pPr>
      <w:r>
        <w:rPr>
          <w:rFonts w:ascii="仿宋_GB2312" w:hAnsi="仿宋_GB2312" w:eastAsia="仿宋_GB2312"/>
          <w:b w:val="0"/>
          <w:sz w:val="32"/>
        </w:rPr>
        <w:t>3.一般公共服务支出(类)组织事务(款)其他组织事务支出(项):支出决算数为123.85万元，比上年决算增加60.35万元，增长95.04%,主要原因是：本年度增加驻村工作为民办实事经费和2024年下派选调生到村工作中央财政补助资金项目。</w:t>
      </w:r>
    </w:p>
    <w:p w14:paraId="783EDC54">
      <w:pPr>
        <w:spacing w:line="580" w:lineRule="exact"/>
        <w:ind w:firstLine="640"/>
        <w:jc w:val="both"/>
      </w:pPr>
      <w:r>
        <w:rPr>
          <w:rFonts w:ascii="仿宋_GB2312" w:hAnsi="仿宋_GB2312" w:eastAsia="仿宋_GB2312"/>
          <w:b w:val="0"/>
          <w:sz w:val="32"/>
        </w:rPr>
        <w:t>4.文化旅游体育与传媒支出(类)文化和旅游(款)群众文化(项):支出决算数为64.61万元，比上年决算增加64.61万元，增长100.00%,主要原因是：本年功能科目调整，中央补助地方公共文化服务体系建设补助资金项目上年在其他文化旅游体育与传媒支出科目列支，本年在群众文化科目列支，导致经费较上年增加。</w:t>
      </w:r>
    </w:p>
    <w:p w14:paraId="50CF8098">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0.00万元，比上年决算减少30.00万元，下降100.00%,主要原因是：本年功能科目调整，中央补助地方公共文化服务体系建设补助资金项目上年在其他文化旅游体育与传媒支出科目列支，本年在群众文化科目列支，导致经费较上年减少。</w:t>
      </w:r>
    </w:p>
    <w:p w14:paraId="77ED35D9">
      <w:pPr>
        <w:spacing w:line="580" w:lineRule="exact"/>
        <w:ind w:firstLine="640"/>
        <w:jc w:val="both"/>
      </w:pPr>
      <w:r>
        <w:rPr>
          <w:rFonts w:ascii="仿宋_GB2312" w:hAnsi="仿宋_GB2312" w:eastAsia="仿宋_GB2312"/>
          <w:b w:val="0"/>
          <w:sz w:val="32"/>
        </w:rPr>
        <w:t>6.社会保障和就业支出(类)民政管理事务(款)其他民政管理事务支出(项):支出决算数为5.00万元，比上年决算减少3.00万元，下降37.50%,主要原因是：本年度减少幸福大院冬季取暖电费项目</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p>
    <w:p w14:paraId="3769FDBF">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7.社会保障和就业支出(类)行政事业单位养老支出(款)行政单位离退休(项):支出决算数为21.54万元，比上年决算增加3.99万元，增长22.74%,主要原因是：本年增加退休人员基础绩效奖，退休费支出增加。</w:t>
      </w:r>
    </w:p>
    <w:p w14:paraId="2AC3034B">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177.71万元，比上年决算增加7.16万元，增长4.20%,主要原因是：本年在职人员工资基数调增，养老缴费基数上涨，相应支出增加。</w:t>
      </w:r>
    </w:p>
    <w:p w14:paraId="666783A6">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9.社会保障和就业支出(类)行政事业单位养老支出(款)机关事业单位职业年金缴费支出(项):支出决算数为9.46万元，比上年决算增加9.46万元，增长100.00%,主要原因是：本年</w:t>
      </w:r>
      <w:r>
        <w:rPr>
          <w:rFonts w:hint="eastAsia" w:ascii="仿宋_GB2312" w:hAnsi="仿宋_GB2312" w:eastAsia="仿宋_GB2312"/>
          <w:b w:val="0"/>
          <w:sz w:val="32"/>
          <w:lang w:val="en-US" w:eastAsia="zh-CN"/>
        </w:rPr>
        <w:t>发放</w:t>
      </w:r>
      <w:r>
        <w:rPr>
          <w:rFonts w:ascii="仿宋_GB2312" w:hAnsi="仿宋_GB2312" w:eastAsia="仿宋_GB2312"/>
          <w:b w:val="0"/>
          <w:sz w:val="32"/>
        </w:rPr>
        <w:t>调出外县人员</w:t>
      </w:r>
      <w:r>
        <w:rPr>
          <w:rFonts w:hint="eastAsia" w:ascii="仿宋_GB2312" w:hAnsi="仿宋_GB2312" w:eastAsia="仿宋_GB2312"/>
          <w:b w:val="0"/>
          <w:sz w:val="32"/>
          <w:lang w:val="en-US" w:eastAsia="zh-CN"/>
        </w:rPr>
        <w:t>职业年金</w:t>
      </w:r>
      <w:r>
        <w:rPr>
          <w:rFonts w:ascii="仿宋_GB2312" w:hAnsi="仿宋_GB2312" w:eastAsia="仿宋_GB2312"/>
          <w:b w:val="0"/>
          <w:sz w:val="32"/>
        </w:rPr>
        <w:t>，职业年金缴费支出增加。</w:t>
      </w:r>
    </w:p>
    <w:p w14:paraId="69FF8733">
      <w:pPr>
        <w:spacing w:line="580" w:lineRule="exact"/>
        <w:ind w:firstLine="640"/>
        <w:jc w:val="both"/>
      </w:pPr>
      <w:r>
        <w:rPr>
          <w:rFonts w:ascii="仿宋_GB2312" w:hAnsi="仿宋_GB2312" w:eastAsia="仿宋_GB2312"/>
          <w:b w:val="0"/>
          <w:sz w:val="32"/>
        </w:rPr>
        <w:t>10.社会保障和就业支出(类)临时救助(款)临时救助支出(项):支出决算数为10.00万元，比上年决算减少113.40万元，下降91.90%,主要原因是：本年度临时救助项目调整到民政局支出，造成乡镇临时救助支出减少。</w:t>
      </w:r>
    </w:p>
    <w:p w14:paraId="32E7B6D2">
      <w:pPr>
        <w:spacing w:line="580" w:lineRule="exact"/>
        <w:ind w:firstLine="640"/>
        <w:jc w:val="both"/>
      </w:pPr>
      <w:r>
        <w:rPr>
          <w:rFonts w:ascii="仿宋_GB2312" w:hAnsi="仿宋_GB2312" w:eastAsia="仿宋_GB2312"/>
          <w:b w:val="0"/>
          <w:sz w:val="32"/>
        </w:rPr>
        <w:t>11.卫生健康支出(类)行政事业单位医疗(款)行政单位医疗(项):支出决算数为75.53万元，比上年决算增加2.27万元，增长3.10%,主要原因是：本年在职人员工资基数调增，医疗缴费基数上涨，相应支出增加。</w:t>
      </w:r>
    </w:p>
    <w:p w14:paraId="54684C54">
      <w:pPr>
        <w:spacing w:line="580" w:lineRule="exact"/>
        <w:ind w:firstLine="640"/>
        <w:jc w:val="both"/>
      </w:pPr>
      <w:r>
        <w:rPr>
          <w:rFonts w:ascii="仿宋_GB2312" w:hAnsi="仿宋_GB2312" w:eastAsia="仿宋_GB2312"/>
          <w:b w:val="0"/>
          <w:sz w:val="32"/>
        </w:rPr>
        <w:t>12.卫生健康支出(类)行政事业单位医疗(款)公务员医疗补助(项):支出决算数为14.68万元，比上年决算增加0.10万元，增长0.69%,主要原因是：本年在职人员工资基数调增，医疗缴费基数上涨，相应支出增加。</w:t>
      </w:r>
    </w:p>
    <w:p w14:paraId="5326342B">
      <w:pPr>
        <w:spacing w:line="580" w:lineRule="exact"/>
        <w:ind w:firstLine="640"/>
        <w:jc w:val="both"/>
      </w:pPr>
      <w:r>
        <w:rPr>
          <w:rFonts w:ascii="仿宋_GB2312" w:hAnsi="仿宋_GB2312" w:eastAsia="仿宋_GB2312"/>
          <w:b w:val="0"/>
          <w:sz w:val="32"/>
        </w:rPr>
        <w:t>13.节能环保支出(类)能源管理事务(款)能源行业管理(项):支出决算数为2.95万元，比上年决算增加2.95万元，增长100.00%,主要原因是：本年度新增“煤改电”项目前期费用项目。</w:t>
      </w:r>
    </w:p>
    <w:p w14:paraId="333D897E">
      <w:pPr>
        <w:spacing w:line="580" w:lineRule="exact"/>
        <w:ind w:firstLine="640"/>
        <w:jc w:val="both"/>
      </w:pPr>
      <w:r>
        <w:rPr>
          <w:rFonts w:ascii="仿宋_GB2312" w:hAnsi="仿宋_GB2312" w:eastAsia="仿宋_GB2312"/>
          <w:b w:val="0"/>
          <w:sz w:val="32"/>
        </w:rPr>
        <w:t>14.农林水支出(类)林业和草原(款)其他林业和草原支出(项):支出决算数为235.80万元，比上年决算增加235.80万元，增长100.00%,主要原因是：本年度新增自治区林长制激励资金项目和2024年乡村绿化美化项目。</w:t>
      </w:r>
    </w:p>
    <w:p w14:paraId="214DD097">
      <w:pPr>
        <w:spacing w:line="580" w:lineRule="exact"/>
        <w:ind w:firstLine="640"/>
        <w:jc w:val="both"/>
      </w:pPr>
      <w:r>
        <w:rPr>
          <w:rFonts w:ascii="仿宋_GB2312" w:hAnsi="仿宋_GB2312" w:eastAsia="仿宋_GB2312"/>
          <w:b w:val="0"/>
          <w:sz w:val="32"/>
        </w:rPr>
        <w:t>15.农林水支出(类)巩固脱贫攻坚成果衔接乡村振兴(款)生产发展(项):支出决算数为38.49万元，比上年决算增加38.49万元，增长100.00%,主要原因是：本年度新增希依提墩乡产业（林果业）扶持以奖代补项目。</w:t>
      </w:r>
    </w:p>
    <w:p w14:paraId="24FA3847">
      <w:pPr>
        <w:spacing w:line="580" w:lineRule="exact"/>
        <w:ind w:firstLine="640"/>
        <w:jc w:val="both"/>
      </w:pPr>
      <w:r>
        <w:rPr>
          <w:rFonts w:ascii="仿宋_GB2312" w:hAnsi="仿宋_GB2312" w:eastAsia="仿宋_GB2312"/>
          <w:b w:val="0"/>
          <w:sz w:val="32"/>
        </w:rPr>
        <w:t>16.农林水支出(类)农村综合改革(款)对村级公益事业建设的补助(项):支出决算数为100.00万元，比上年决算增加100.00万元，增长100.00%,主要原因是：本年度新增中央综合改革转移支付资金项目。</w:t>
      </w:r>
    </w:p>
    <w:p w14:paraId="245CD2DE">
      <w:pPr>
        <w:spacing w:line="580" w:lineRule="exact"/>
        <w:ind w:firstLine="640"/>
        <w:jc w:val="both"/>
      </w:pPr>
      <w:r>
        <w:rPr>
          <w:rFonts w:ascii="仿宋_GB2312" w:hAnsi="仿宋_GB2312" w:eastAsia="仿宋_GB2312"/>
          <w:b w:val="0"/>
          <w:sz w:val="32"/>
        </w:rPr>
        <w:t>17.农林水支出(类)其他农林水支出(款)其他农林水支出(项):支出决算数为169.30万元，比上年决算增加169.30万元，增长100.00%,主要原因是：本年度新增麦盖提县2024年美丽庭院建设项目、麦盖提县希依提墩乡巴莎公路两侧林带土地平整项目。</w:t>
      </w:r>
    </w:p>
    <w:p w14:paraId="355127F8">
      <w:pPr>
        <w:spacing w:line="580" w:lineRule="exact"/>
        <w:ind w:firstLine="640"/>
        <w:jc w:val="both"/>
      </w:pPr>
      <w:r>
        <w:rPr>
          <w:rFonts w:ascii="仿宋_GB2312" w:hAnsi="仿宋_GB2312" w:eastAsia="仿宋_GB2312"/>
          <w:b w:val="0"/>
          <w:sz w:val="32"/>
        </w:rPr>
        <w:t>18.住房保障支出(类)住房改革支出(款)住房公积金(项):支出决算数为140.90万元，比上年决算增加18.59万元，增长15.20%,主要原因是：本年在职人员工资基数调增，公积金缴费基数上涨，相应支出增加。</w:t>
      </w:r>
    </w:p>
    <w:p w14:paraId="63BBE46A">
      <w:pPr>
        <w:spacing w:line="580" w:lineRule="exact"/>
        <w:ind w:firstLine="640"/>
        <w:jc w:val="both"/>
      </w:pPr>
      <w:r>
        <w:rPr>
          <w:rFonts w:ascii="仿宋_GB2312" w:hAnsi="仿宋_GB2312" w:eastAsia="仿宋_GB2312"/>
          <w:b w:val="0"/>
          <w:sz w:val="32"/>
        </w:rPr>
        <w:t>19.其他支出(类)其他支出(款)其他支出(项):支出决算数为17.32万元，比上年决算减少325.91万元，下降94.95%,主要原因是：本年度减少希依提墩乡2023年村级组织活动场所建设项目。</w:t>
      </w:r>
    </w:p>
    <w:p w14:paraId="57B33B09">
      <w:pPr>
        <w:spacing w:line="640" w:lineRule="exact"/>
        <w:ind w:firstLine="640"/>
        <w:jc w:val="both"/>
        <w:outlineLvl w:val="2"/>
      </w:pPr>
      <w:r>
        <w:rPr>
          <w:rFonts w:ascii="黑体" w:hAnsi="黑体" w:eastAsia="黑体"/>
          <w:sz w:val="32"/>
        </w:rPr>
        <w:t>六、一般公共预算财政拨款基本支出决算情况说明</w:t>
      </w:r>
    </w:p>
    <w:p w14:paraId="238FC527">
      <w:pPr>
        <w:spacing w:line="580" w:lineRule="exact"/>
        <w:ind w:firstLine="640"/>
        <w:jc w:val="both"/>
      </w:pPr>
      <w:r>
        <w:rPr>
          <w:rFonts w:ascii="仿宋_GB2312" w:hAnsi="仿宋_GB2312" w:eastAsia="仿宋_GB2312"/>
          <w:b w:val="0"/>
          <w:sz w:val="32"/>
        </w:rPr>
        <w:t>2024年度一般公共预算财政拨款基本支出2,014.12万元，其中：</w:t>
      </w:r>
      <w:r>
        <w:rPr>
          <w:rFonts w:ascii="仿宋_GB2312" w:hAnsi="仿宋_GB2312" w:eastAsia="仿宋_GB2312"/>
          <w:b/>
          <w:sz w:val="32"/>
        </w:rPr>
        <w:t>人员经费1,872.30万元，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医疗费补助。</w:t>
      </w:r>
    </w:p>
    <w:p w14:paraId="22C735BB">
      <w:pPr>
        <w:spacing w:line="580" w:lineRule="exact"/>
        <w:ind w:firstLine="640"/>
        <w:jc w:val="both"/>
      </w:pPr>
      <w:r>
        <w:rPr>
          <w:rFonts w:ascii="仿宋_GB2312" w:hAnsi="仿宋_GB2312" w:eastAsia="仿宋_GB2312"/>
          <w:b/>
          <w:sz w:val="32"/>
        </w:rPr>
        <w:t>公用经费141.82万元，</w:t>
      </w:r>
      <w:r>
        <w:rPr>
          <w:rFonts w:ascii="仿宋_GB2312" w:hAnsi="仿宋_GB2312" w:eastAsia="仿宋_GB2312"/>
          <w:b w:val="0"/>
          <w:sz w:val="32"/>
        </w:rPr>
        <w:t>包括：办公费、印刷费、水费、电费、邮电费、取暖费、差旅费、维修（护）费、租赁费、劳务费、委托业务费、公务用车运行维护费、其他交通费用、其他商品和服务支出、办公设备购置。</w:t>
      </w:r>
    </w:p>
    <w:p w14:paraId="02838B62">
      <w:pPr>
        <w:spacing w:line="640" w:lineRule="exact"/>
        <w:ind w:firstLine="640"/>
        <w:jc w:val="both"/>
        <w:outlineLvl w:val="2"/>
      </w:pPr>
      <w:r>
        <w:rPr>
          <w:rFonts w:ascii="黑体" w:hAnsi="黑体" w:eastAsia="黑体"/>
          <w:sz w:val="32"/>
        </w:rPr>
        <w:t>七、政府性基金预算财政拨款收入支出决算情况说明</w:t>
      </w:r>
    </w:p>
    <w:p w14:paraId="2121CAD9">
      <w:pPr>
        <w:spacing w:line="580" w:lineRule="exact"/>
        <w:ind w:firstLine="640"/>
        <w:jc w:val="both"/>
      </w:pPr>
      <w:r>
        <w:rPr>
          <w:rFonts w:ascii="仿宋_GB2312" w:hAnsi="仿宋_GB2312" w:eastAsia="仿宋_GB2312"/>
          <w:b/>
          <w:sz w:val="32"/>
        </w:rPr>
        <w:t>2024年度政府性基金预算财政拨款收入总计24.00万元，</w:t>
      </w:r>
      <w:r>
        <w:rPr>
          <w:rFonts w:ascii="仿宋_GB2312" w:hAnsi="仿宋_GB2312" w:eastAsia="仿宋_GB2312"/>
          <w:b w:val="0"/>
          <w:sz w:val="32"/>
        </w:rPr>
        <w:t>其中：年初结转和结余0.00万元，本年收入24.00万元。</w:t>
      </w:r>
      <w:r>
        <w:rPr>
          <w:rFonts w:ascii="仿宋_GB2312" w:hAnsi="仿宋_GB2312" w:eastAsia="仿宋_GB2312"/>
          <w:b/>
          <w:sz w:val="32"/>
        </w:rPr>
        <w:t>政府性基金预算财政拨款支出总计24.00万元，</w:t>
      </w:r>
      <w:r>
        <w:rPr>
          <w:rFonts w:ascii="仿宋_GB2312" w:hAnsi="仿宋_GB2312" w:eastAsia="仿宋_GB2312"/>
          <w:b w:val="0"/>
          <w:sz w:val="32"/>
        </w:rPr>
        <w:t>其中：年末结转和结余0.00万元，本年支出24.00万元。</w:t>
      </w:r>
    </w:p>
    <w:p w14:paraId="5FD6CD2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增加16.00万元，增长200.00%，主要原因是：本年增加2024年喀什地区本级福利彩票公益金支持社会组织参与基层社会治理项目。</w:t>
      </w:r>
      <w:r>
        <w:rPr>
          <w:rFonts w:ascii="仿宋_GB2312" w:hAnsi="仿宋_GB2312" w:eastAsia="仿宋_GB2312"/>
          <w:b/>
          <w:sz w:val="32"/>
        </w:rPr>
        <w:t>与年初预算相比，</w:t>
      </w:r>
      <w:r>
        <w:rPr>
          <w:rFonts w:ascii="仿宋_GB2312" w:hAnsi="仿宋_GB2312" w:eastAsia="仿宋_GB2312"/>
          <w:b w:val="0"/>
          <w:sz w:val="32"/>
        </w:rPr>
        <w:t>年初预算数8.00万元，决算数24.00万元，预决算差异率200.00%，主要原因是：年中追加2024年喀什地区本级福利彩票公益金支持社会组织参与基层社会治理项目，导致预决算存在差异。</w:t>
      </w:r>
    </w:p>
    <w:p w14:paraId="1079BF83">
      <w:pPr>
        <w:spacing w:line="580" w:lineRule="exact"/>
        <w:ind w:firstLine="640"/>
        <w:jc w:val="both"/>
      </w:pPr>
      <w:r>
        <w:rPr>
          <w:rFonts w:ascii="仿宋_GB2312" w:hAnsi="仿宋_GB2312" w:eastAsia="仿宋_GB2312"/>
          <w:b w:val="0"/>
          <w:sz w:val="32"/>
        </w:rPr>
        <w:t>政府性基金预算财政拨款支出24.00万元。</w:t>
      </w:r>
    </w:p>
    <w:p w14:paraId="51CE272B">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24.00万元，比上年决算增加16.00万元，增长200.00%,主要原因是：本年增加2024年喀什地区本级福利彩票公益金支持社会组织参与基层社会治理项目。</w:t>
      </w:r>
    </w:p>
    <w:p w14:paraId="3CB79E91">
      <w:pPr>
        <w:spacing w:line="640" w:lineRule="exact"/>
        <w:ind w:firstLine="640"/>
        <w:jc w:val="both"/>
        <w:outlineLvl w:val="2"/>
      </w:pPr>
      <w:r>
        <w:rPr>
          <w:rFonts w:ascii="黑体" w:hAnsi="黑体" w:eastAsia="黑体"/>
          <w:sz w:val="32"/>
        </w:rPr>
        <w:t>八、国有资本经营预算财政拨款收入支出决算情况说明</w:t>
      </w:r>
    </w:p>
    <w:p w14:paraId="29CEBB2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381F5DD">
      <w:pPr>
        <w:spacing w:line="640" w:lineRule="exact"/>
        <w:ind w:firstLine="640"/>
        <w:jc w:val="both"/>
        <w:outlineLvl w:val="2"/>
      </w:pPr>
      <w:r>
        <w:rPr>
          <w:rFonts w:ascii="黑体" w:hAnsi="黑体" w:eastAsia="黑体"/>
          <w:sz w:val="32"/>
        </w:rPr>
        <w:t>九、财政拨款“三公”经费支出决算情况说明</w:t>
      </w:r>
    </w:p>
    <w:p w14:paraId="540C790D">
      <w:pPr>
        <w:spacing w:line="580" w:lineRule="exact"/>
        <w:ind w:firstLine="640"/>
        <w:jc w:val="both"/>
      </w:pPr>
      <w:r>
        <w:rPr>
          <w:rFonts w:ascii="仿宋_GB2312" w:hAnsi="仿宋_GB2312" w:eastAsia="仿宋_GB2312"/>
          <w:b/>
          <w:sz w:val="32"/>
        </w:rPr>
        <w:t>2024年度财政拨款“三公”经费支出9.98万元，</w:t>
      </w:r>
      <w:r>
        <w:rPr>
          <w:rFonts w:ascii="仿宋_GB2312" w:hAnsi="仿宋_GB2312" w:eastAsia="仿宋_GB2312"/>
          <w:b w:val="0"/>
          <w:sz w:val="32"/>
        </w:rPr>
        <w:t>比上年增加3.33万元，增长50.08%，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9.98万元，占100.00%，比上年增加3.33万元，增长50.08%，主要原因是：本年因业务需求，用车次数增加，燃油费增加，导致公务用车运行维护费较上年增加。公务接待费支出0.00万元，占0.00%，比上年增加0.00万元，增长0.00%，主要原因是：2023年与2024年均未安排公务接待费支出。</w:t>
      </w:r>
    </w:p>
    <w:p w14:paraId="2EE9EFD8">
      <w:pPr>
        <w:spacing w:line="580" w:lineRule="exact"/>
        <w:ind w:firstLine="640"/>
        <w:jc w:val="both"/>
      </w:pPr>
      <w:r>
        <w:rPr>
          <w:rFonts w:ascii="仿宋_GB2312" w:hAnsi="仿宋_GB2312" w:eastAsia="仿宋_GB2312"/>
          <w:b/>
          <w:sz w:val="32"/>
        </w:rPr>
        <w:t>具体情况如下：</w:t>
      </w:r>
    </w:p>
    <w:p w14:paraId="464C054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F4BA10F">
      <w:pPr>
        <w:spacing w:line="580" w:lineRule="exact"/>
        <w:ind w:firstLine="640"/>
        <w:jc w:val="both"/>
      </w:pPr>
      <w:r>
        <w:rPr>
          <w:rFonts w:ascii="仿宋_GB2312" w:hAnsi="仿宋_GB2312" w:eastAsia="仿宋_GB2312"/>
          <w:b w:val="0"/>
          <w:sz w:val="32"/>
        </w:rPr>
        <w:t>公务用车购置及运行维护费9.98万元，其中：公务用车购置费0.00万元，公务用车运行维护费9.98万元。公务用车运行维护费开支内容包括车辆燃油费、保险费、维修维护费。公务用车购置数0辆，公务用车保有量2辆。国有资产占用情况中固定资产车辆8辆，与公务用车保有量差异原因是：差异车辆为我乡巡逻车、纪检公务用车、特殊作业车辆，当年未投入使用。</w:t>
      </w:r>
    </w:p>
    <w:p w14:paraId="1350B7D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4CDE0A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9.98万元，决算数9.98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9.98万元，决算数9.98万元，预决算差异率0.00%，主要原因是：严格按照预算执行，预决算无差异。公务接待费全年预算数0.00万元，决算数0.00万元，预决算差异率0.00%，主要原因是：本单位无公务接待费。</w:t>
      </w:r>
    </w:p>
    <w:p w14:paraId="2D727427">
      <w:pPr>
        <w:spacing w:line="640" w:lineRule="exact"/>
        <w:ind w:firstLine="640"/>
        <w:jc w:val="both"/>
        <w:outlineLvl w:val="2"/>
      </w:pPr>
      <w:r>
        <w:rPr>
          <w:rFonts w:ascii="黑体" w:hAnsi="黑体" w:eastAsia="黑体"/>
          <w:sz w:val="32"/>
        </w:rPr>
        <w:t>十、其他重要事项的情况说明</w:t>
      </w:r>
    </w:p>
    <w:p w14:paraId="3BAE96BB">
      <w:pPr>
        <w:spacing w:line="640" w:lineRule="exact"/>
        <w:ind w:firstLine="640"/>
        <w:jc w:val="both"/>
        <w:outlineLvl w:val="3"/>
      </w:pPr>
      <w:r>
        <w:rPr>
          <w:rFonts w:ascii="楷体_GB2312" w:hAnsi="楷体_GB2312" w:eastAsia="楷体_GB2312"/>
          <w:b/>
          <w:sz w:val="32"/>
        </w:rPr>
        <w:t>（一）机关运行经费及公用经费支出情况</w:t>
      </w:r>
    </w:p>
    <w:p w14:paraId="7DDBC853">
      <w:pPr>
        <w:spacing w:line="580" w:lineRule="exact"/>
        <w:ind w:firstLine="640"/>
        <w:jc w:val="both"/>
      </w:pPr>
      <w:r>
        <w:rPr>
          <w:rFonts w:ascii="仿宋_GB2312" w:hAnsi="仿宋_GB2312" w:eastAsia="仿宋_GB2312"/>
          <w:b w:val="0"/>
          <w:sz w:val="32"/>
        </w:rPr>
        <w:t>2024年度麦盖提县希依提墩乡人民政府（行政单位和参照公务员法管理事业单位）机关运行经费支出141.82万元，比上年增加0.32万元，增长0.23%，主要原因是：本年更新、维护补充办公用品，导致机关运行经费较上年增加。</w:t>
      </w:r>
    </w:p>
    <w:p w14:paraId="4AA31386">
      <w:pPr>
        <w:spacing w:line="640" w:lineRule="exact"/>
        <w:ind w:firstLine="640"/>
        <w:jc w:val="both"/>
        <w:outlineLvl w:val="3"/>
      </w:pPr>
      <w:r>
        <w:rPr>
          <w:rFonts w:ascii="楷体_GB2312" w:hAnsi="楷体_GB2312" w:eastAsia="楷体_GB2312"/>
          <w:b/>
          <w:sz w:val="32"/>
        </w:rPr>
        <w:t>（二）政府采购情况</w:t>
      </w:r>
    </w:p>
    <w:p w14:paraId="5F067F35">
      <w:pPr>
        <w:spacing w:line="580" w:lineRule="exact"/>
        <w:ind w:firstLine="640"/>
        <w:jc w:val="both"/>
      </w:pPr>
      <w:r>
        <w:rPr>
          <w:rFonts w:ascii="仿宋_GB2312" w:hAnsi="仿宋_GB2312" w:eastAsia="仿宋_GB2312"/>
          <w:b w:val="0"/>
          <w:sz w:val="32"/>
        </w:rPr>
        <w:t>2024年度政府采购支出总额153.00万元，其中：政府采购货物支出140.62万元、政府采购工程支出8.31万元、政府采购服务支出4.08万元。</w:t>
      </w:r>
    </w:p>
    <w:p w14:paraId="1E5B90DE">
      <w:pPr>
        <w:spacing w:line="580" w:lineRule="exact"/>
        <w:ind w:firstLine="640"/>
        <w:jc w:val="both"/>
      </w:pPr>
      <w:r>
        <w:rPr>
          <w:rFonts w:ascii="仿宋_GB2312" w:hAnsi="仿宋_GB2312" w:eastAsia="仿宋_GB2312"/>
          <w:b w:val="0"/>
          <w:sz w:val="32"/>
        </w:rPr>
        <w:t>授予中小企业合同金额151.02万元，占政府采购支出总额的98.71%，其中：授予小微企业合同金额149.12万元，占政府采购支出总额的97.46%。</w:t>
      </w:r>
    </w:p>
    <w:p w14:paraId="38DD9312">
      <w:pPr>
        <w:spacing w:line="640" w:lineRule="exact"/>
        <w:ind w:firstLine="640"/>
        <w:jc w:val="both"/>
        <w:outlineLvl w:val="3"/>
      </w:pPr>
      <w:r>
        <w:rPr>
          <w:rFonts w:ascii="楷体_GB2312" w:hAnsi="楷体_GB2312" w:eastAsia="楷体_GB2312"/>
          <w:b/>
          <w:sz w:val="32"/>
        </w:rPr>
        <w:t>（三）国有资产占用情况说明</w:t>
      </w:r>
    </w:p>
    <w:p w14:paraId="4D7D0AAC">
      <w:pPr>
        <w:spacing w:line="580" w:lineRule="exact"/>
        <w:ind w:firstLine="640"/>
        <w:jc w:val="both"/>
      </w:pPr>
      <w:r>
        <w:rPr>
          <w:rFonts w:ascii="仿宋_GB2312" w:hAnsi="仿宋_GB2312" w:eastAsia="仿宋_GB2312"/>
          <w:b w:val="0"/>
          <w:sz w:val="32"/>
        </w:rPr>
        <w:t>截至2024年12月31日，房屋12,430.20平方米，价值2,352.17万元。车辆8辆，价值128.42万元，其中：副部（省）级及以上领导用车0辆、主要负责人用车0辆、机要通信用车0辆、应急保障用车0辆、执法执勤用车0辆、特种专业技术用车0辆、离退休干部服务用车0辆、其他用车8辆，其他用车主要是：一般公务用车和单位业务用车。单价100万元（含）以上设备（不含车辆）0台（套）。</w:t>
      </w:r>
    </w:p>
    <w:p w14:paraId="5612172D">
      <w:pPr>
        <w:spacing w:line="640" w:lineRule="exact"/>
        <w:ind w:firstLine="640"/>
        <w:jc w:val="both"/>
        <w:outlineLvl w:val="2"/>
      </w:pPr>
      <w:r>
        <w:rPr>
          <w:rFonts w:ascii="黑体" w:hAnsi="黑体" w:eastAsia="黑体"/>
          <w:sz w:val="32"/>
        </w:rPr>
        <w:t>十一、预算绩效的情况说明</w:t>
      </w:r>
    </w:p>
    <w:p w14:paraId="4624F5E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3,224.06万元，实际执行总额3,208.82万元；预算绩效评价项目5个，全年预算数567.53万元，全年执行数567.53万元。预算绩效管理取得的成效：一是预算绩效管理制度建设不断完善。围绕建立“全方位、全过程、全覆盖”的预算绩效管理体系目标，强化制度设计，建立健全制度办法和工作机制，涵盖了事前绩效评估、绩效目标管理、绩效运行监控、绩效评价及结果应用等各环节，为推动预算绩效管理工作奠定了坚实的制度基础。二是预算绩效管理格局初步形成。将本级预算收支全部纳入预算绩效管理，提高财政资源配置效益和可持续性。在逐步深化项目绩效管理的基础上，不断提升管理层级，加快推动预算绩效管理。积极探索开展部门整体绩效目标编报；积极发挥考核“指挥棒”作用，把部门绩效管理工作纳入年底工作考核。发现的问题及原因：一是预算绩效观念不深入。</w:t>
      </w:r>
      <w:r>
        <w:rPr>
          <w:rFonts w:hint="eastAsia" w:ascii="仿宋_GB2312" w:hAnsi="仿宋_GB2312" w:eastAsia="仿宋_GB2312"/>
          <w:b w:val="0"/>
          <w:sz w:val="32"/>
          <w:lang w:eastAsia="zh-CN"/>
        </w:rPr>
        <w:t>本单位</w:t>
      </w:r>
      <w:r>
        <w:rPr>
          <w:rFonts w:ascii="仿宋_GB2312" w:hAnsi="仿宋_GB2312" w:eastAsia="仿宋_GB2312"/>
          <w:b w:val="0"/>
          <w:sz w:val="32"/>
        </w:rPr>
        <w:t>在日常财务工作中存在着一定程度的“重分配、轻管理、重支出、轻绩效”的情况，造成该问题的主要原因是自身绩效理念较薄弱，在绩效目标指标编制上仍有缺失，需要进一步加强对绩效管理工作的重视程度；二是预算绩效规范管理有盲点。在县财政逐步加强绩效管理的情况下，</w:t>
      </w:r>
      <w:r>
        <w:rPr>
          <w:rFonts w:hint="eastAsia" w:ascii="仿宋_GB2312" w:hAnsi="仿宋_GB2312" w:eastAsia="仿宋_GB2312"/>
          <w:b w:val="0"/>
          <w:sz w:val="32"/>
          <w:lang w:eastAsia="zh-CN"/>
        </w:rPr>
        <w:t>本单位</w:t>
      </w:r>
      <w:r>
        <w:rPr>
          <w:rFonts w:ascii="仿宋_GB2312" w:hAnsi="仿宋_GB2312" w:eastAsia="仿宋_GB2312"/>
          <w:b w:val="0"/>
          <w:sz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进一步增强绩效管理理念。在管理和使用预算资金的过程中，</w:t>
      </w:r>
      <w:r>
        <w:rPr>
          <w:rFonts w:hint="eastAsia" w:ascii="仿宋_GB2312" w:hAnsi="仿宋_GB2312" w:eastAsia="仿宋_GB2312"/>
          <w:b w:val="0"/>
          <w:sz w:val="32"/>
          <w:lang w:eastAsia="zh-CN"/>
        </w:rPr>
        <w:t>本单位</w:t>
      </w:r>
      <w:r>
        <w:rPr>
          <w:rFonts w:ascii="仿宋_GB2312" w:hAnsi="仿宋_GB2312" w:eastAsia="仿宋_GB2312"/>
          <w:b w:val="0"/>
          <w:sz w:val="32"/>
        </w:rPr>
        <w:t>将更加突出资金使用效益，做到“花钱必问效，无效必问责”。加强与县财政绩效评价股和第三方之间的沟通，严格按照绩效评价原则，开展资金安全性、规范性的监督，确保专项资金的使用符合绩效管理要求；二是进一步加强财务素养和专业技能培训。</w:t>
      </w:r>
      <w:r>
        <w:rPr>
          <w:rFonts w:hint="eastAsia" w:ascii="仿宋_GB2312" w:hAnsi="仿宋_GB2312" w:eastAsia="仿宋_GB2312"/>
          <w:b w:val="0"/>
          <w:sz w:val="32"/>
          <w:lang w:eastAsia="zh-CN"/>
        </w:rPr>
        <w:t>本单位</w:t>
      </w:r>
      <w:r>
        <w:rPr>
          <w:rFonts w:ascii="仿宋_GB2312" w:hAnsi="仿宋_GB2312" w:eastAsia="仿宋_GB2312"/>
          <w:b w:val="0"/>
          <w:sz w:val="32"/>
        </w:rPr>
        <w:t>希望邀请县财政局，针对预算资金绩效管理和相关法律法规开展培训，学习预算绩效管理的法律法规、规范要求，让绩效理念深入人心、让绩效管理人员熟知政策、知行合一。具体附整体支出绩效自评表，项目支出绩效自评表和评价报告。</w:t>
      </w:r>
    </w:p>
    <w:p w14:paraId="6200F10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35F0A35">
        <w:tblPrEx>
          <w:tblCellMar>
            <w:top w:w="0" w:type="dxa"/>
            <w:left w:w="108" w:type="dxa"/>
            <w:bottom w:w="0" w:type="dxa"/>
            <w:right w:w="108" w:type="dxa"/>
          </w:tblCellMar>
        </w:tblPrEx>
        <w:tc>
          <w:tcPr>
            <w:tcW w:w="8847" w:type="dxa"/>
            <w:gridSpan w:val="9"/>
            <w:vAlign w:val="center"/>
          </w:tcPr>
          <w:p w14:paraId="4D31BFF2">
            <w:pPr>
              <w:jc w:val="center"/>
            </w:pPr>
            <w:r>
              <w:rPr>
                <w:rFonts w:ascii="宋体" w:hAnsi="宋体" w:eastAsia="宋体"/>
                <w:sz w:val="24"/>
              </w:rPr>
              <w:t>单位整体支出绩效自评表</w:t>
            </w:r>
          </w:p>
        </w:tc>
      </w:tr>
      <w:tr w14:paraId="15A6C669">
        <w:tblPrEx>
          <w:tblCellMar>
            <w:top w:w="0" w:type="dxa"/>
            <w:left w:w="108" w:type="dxa"/>
            <w:bottom w:w="0" w:type="dxa"/>
            <w:right w:w="108" w:type="dxa"/>
          </w:tblCellMar>
        </w:tblPrEx>
        <w:tc>
          <w:tcPr>
            <w:tcW w:w="8847" w:type="dxa"/>
            <w:gridSpan w:val="9"/>
            <w:vAlign w:val="center"/>
          </w:tcPr>
          <w:p w14:paraId="7CD8BBB0">
            <w:pPr>
              <w:jc w:val="center"/>
            </w:pPr>
            <w:r>
              <w:rPr>
                <w:rFonts w:ascii="宋体" w:hAnsi="宋体" w:eastAsia="宋体"/>
                <w:sz w:val="24"/>
              </w:rPr>
              <w:t>（2024年度）</w:t>
            </w:r>
          </w:p>
        </w:tc>
      </w:tr>
      <w:tr w14:paraId="03CB87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D766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B2C3334">
            <w:pPr>
              <w:jc w:val="center"/>
            </w:pPr>
            <w:r>
              <w:rPr>
                <w:rFonts w:ascii="宋体" w:hAnsi="宋体" w:eastAsia="宋体"/>
                <w:sz w:val="16"/>
              </w:rPr>
              <w:t>麦盖提县希依提墩乡人民政府</w:t>
            </w:r>
          </w:p>
        </w:tc>
      </w:tr>
      <w:tr w14:paraId="759EC0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F6BC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C4C1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35E0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3915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D782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31F9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CFB3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7B5F4">
            <w:pPr>
              <w:jc w:val="center"/>
            </w:pPr>
            <w:r>
              <w:rPr>
                <w:rFonts w:ascii="宋体" w:hAnsi="宋体" w:eastAsia="宋体"/>
                <w:sz w:val="16"/>
              </w:rPr>
              <w:t>得分</w:t>
            </w:r>
          </w:p>
        </w:tc>
      </w:tr>
      <w:tr w14:paraId="79351E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7F64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C9CA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BBF33">
            <w:pPr>
              <w:jc w:val="center"/>
            </w:pPr>
            <w:r>
              <w:rPr>
                <w:rFonts w:ascii="宋体" w:hAnsi="宋体" w:eastAsia="宋体"/>
                <w:sz w:val="16"/>
              </w:rPr>
              <w:t>1,980.10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0A5B3">
            <w:pPr>
              <w:jc w:val="center"/>
            </w:pPr>
            <w:r>
              <w:rPr>
                <w:rFonts w:ascii="宋体" w:hAnsi="宋体" w:eastAsia="宋体"/>
                <w:sz w:val="16"/>
              </w:rPr>
              <w:t>3,224.06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C74E4">
            <w:pPr>
              <w:jc w:val="center"/>
            </w:pPr>
            <w:r>
              <w:rPr>
                <w:rFonts w:ascii="宋体" w:hAnsi="宋体" w:eastAsia="宋体"/>
                <w:sz w:val="16"/>
              </w:rPr>
              <w:t>3,208.82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530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B0DE6">
            <w:pPr>
              <w:jc w:val="center"/>
            </w:pPr>
            <w:r>
              <w:rPr>
                <w:rFonts w:ascii="宋体" w:hAnsi="宋体" w:eastAsia="宋体"/>
                <w:sz w:val="16"/>
              </w:rPr>
              <w:t>99.53%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DB656">
            <w:pPr>
              <w:jc w:val="center"/>
            </w:pPr>
            <w:r>
              <w:rPr>
                <w:rFonts w:ascii="宋体" w:hAnsi="宋体" w:eastAsia="宋体"/>
                <w:sz w:val="16"/>
              </w:rPr>
              <w:t>9.95</w:t>
            </w:r>
          </w:p>
        </w:tc>
      </w:tr>
      <w:tr w14:paraId="6D68D5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6C0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C14C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AC53C">
            <w:pPr>
              <w:jc w:val="center"/>
            </w:pPr>
            <w:r>
              <w:rPr>
                <w:rFonts w:ascii="宋体" w:hAnsi="宋体" w:eastAsia="宋体"/>
                <w:sz w:val="16"/>
              </w:rPr>
              <w:t>75.50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CCE7D">
            <w:pPr>
              <w:jc w:val="center"/>
            </w:pPr>
            <w:r>
              <w:rPr>
                <w:rFonts w:ascii="宋体" w:hAnsi="宋体" w:eastAsia="宋体"/>
                <w:sz w:val="16"/>
              </w:rPr>
              <w:t>1,090.64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C86A8">
            <w:pPr>
              <w:jc w:val="center"/>
            </w:pPr>
            <w:r>
              <w:rPr>
                <w:rFonts w:ascii="宋体" w:hAnsi="宋体" w:eastAsia="宋体"/>
                <w:sz w:val="16"/>
              </w:rPr>
              <w:t>1,090.50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A01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C2AC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3F4CA">
            <w:pPr>
              <w:jc w:val="center"/>
            </w:pPr>
            <w:r>
              <w:rPr>
                <w:rFonts w:ascii="宋体" w:hAnsi="宋体" w:eastAsia="宋体"/>
                <w:sz w:val="16"/>
              </w:rPr>
              <w:t>—</w:t>
            </w:r>
          </w:p>
        </w:tc>
      </w:tr>
      <w:tr w14:paraId="7FDBDC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F147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E8A5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97495">
            <w:pPr>
              <w:jc w:val="center"/>
            </w:pPr>
            <w:r>
              <w:rPr>
                <w:rFonts w:ascii="宋体" w:hAnsi="宋体" w:eastAsia="宋体"/>
                <w:sz w:val="16"/>
              </w:rPr>
              <w:t>1,904.60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04B2F">
            <w:pPr>
              <w:jc w:val="center"/>
            </w:pPr>
            <w:r>
              <w:rPr>
                <w:rFonts w:ascii="宋体" w:hAnsi="宋体" w:eastAsia="宋体"/>
                <w:sz w:val="16"/>
              </w:rPr>
              <w:t>1,731.11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F2BC4">
            <w:pPr>
              <w:jc w:val="center"/>
            </w:pPr>
            <w:r>
              <w:rPr>
                <w:rFonts w:ascii="宋体" w:hAnsi="宋体" w:eastAsia="宋体"/>
                <w:sz w:val="16"/>
              </w:rPr>
              <w:t>1,723.77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9B9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71DD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71FFF">
            <w:pPr>
              <w:jc w:val="center"/>
            </w:pPr>
            <w:r>
              <w:rPr>
                <w:rFonts w:ascii="宋体" w:hAnsi="宋体" w:eastAsia="宋体"/>
                <w:sz w:val="16"/>
              </w:rPr>
              <w:t>—</w:t>
            </w:r>
          </w:p>
        </w:tc>
      </w:tr>
      <w:tr w14:paraId="4492CE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341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825F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8F6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5641C">
            <w:pPr>
              <w:jc w:val="center"/>
            </w:pPr>
            <w:r>
              <w:rPr>
                <w:rFonts w:ascii="宋体" w:hAnsi="宋体" w:eastAsia="宋体"/>
                <w:sz w:val="16"/>
              </w:rPr>
              <w:t>402.31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AFF00">
            <w:pPr>
              <w:jc w:val="center"/>
            </w:pPr>
            <w:r>
              <w:rPr>
                <w:rFonts w:ascii="宋体" w:hAnsi="宋体" w:eastAsia="宋体"/>
                <w:sz w:val="16"/>
              </w:rPr>
              <w:t>394.55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A84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782B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A097E">
            <w:pPr>
              <w:jc w:val="center"/>
            </w:pPr>
            <w:r>
              <w:rPr>
                <w:rFonts w:ascii="宋体" w:hAnsi="宋体" w:eastAsia="宋体"/>
                <w:sz w:val="16"/>
              </w:rPr>
              <w:t>—</w:t>
            </w:r>
          </w:p>
        </w:tc>
      </w:tr>
      <w:tr w14:paraId="657D03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6216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C22A0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489B89">
            <w:pPr>
              <w:jc w:val="center"/>
              <w:rPr>
                <w:rFonts w:hint="eastAsia" w:eastAsia="宋体"/>
                <w:lang w:eastAsia="zh-CN"/>
              </w:rPr>
            </w:pPr>
            <w:r>
              <w:rPr>
                <w:rFonts w:hint="eastAsia" w:ascii="宋体" w:hAnsi="宋体"/>
                <w:sz w:val="16"/>
                <w:lang w:eastAsia="zh-CN"/>
              </w:rPr>
              <w:t>实际完成情况</w:t>
            </w:r>
          </w:p>
        </w:tc>
      </w:tr>
      <w:tr w14:paraId="0B28BA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FB558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E37FF5">
            <w:pPr>
              <w:jc w:val="both"/>
            </w:pPr>
            <w:r>
              <w:rPr>
                <w:rFonts w:ascii="宋体" w:hAnsi="宋体" w:eastAsia="宋体"/>
                <w:sz w:val="16"/>
              </w:rPr>
              <w:t>1.管理本乡内的经济、教育、科技、文化、卫生、体育事业和财政、民政、治安、人民调解、安全生产监督管理等行政工作；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w:t>
            </w:r>
            <w:r>
              <w:rPr>
                <w:rFonts w:hint="eastAsia" w:ascii="宋体" w:hAnsi="宋体"/>
                <w:sz w:val="16"/>
                <w:lang w:eastAsia="zh-CN"/>
              </w:rPr>
              <w:t>县委、县政府</w:t>
            </w:r>
            <w:r>
              <w:rPr>
                <w:rFonts w:ascii="宋体" w:hAnsi="宋体" w:eastAsia="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9CA1D9">
            <w:pPr>
              <w:jc w:val="both"/>
            </w:pPr>
            <w:r>
              <w:rPr>
                <w:rFonts w:ascii="宋体" w:hAnsi="宋体" w:eastAsia="宋体"/>
                <w:sz w:val="16"/>
              </w:rPr>
              <w:t>2024年度部门整体支出绩效自评综合得分99.95分，评价结果为“优”。2024 年麦盖提县希依提墩乡人民政府在上级部门的正确领导下，以习近平新时代中国特色社会主义思想为指引，深入贯彻落实党的二十大、二十届二中、三中全会精神，全面落实各项工作要求，在政务公开、林果业发展、文化建设、基层治理及基础设施建设等方面均取得了一定成绩，有力推动了全乡经济社会的健康平稳发展。2024年</w:t>
            </w:r>
            <w:r>
              <w:rPr>
                <w:rFonts w:hint="eastAsia" w:ascii="宋体" w:hAnsi="宋体"/>
                <w:sz w:val="16"/>
                <w:lang w:eastAsia="zh-CN"/>
              </w:rPr>
              <w:t>本单位</w:t>
            </w:r>
            <w:r>
              <w:rPr>
                <w:rFonts w:ascii="宋体" w:hAnsi="宋体" w:eastAsia="宋体"/>
                <w:sz w:val="16"/>
              </w:rPr>
              <w:t>已完成以下工作:1.推动乡镇的全面发展和社会进步，因此，乡镇应积极开展形式多样的宣传教育活动，本年度已开展宣传教育活动次数12次；2.提高全民的收入水平，减少社会贫困和不平等现象，本年度劳动力就业率达100%，促进了我县经济发展；3.牢固树立“群众之事无小事”理念，本年度群众困难诉求解决完成率达100%，做到了权为民所用、情为民所系、利为民所谋，提高了群众的满意度、好评度；4.提前发现并识别存在返贫致贫风险的人口，采取针对性的帮扶措施，本年度防返贫监测覆盖率达100%，防止了脱贫人口返贫、边缘人口致贫；5.</w:t>
            </w:r>
            <w:r>
              <w:rPr>
                <w:rFonts w:hint="eastAsia" w:ascii="宋体" w:hAnsi="宋体"/>
                <w:sz w:val="16"/>
                <w:lang w:eastAsia="zh-CN"/>
              </w:rPr>
              <w:t>党中央决策部署</w:t>
            </w:r>
            <w:r>
              <w:rPr>
                <w:rFonts w:ascii="宋体" w:hAnsi="宋体" w:eastAsia="宋体"/>
                <w:sz w:val="16"/>
              </w:rPr>
              <w:t>和会议中多次强调，要实施最严格的耕地保护制度，国家对耕地实行特殊保护，严守耕地保护红线，保持耕地总量不减少，本年度耕地保护覆盖率达100%，确保了耕地占补平衡。</w:t>
            </w:r>
          </w:p>
        </w:tc>
      </w:tr>
      <w:tr w14:paraId="5CFB1A1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0DE8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EF5A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35A9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3203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8C11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6CD6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706B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BF43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18329">
            <w:pPr>
              <w:jc w:val="center"/>
            </w:pPr>
            <w:r>
              <w:rPr>
                <w:rFonts w:ascii="宋体" w:hAnsi="宋体" w:eastAsia="宋体"/>
                <w:sz w:val="16"/>
              </w:rPr>
              <w:t>得分</w:t>
            </w:r>
          </w:p>
        </w:tc>
      </w:tr>
      <w:tr w14:paraId="446C42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1022D">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35C4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91A07">
            <w:pPr>
              <w:jc w:val="center"/>
            </w:pPr>
            <w:r>
              <w:rPr>
                <w:rFonts w:ascii="宋体" w:hAnsi="宋体" w:eastAsia="宋体"/>
                <w:sz w:val="16"/>
              </w:rPr>
              <w:t>宣传教育活动次数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76165">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6AE6C">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87F8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B797E">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07A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314EB">
            <w:pPr>
              <w:jc w:val="center"/>
            </w:pPr>
            <w:r>
              <w:rPr>
                <w:rFonts w:ascii="宋体" w:hAnsi="宋体" w:eastAsia="宋体"/>
                <w:sz w:val="16"/>
              </w:rPr>
              <w:t>18</w:t>
            </w:r>
          </w:p>
        </w:tc>
      </w:tr>
      <w:tr w14:paraId="19CB7B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3C3F6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83E6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D6977">
            <w:pPr>
              <w:jc w:val="center"/>
            </w:pPr>
            <w:r>
              <w:rPr>
                <w:rFonts w:ascii="宋体" w:hAnsi="宋体" w:eastAsia="宋体"/>
                <w:sz w:val="16"/>
              </w:rPr>
              <w:t>劳动力就业率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EF3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3E6B4">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B417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EEC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695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1D91A">
            <w:pPr>
              <w:jc w:val="center"/>
            </w:pPr>
            <w:r>
              <w:rPr>
                <w:rFonts w:ascii="宋体" w:hAnsi="宋体" w:eastAsia="宋体"/>
                <w:sz w:val="16"/>
              </w:rPr>
              <w:t>18</w:t>
            </w:r>
          </w:p>
        </w:tc>
      </w:tr>
      <w:tr w14:paraId="0F0DA1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36C0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3593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CD6D2">
            <w:pPr>
              <w:jc w:val="center"/>
            </w:pPr>
            <w:r>
              <w:rPr>
                <w:rFonts w:ascii="宋体" w:hAnsi="宋体" w:eastAsia="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764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5C7E2">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730D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0C6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E3F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37147">
            <w:pPr>
              <w:jc w:val="center"/>
            </w:pPr>
            <w:r>
              <w:rPr>
                <w:rFonts w:ascii="宋体" w:hAnsi="宋体" w:eastAsia="宋体"/>
                <w:sz w:val="16"/>
              </w:rPr>
              <w:t>18</w:t>
            </w:r>
          </w:p>
        </w:tc>
      </w:tr>
      <w:tr w14:paraId="4AD446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5F14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DEC6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069E3">
            <w:pPr>
              <w:jc w:val="center"/>
            </w:pPr>
            <w:r>
              <w:rPr>
                <w:rFonts w:ascii="宋体" w:hAnsi="宋体" w:eastAsia="宋体"/>
                <w:sz w:val="16"/>
              </w:rPr>
              <w:t>防返贫监测覆盖率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9C4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7978E">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F4B8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7DB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74D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D9E24">
            <w:pPr>
              <w:jc w:val="center"/>
            </w:pPr>
            <w:r>
              <w:rPr>
                <w:rFonts w:ascii="宋体" w:hAnsi="宋体" w:eastAsia="宋体"/>
                <w:sz w:val="16"/>
              </w:rPr>
              <w:t>18</w:t>
            </w:r>
          </w:p>
        </w:tc>
      </w:tr>
      <w:tr w14:paraId="64F04E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CD26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003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2FD5C">
            <w:pPr>
              <w:jc w:val="center"/>
            </w:pPr>
            <w:r>
              <w:rPr>
                <w:rFonts w:ascii="宋体" w:hAnsi="宋体" w:eastAsia="宋体"/>
                <w:sz w:val="16"/>
              </w:rPr>
              <w:t>耕地保护覆盖率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25A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1E2A5">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0190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B79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827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4F64B">
            <w:pPr>
              <w:jc w:val="center"/>
            </w:pPr>
            <w:r>
              <w:rPr>
                <w:rFonts w:ascii="宋体" w:hAnsi="宋体" w:eastAsia="宋体"/>
                <w:sz w:val="16"/>
              </w:rPr>
              <w:t>18</w:t>
            </w:r>
          </w:p>
        </w:tc>
      </w:tr>
    </w:tbl>
    <w:p w14:paraId="0BA7BD82">
      <w:r>
        <w:br w:type="page"/>
      </w:r>
    </w:p>
    <w:tbl>
      <w:tblPr>
        <w:tblStyle w:val="9"/>
        <w:tblW w:w="0" w:type="auto"/>
        <w:tblInd w:w="0" w:type="dxa"/>
        <w:tblLayout w:type="fixed"/>
        <w:tblCellMar>
          <w:top w:w="0" w:type="dxa"/>
          <w:left w:w="108" w:type="dxa"/>
          <w:bottom w:w="0" w:type="dxa"/>
          <w:right w:w="108" w:type="dxa"/>
        </w:tblCellMar>
      </w:tblPr>
      <w:tblGrid>
        <w:gridCol w:w="625"/>
        <w:gridCol w:w="617"/>
        <w:gridCol w:w="617"/>
        <w:gridCol w:w="617"/>
        <w:gridCol w:w="856"/>
        <w:gridCol w:w="617"/>
        <w:gridCol w:w="617"/>
        <w:gridCol w:w="617"/>
        <w:gridCol w:w="617"/>
        <w:gridCol w:w="182"/>
        <w:gridCol w:w="787"/>
        <w:gridCol w:w="429"/>
        <w:gridCol w:w="557"/>
        <w:gridCol w:w="440"/>
        <w:gridCol w:w="234"/>
        <w:gridCol w:w="631"/>
      </w:tblGrid>
      <w:tr w14:paraId="55956FD2">
        <w:tblPrEx>
          <w:tblCellMar>
            <w:top w:w="0" w:type="dxa"/>
            <w:left w:w="108" w:type="dxa"/>
            <w:bottom w:w="0" w:type="dxa"/>
            <w:right w:w="108" w:type="dxa"/>
          </w:tblCellMar>
        </w:tblPrEx>
        <w:tc>
          <w:tcPr>
            <w:tcW w:w="9060" w:type="dxa"/>
            <w:gridSpan w:val="16"/>
            <w:vAlign w:val="center"/>
          </w:tcPr>
          <w:p w14:paraId="4BDF9B9D">
            <w:pPr>
              <w:jc w:val="center"/>
            </w:pPr>
            <w:r>
              <w:rPr>
                <w:rFonts w:ascii="宋体" w:hAnsi="宋体" w:eastAsia="宋体"/>
                <w:sz w:val="24"/>
              </w:rPr>
              <w:t>项目支出绩效自评表</w:t>
            </w:r>
          </w:p>
        </w:tc>
      </w:tr>
      <w:tr w14:paraId="5AB269D4">
        <w:tblPrEx>
          <w:tblCellMar>
            <w:top w:w="0" w:type="dxa"/>
            <w:left w:w="108" w:type="dxa"/>
            <w:bottom w:w="0" w:type="dxa"/>
            <w:right w:w="108" w:type="dxa"/>
          </w:tblCellMar>
        </w:tblPrEx>
        <w:tc>
          <w:tcPr>
            <w:tcW w:w="9060" w:type="dxa"/>
            <w:gridSpan w:val="16"/>
            <w:vAlign w:val="center"/>
          </w:tcPr>
          <w:p w14:paraId="38ADB285">
            <w:pPr>
              <w:jc w:val="center"/>
            </w:pPr>
            <w:r>
              <w:rPr>
                <w:rFonts w:ascii="宋体" w:hAnsi="宋体" w:eastAsia="宋体"/>
                <w:sz w:val="24"/>
              </w:rPr>
              <w:t>(2024年度)</w:t>
            </w:r>
          </w:p>
        </w:tc>
      </w:tr>
      <w:tr w14:paraId="7BEB52F6">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B275336">
            <w:pPr>
              <w:jc w:val="center"/>
            </w:pPr>
            <w:r>
              <w:rPr>
                <w:rFonts w:ascii="宋体" w:hAnsi="宋体" w:eastAsia="宋体"/>
                <w:sz w:val="16"/>
              </w:rPr>
              <w:t>项目名称</w:t>
            </w:r>
          </w:p>
        </w:tc>
        <w:tc>
          <w:tcPr>
            <w:tcW w:w="8435"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7845A6EA">
            <w:pPr>
              <w:jc w:val="center"/>
            </w:pPr>
            <w:r>
              <w:rPr>
                <w:rFonts w:ascii="宋体" w:hAnsi="宋体" w:eastAsia="宋体"/>
                <w:sz w:val="16"/>
              </w:rPr>
              <w:t>2024年度捐赠资金项目</w:t>
            </w:r>
          </w:p>
        </w:tc>
      </w:tr>
      <w:tr w14:paraId="0D77521C">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84F8421">
            <w:pPr>
              <w:jc w:val="center"/>
            </w:pPr>
            <w:r>
              <w:rPr>
                <w:rFonts w:ascii="宋体" w:hAnsi="宋体" w:eastAsia="宋体"/>
                <w:sz w:val="16"/>
              </w:rPr>
              <w:t>主管部门</w:t>
            </w: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0AD4AE">
            <w:pPr>
              <w:jc w:val="center"/>
            </w:pPr>
            <w:r>
              <w:rPr>
                <w:rFonts w:ascii="宋体" w:hAnsi="宋体" w:eastAsia="宋体"/>
                <w:sz w:val="16"/>
              </w:rPr>
              <w:t>麦盖提县希依提墩乡人民政府</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78524BA">
            <w:pPr>
              <w:jc w:val="center"/>
            </w:pPr>
            <w:r>
              <w:rPr>
                <w:rFonts w:ascii="宋体" w:hAnsi="宋体" w:eastAsia="宋体"/>
                <w:sz w:val="16"/>
              </w:rPr>
              <w:t>实施单位</w:t>
            </w:r>
          </w:p>
        </w:tc>
        <w:tc>
          <w:tcPr>
            <w:tcW w:w="326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E76D84">
            <w:pPr>
              <w:jc w:val="center"/>
            </w:pPr>
            <w:r>
              <w:rPr>
                <w:rFonts w:ascii="宋体" w:hAnsi="宋体" w:eastAsia="宋体"/>
                <w:sz w:val="16"/>
              </w:rPr>
              <w:t>麦盖提县希依提墩乡人民政府</w:t>
            </w:r>
          </w:p>
        </w:tc>
      </w:tr>
      <w:tr w14:paraId="21A99428">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E4DFA">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90BDD">
            <w:pPr>
              <w:jc w:val="center"/>
            </w:pP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B4F18">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09365">
            <w:pPr>
              <w:jc w:val="center"/>
            </w:pPr>
            <w:r>
              <w:rPr>
                <w:rFonts w:ascii="宋体" w:hAnsi="宋体" w:eastAsia="宋体"/>
                <w:sz w:val="16"/>
              </w:rPr>
              <w:t>全年预算数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A264B">
            <w:pPr>
              <w:jc w:val="center"/>
            </w:pPr>
            <w:r>
              <w:rPr>
                <w:rFonts w:ascii="宋体" w:hAnsi="宋体" w:eastAsia="宋体"/>
                <w:sz w:val="16"/>
              </w:rPr>
              <w:t>全年执行数</w:t>
            </w:r>
          </w:p>
        </w:tc>
        <w:tc>
          <w:tcPr>
            <w:tcW w:w="139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0828BF">
            <w:pPr>
              <w:jc w:val="center"/>
            </w:pPr>
            <w:r>
              <w:rPr>
                <w:rFonts w:ascii="宋体" w:hAnsi="宋体" w:eastAsia="宋体"/>
                <w:sz w:val="16"/>
              </w:rPr>
              <w:t>分值</w:t>
            </w:r>
          </w:p>
        </w:tc>
        <w:tc>
          <w:tcPr>
            <w:tcW w:w="123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7317E2">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E7B6155">
            <w:pPr>
              <w:jc w:val="center"/>
            </w:pPr>
            <w:r>
              <w:rPr>
                <w:rFonts w:ascii="宋体" w:hAnsi="宋体" w:eastAsia="宋体"/>
                <w:sz w:val="16"/>
              </w:rPr>
              <w:t>得分</w:t>
            </w:r>
          </w:p>
        </w:tc>
      </w:tr>
      <w:tr w14:paraId="1C87201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5BCABAF"/>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C69CA">
            <w:pPr>
              <w:jc w:val="center"/>
            </w:pPr>
            <w:r>
              <w:rPr>
                <w:rFonts w:ascii="宋体" w:hAnsi="宋体" w:eastAsia="宋体"/>
                <w:sz w:val="16"/>
              </w:rPr>
              <w:t>年度资金总额</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A9D55">
            <w:pPr>
              <w:jc w:val="center"/>
            </w:pPr>
            <w:r>
              <w:rPr>
                <w:rFonts w:ascii="宋体" w:hAnsi="宋体" w:eastAsia="宋体"/>
                <w:sz w:val="16"/>
              </w:rPr>
              <w:t>103.42</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8452E">
            <w:pPr>
              <w:jc w:val="center"/>
            </w:pPr>
            <w:r>
              <w:rPr>
                <w:rFonts w:ascii="宋体" w:hAnsi="宋体" w:eastAsia="宋体"/>
                <w:sz w:val="16"/>
              </w:rPr>
              <w:t>103.42</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FA80">
            <w:pPr>
              <w:jc w:val="center"/>
            </w:pPr>
            <w:r>
              <w:rPr>
                <w:rFonts w:ascii="宋体" w:hAnsi="宋体" w:eastAsia="宋体"/>
                <w:sz w:val="16"/>
              </w:rPr>
              <w:t>103.42</w:t>
            </w:r>
          </w:p>
        </w:tc>
        <w:tc>
          <w:tcPr>
            <w:tcW w:w="139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A56ABD">
            <w:pPr>
              <w:jc w:val="center"/>
            </w:pPr>
            <w:r>
              <w:rPr>
                <w:rFonts w:ascii="宋体" w:hAnsi="宋体" w:eastAsia="宋体"/>
                <w:sz w:val="16"/>
              </w:rPr>
              <w:t>10</w:t>
            </w:r>
          </w:p>
        </w:tc>
        <w:tc>
          <w:tcPr>
            <w:tcW w:w="123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C78970">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7AA6665">
            <w:pPr>
              <w:jc w:val="center"/>
            </w:pPr>
            <w:r>
              <w:rPr>
                <w:rFonts w:ascii="宋体" w:hAnsi="宋体" w:eastAsia="宋体"/>
                <w:sz w:val="16"/>
              </w:rPr>
              <w:t>10.00分</w:t>
            </w:r>
          </w:p>
        </w:tc>
      </w:tr>
      <w:tr w14:paraId="0381C58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2C56656"/>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551D9">
            <w:pPr>
              <w:jc w:val="center"/>
            </w:pPr>
            <w:r>
              <w:rPr>
                <w:rFonts w:ascii="宋体" w:hAnsi="宋体" w:eastAsia="宋体"/>
                <w:sz w:val="16"/>
              </w:rPr>
              <w:t>其中：当年财政拨款</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ED33C">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608B9">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BE3A5">
            <w:pPr>
              <w:jc w:val="center"/>
            </w:pPr>
            <w:r>
              <w:rPr>
                <w:rFonts w:ascii="宋体" w:hAnsi="宋体" w:eastAsia="宋体"/>
                <w:sz w:val="16"/>
              </w:rPr>
              <w:t>0.00</w:t>
            </w:r>
          </w:p>
        </w:tc>
        <w:tc>
          <w:tcPr>
            <w:tcW w:w="139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D83267">
            <w:pPr>
              <w:jc w:val="center"/>
            </w:pPr>
            <w:r>
              <w:rPr>
                <w:rFonts w:ascii="宋体" w:hAnsi="宋体" w:eastAsia="宋体"/>
                <w:sz w:val="16"/>
              </w:rPr>
              <w:t>—</w:t>
            </w:r>
          </w:p>
        </w:tc>
        <w:tc>
          <w:tcPr>
            <w:tcW w:w="123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A83D74">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19594C6">
            <w:pPr>
              <w:jc w:val="center"/>
            </w:pPr>
            <w:r>
              <w:rPr>
                <w:rFonts w:ascii="宋体" w:hAnsi="宋体" w:eastAsia="宋体"/>
                <w:sz w:val="16"/>
              </w:rPr>
              <w:t>—</w:t>
            </w:r>
          </w:p>
        </w:tc>
      </w:tr>
      <w:tr w14:paraId="58C8955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BCEB914"/>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15C41">
            <w:pPr>
              <w:jc w:val="center"/>
            </w:pPr>
            <w:r>
              <w:rPr>
                <w:rFonts w:ascii="宋体" w:hAnsi="宋体" w:eastAsia="宋体"/>
                <w:sz w:val="16"/>
              </w:rPr>
              <w:t xml:space="preserve">  其他资金</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F280F">
            <w:pPr>
              <w:jc w:val="center"/>
            </w:pPr>
            <w:r>
              <w:rPr>
                <w:rFonts w:ascii="宋体" w:hAnsi="宋体" w:eastAsia="宋体"/>
                <w:sz w:val="16"/>
              </w:rPr>
              <w:t>103.42</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954A3">
            <w:pPr>
              <w:jc w:val="center"/>
            </w:pPr>
            <w:r>
              <w:rPr>
                <w:rFonts w:ascii="宋体" w:hAnsi="宋体" w:eastAsia="宋体"/>
                <w:sz w:val="16"/>
              </w:rPr>
              <w:t>103.42</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6D914">
            <w:pPr>
              <w:jc w:val="center"/>
            </w:pPr>
            <w:r>
              <w:rPr>
                <w:rFonts w:ascii="宋体" w:hAnsi="宋体" w:eastAsia="宋体"/>
                <w:sz w:val="16"/>
              </w:rPr>
              <w:t>103.42</w:t>
            </w:r>
          </w:p>
        </w:tc>
        <w:tc>
          <w:tcPr>
            <w:tcW w:w="139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D73F12">
            <w:pPr>
              <w:jc w:val="center"/>
            </w:pPr>
            <w:r>
              <w:rPr>
                <w:rFonts w:ascii="宋体" w:hAnsi="宋体" w:eastAsia="宋体"/>
                <w:sz w:val="16"/>
              </w:rPr>
              <w:t>—</w:t>
            </w:r>
          </w:p>
        </w:tc>
        <w:tc>
          <w:tcPr>
            <w:tcW w:w="123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BAF77B">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5D8C5F1">
            <w:pPr>
              <w:jc w:val="center"/>
            </w:pPr>
            <w:r>
              <w:rPr>
                <w:rFonts w:ascii="宋体" w:hAnsi="宋体" w:eastAsia="宋体"/>
                <w:sz w:val="16"/>
              </w:rPr>
              <w:t>—</w:t>
            </w:r>
          </w:p>
        </w:tc>
      </w:tr>
      <w:tr w14:paraId="21B9CDCA">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348BD">
            <w:pPr>
              <w:jc w:val="center"/>
            </w:pPr>
            <w:r>
              <w:rPr>
                <w:rFonts w:ascii="宋体" w:hAnsi="宋体" w:eastAsia="宋体"/>
                <w:sz w:val="16"/>
              </w:rPr>
              <w:t>三、目标完成情况</w:t>
            </w: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D5558">
            <w:pPr>
              <w:jc w:val="center"/>
            </w:pPr>
            <w:r>
              <w:rPr>
                <w:rFonts w:ascii="宋体" w:hAnsi="宋体" w:eastAsia="宋体"/>
                <w:sz w:val="16"/>
              </w:rPr>
              <w:t>预期目标</w:t>
            </w:r>
          </w:p>
        </w:tc>
        <w:tc>
          <w:tcPr>
            <w:tcW w:w="387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179C25B">
            <w:pPr>
              <w:jc w:val="center"/>
            </w:pPr>
            <w:r>
              <w:rPr>
                <w:rFonts w:ascii="宋体" w:hAnsi="宋体" w:eastAsia="宋体"/>
                <w:sz w:val="16"/>
              </w:rPr>
              <w:t>实际完成情况</w:t>
            </w:r>
          </w:p>
        </w:tc>
      </w:tr>
      <w:tr w14:paraId="6D87D92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151142F"/>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46548C">
            <w:pPr>
              <w:jc w:val="both"/>
            </w:pPr>
            <w:r>
              <w:rPr>
                <w:rFonts w:ascii="宋体" w:hAnsi="宋体" w:eastAsia="宋体"/>
                <w:sz w:val="16"/>
              </w:rPr>
              <w:t>本项目2024年总投资为103.42万元，为实现乡村振兴与脱贫攻坚有效衔接，新疆证监会驻村工作队与各大企业签订捐赠协议，企业捐赠资金主要用于  2乡英也尔村生态治理项目（中邮证券有限责任公司帮扶资金）12000元，  2乡英也尔村文化振兴项目（中邮证券有限责任公司帮扶资金）19952元，  2乡英也尔村土地平整和困难村民医疗救助项目（云财富期货有限公司帮扶资金）18953元，  2乡英也尔村美丽庭院建设、乡村振兴帮扶等（中衍期货有限公司帮扶资金）55200元，  2乡英也尔村村容村貌整治改造提升项目（云财富期货有限公司帮扶资金）99924.82元，  2024年度英也尔村乡村振兴帮扶项目（万联证券股份帮扶资金）400000元，  乡村振兴帮扶项目“护航青苗”“守护银发”（申万宏源集团股份有限公司帮扶资金）40200元，  2024年度英也尔村村内公共基础设施提升及美丽庭院建设项目(和融期货有限责任公司帮扶资金)57740元，2乡英也尔村床上用品换新项目（国新证券股份有限公司帮扶资金)99990元，  2乡英也尔村村民活动中心及村民委员会维修（东兴证券股份有限公司帮扶资金）69337元，  2乡英也尔村发展种植业、养殖业（东海期货有限公司帮扶资金）100000元，  2乡英也尔村帮扶项目（创元期货股份有限公司帮扶资金）42500元，  2乡英也尔村呵护幼苗项目（北京市华夏人慈善基金会帮扶资金）18400元。</w:t>
            </w:r>
          </w:p>
        </w:tc>
        <w:tc>
          <w:tcPr>
            <w:tcW w:w="387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81388C2">
            <w:pPr>
              <w:jc w:val="both"/>
            </w:pPr>
            <w:r>
              <w:rPr>
                <w:rFonts w:ascii="宋体" w:hAnsi="宋体" w:eastAsia="宋体"/>
                <w:sz w:val="16"/>
              </w:rPr>
              <w:t>截至自评节点本项目实际共计支出103.42万元，用于2024年度英也尔村村容村貌改造提升项目（云财富期货有限公司捐赠资金）9.272482万元，2024年度英也尔村乡村振兴帮扶项目（万联证券股份有限公司捐赠资金）2.088907万元，2024年度英也尔村乡村振兴帮扶项目（万联证券股份有限公司捐赠资金）37.911093万元，2024年度英也尔村床上用品换新项目（国新证券股份有限公司捐赠资金）9.999万元，2024年度英也尔村文化振兴帮扶项目（中邮证券有限责任公司捐赠资金）0.9684万元，2024年度英也尔村阵地建设项目帮扶资金（云财富期货有限公司）0.72万元，2024年度英也尔村“护航青苗”项目（申万宏源集团股份有限公司捐赠资金）1.5万元，2024年度英也尔村村内公共基础设施提升及美丽庭院建设项目（和融期货有限责任公司）1.802万元，2024年度英也尔村村内公共基础设施提升及美丽庭院建设项目（和融期货有限责任公司）1.796万元，2024年度英也尔村文化振兴帮扶项目（中邮证券有限责任公司捐赠资金）0.19万元，2024年度英也尔村“医路无忧”项目（云财富期货有限公司捐赠资金）1.8953万元，2024年度英也尔村“守护银发”项目（申万宏源集团股份有限公司捐赠资金）2.52万元，1村渠道维修费1.65万元，1村购买门、电缆线、强光灯2.148万元，1村村委会房屋维修款4.7857万元，一村春节购买牛肉（慰问群众）3.87万元，8村庭院经济发展项目实施打卡2万元，1村购买文化晚会活动用品0.8368万元，1村化肥款（乡村振兴帮扶资金）12.25万元，1村购买玫瑰花苗1.2万元，1村购买灭火器（乡村振兴资金）2.176万元，1村“呵护幼苗”购买营养品1.84万元。为麦盖提县希依提墩乡英也尔村的乡村振兴及村容村貌等方面提供了极大的帮助，为群众更好</w:t>
            </w:r>
            <w:r>
              <w:rPr>
                <w:rFonts w:hint="eastAsia" w:ascii="宋体" w:hAnsi="宋体"/>
                <w:sz w:val="16"/>
                <w:lang w:eastAsia="zh-CN"/>
              </w:rPr>
              <w:t>地</w:t>
            </w:r>
            <w:r>
              <w:rPr>
                <w:rFonts w:ascii="宋体" w:hAnsi="宋体" w:eastAsia="宋体"/>
                <w:sz w:val="16"/>
              </w:rPr>
              <w:t>致富及村级事务管理等提供了强大的经济支持，通过项目的实施，建设了更加和谐宜居美丽的英也尔村。</w:t>
            </w:r>
          </w:p>
        </w:tc>
      </w:tr>
      <w:tr w14:paraId="3DC161B4">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5AB33E4F"/>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4970F5A">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8245460">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AD3192C">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EEB6A74">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184E21A">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8DEA81D">
            <w:pPr>
              <w:jc w:val="center"/>
            </w:pPr>
            <w:r>
              <w:rPr>
                <w:rFonts w:ascii="宋体" w:hAnsi="宋体" w:eastAsia="宋体"/>
                <w:sz w:val="16"/>
              </w:rPr>
              <w:t>上年完成情况</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0AB9880">
            <w:pPr>
              <w:jc w:val="center"/>
            </w:pPr>
            <w:r>
              <w:rPr>
                <w:rFonts w:ascii="宋体" w:hAnsi="宋体" w:eastAsia="宋体"/>
                <w:sz w:val="16"/>
              </w:rPr>
              <w:t>权重</w:t>
            </w:r>
          </w:p>
        </w:tc>
        <w:tc>
          <w:tcPr>
            <w:tcW w:w="7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46625">
            <w:pPr>
              <w:jc w:val="center"/>
            </w:pPr>
            <w:r>
              <w:rPr>
                <w:rFonts w:ascii="宋体" w:hAnsi="宋体" w:eastAsia="宋体"/>
                <w:sz w:val="16"/>
              </w:rPr>
              <w:t>赋分规则</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77F1A9FC">
            <w:pPr>
              <w:jc w:val="center"/>
            </w:pPr>
            <w:r>
              <w:rPr>
                <w:rFonts w:ascii="宋体" w:hAnsi="宋体" w:eastAsia="宋体"/>
                <w:sz w:val="16"/>
              </w:rPr>
              <w:t>佐证资料</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A24A6">
            <w:pPr>
              <w:jc w:val="center"/>
            </w:pPr>
            <w:r>
              <w:rPr>
                <w:rFonts w:ascii="宋体" w:hAnsi="宋体" w:eastAsia="宋体"/>
                <w:sz w:val="16"/>
              </w:rPr>
              <w:t>实际完成值</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7AEA2432">
            <w:pPr>
              <w:jc w:val="center"/>
            </w:pPr>
            <w:r>
              <w:rPr>
                <w:rFonts w:ascii="宋体" w:hAnsi="宋体" w:eastAsia="宋体"/>
                <w:sz w:val="16"/>
              </w:rPr>
              <w:t>得分</w:t>
            </w:r>
          </w:p>
        </w:tc>
        <w:tc>
          <w:tcPr>
            <w:tcW w:w="8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EA110">
            <w:pPr>
              <w:jc w:val="center"/>
            </w:pPr>
            <w:r>
              <w:rPr>
                <w:rFonts w:ascii="宋体" w:hAnsi="宋体" w:eastAsia="宋体"/>
                <w:sz w:val="16"/>
              </w:rPr>
              <w:t>偏差原因分析及改进措施</w:t>
            </w:r>
          </w:p>
        </w:tc>
      </w:tr>
      <w:tr w14:paraId="72C65729">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224FD">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CC566">
            <w:pPr>
              <w:jc w:val="center"/>
            </w:pPr>
            <w:r>
              <w:rPr>
                <w:rFonts w:ascii="宋体" w:hAnsi="宋体" w:eastAsia="宋体"/>
                <w:sz w:val="16"/>
              </w:rPr>
              <w:t>产出指标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83C1298">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4814673">
            <w:pPr>
              <w:jc w:val="center"/>
            </w:pPr>
            <w:r>
              <w:rPr>
                <w:rFonts w:ascii="宋体" w:hAnsi="宋体" w:eastAsia="宋体"/>
                <w:sz w:val="16"/>
              </w:rPr>
              <w:t>投入捐赠资金项目数量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17BCFCC">
            <w:pPr>
              <w:jc w:val="center"/>
            </w:pPr>
            <w:r>
              <w:rPr>
                <w:rFonts w:ascii="宋体" w:hAnsi="宋体" w:eastAsia="宋体"/>
                <w:sz w:val="16"/>
              </w:rPr>
              <w:t>&gt;=13批次</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A628F92">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33EF082">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0D049FD">
            <w:pPr>
              <w:jc w:val="center"/>
            </w:pPr>
            <w:r>
              <w:rPr>
                <w:rFonts w:ascii="宋体" w:hAnsi="宋体" w:eastAsia="宋体"/>
                <w:sz w:val="16"/>
              </w:rPr>
              <w:t>10</w:t>
            </w:r>
          </w:p>
        </w:tc>
        <w:tc>
          <w:tcPr>
            <w:tcW w:w="7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5E994">
            <w:pPr>
              <w:jc w:val="center"/>
            </w:pPr>
            <w:r>
              <w:rPr>
                <w:rFonts w:ascii="宋体" w:hAnsi="宋体" w:eastAsia="宋体"/>
                <w:sz w:val="16"/>
              </w:rPr>
              <w:t>按照完成比例赋分</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2DD4437C">
            <w:pPr>
              <w:jc w:val="center"/>
            </w:pPr>
            <w:r>
              <w:rPr>
                <w:rFonts w:ascii="宋体" w:hAnsi="宋体" w:eastAsia="宋体"/>
                <w:sz w:val="16"/>
              </w:rPr>
              <w:t>工作资料,原始凭证</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A7D8B">
            <w:pPr>
              <w:jc w:val="center"/>
            </w:pPr>
            <w:r>
              <w:rPr>
                <w:rFonts w:ascii="宋体" w:hAnsi="宋体" w:eastAsia="宋体"/>
                <w:sz w:val="16"/>
              </w:rPr>
              <w:t>=13批次</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7403031B">
            <w:pPr>
              <w:jc w:val="center"/>
            </w:pPr>
            <w:r>
              <w:rPr>
                <w:rFonts w:ascii="宋体" w:hAnsi="宋体" w:eastAsia="宋体"/>
                <w:sz w:val="16"/>
              </w:rPr>
              <w:t>10</w:t>
            </w:r>
          </w:p>
        </w:tc>
        <w:tc>
          <w:tcPr>
            <w:tcW w:w="8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C92F2">
            <w:pPr>
              <w:jc w:val="center"/>
            </w:pPr>
          </w:p>
        </w:tc>
      </w:tr>
      <w:tr w14:paraId="532B944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9873FBB"/>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8EF2FA7"/>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103F4EF">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048B358">
            <w:pPr>
              <w:jc w:val="center"/>
            </w:pPr>
            <w:r>
              <w:rPr>
                <w:rFonts w:ascii="宋体" w:hAnsi="宋体" w:eastAsia="宋体"/>
                <w:sz w:val="16"/>
              </w:rPr>
              <w:t>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AD653DD">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7A18E2E">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F35ED98">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1C88173">
            <w:pPr>
              <w:jc w:val="center"/>
            </w:pPr>
            <w:r>
              <w:rPr>
                <w:rFonts w:ascii="宋体" w:hAnsi="宋体" w:eastAsia="宋体"/>
                <w:sz w:val="16"/>
              </w:rPr>
              <w:t>10</w:t>
            </w:r>
          </w:p>
        </w:tc>
        <w:tc>
          <w:tcPr>
            <w:tcW w:w="7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5AB21">
            <w:pPr>
              <w:jc w:val="center"/>
            </w:pPr>
            <w:r>
              <w:rPr>
                <w:rFonts w:ascii="宋体" w:hAnsi="宋体" w:eastAsia="宋体"/>
                <w:sz w:val="16"/>
              </w:rPr>
              <w:t>按照完成比例赋分</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1AFEE1D9">
            <w:pPr>
              <w:jc w:val="center"/>
            </w:pPr>
            <w:r>
              <w:rPr>
                <w:rFonts w:ascii="宋体" w:hAnsi="宋体" w:eastAsia="宋体"/>
                <w:sz w:val="16"/>
              </w:rPr>
              <w:t>工作资料,原始凭证</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8760C">
            <w:pPr>
              <w:jc w:val="center"/>
            </w:pPr>
            <w:r>
              <w:rPr>
                <w:rFonts w:ascii="宋体" w:hAnsi="宋体" w:eastAsia="宋体"/>
                <w:sz w:val="16"/>
              </w:rPr>
              <w:t>=100%</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68E42C84">
            <w:pPr>
              <w:jc w:val="center"/>
            </w:pPr>
            <w:r>
              <w:rPr>
                <w:rFonts w:ascii="宋体" w:hAnsi="宋体" w:eastAsia="宋体"/>
                <w:sz w:val="16"/>
              </w:rPr>
              <w:t>10</w:t>
            </w:r>
          </w:p>
        </w:tc>
        <w:tc>
          <w:tcPr>
            <w:tcW w:w="8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816EF">
            <w:pPr>
              <w:jc w:val="center"/>
            </w:pPr>
          </w:p>
        </w:tc>
      </w:tr>
      <w:tr w14:paraId="387A602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CCAF678"/>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3B30A27"/>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82F8C">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07DEFA5">
            <w:pPr>
              <w:jc w:val="center"/>
            </w:pPr>
            <w:r>
              <w:rPr>
                <w:rFonts w:ascii="宋体" w:hAnsi="宋体" w:eastAsia="宋体"/>
                <w:sz w:val="16"/>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DC82305">
            <w:pPr>
              <w:jc w:val="center"/>
            </w:pPr>
            <w:r>
              <w:rPr>
                <w:rFonts w:ascii="宋体" w:hAnsi="宋体" w:eastAsia="宋体"/>
                <w:sz w:val="16"/>
              </w:rPr>
              <w:t>=2024年12月20日</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B3CE9DA">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97943BC">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4D3A928">
            <w:pPr>
              <w:jc w:val="center"/>
            </w:pPr>
            <w:r>
              <w:rPr>
                <w:rFonts w:ascii="宋体" w:hAnsi="宋体" w:eastAsia="宋体"/>
                <w:sz w:val="16"/>
              </w:rPr>
              <w:t>10</w:t>
            </w:r>
          </w:p>
        </w:tc>
        <w:tc>
          <w:tcPr>
            <w:tcW w:w="7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2A505">
            <w:pPr>
              <w:jc w:val="center"/>
            </w:pPr>
            <w:r>
              <w:rPr>
                <w:rFonts w:ascii="宋体" w:hAnsi="宋体" w:eastAsia="宋体"/>
                <w:sz w:val="16"/>
              </w:rPr>
              <w:t>按照完成比例赋分</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64375F72">
            <w:pPr>
              <w:jc w:val="center"/>
            </w:pPr>
            <w:r>
              <w:rPr>
                <w:rFonts w:ascii="宋体" w:hAnsi="宋体" w:eastAsia="宋体"/>
                <w:sz w:val="16"/>
              </w:rPr>
              <w:t>工作资料,原始凭证</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7242D">
            <w:pPr>
              <w:jc w:val="center"/>
            </w:pPr>
            <w:r>
              <w:rPr>
                <w:rFonts w:ascii="宋体" w:hAnsi="宋体" w:eastAsia="宋体"/>
                <w:sz w:val="16"/>
              </w:rPr>
              <w:t>=2024年12月24日</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6CFBBD7F">
            <w:pPr>
              <w:jc w:val="center"/>
            </w:pPr>
            <w:r>
              <w:rPr>
                <w:rFonts w:ascii="宋体" w:hAnsi="宋体" w:eastAsia="宋体"/>
                <w:sz w:val="16"/>
              </w:rPr>
              <w:t>10</w:t>
            </w:r>
          </w:p>
        </w:tc>
        <w:tc>
          <w:tcPr>
            <w:tcW w:w="8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3161B">
            <w:pPr>
              <w:jc w:val="center"/>
            </w:pPr>
          </w:p>
        </w:tc>
      </w:tr>
      <w:tr w14:paraId="2096AE9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49B3D53"/>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6CCCB8CB"/>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4BF5939"/>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0F5DD1D">
            <w:pPr>
              <w:jc w:val="center"/>
            </w:pPr>
            <w:r>
              <w:rPr>
                <w:rFonts w:ascii="宋体" w:hAnsi="宋体" w:eastAsia="宋体"/>
                <w:sz w:val="16"/>
              </w:rPr>
              <w:t>尾款支付率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889BB41">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F92F834">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A18ACC6">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B7E2687">
            <w:pPr>
              <w:jc w:val="center"/>
            </w:pPr>
            <w:r>
              <w:rPr>
                <w:rFonts w:ascii="宋体" w:hAnsi="宋体" w:eastAsia="宋体"/>
                <w:sz w:val="16"/>
              </w:rPr>
              <w:t>10</w:t>
            </w:r>
          </w:p>
        </w:tc>
        <w:tc>
          <w:tcPr>
            <w:tcW w:w="7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0712C">
            <w:pPr>
              <w:jc w:val="center"/>
            </w:pPr>
            <w:r>
              <w:rPr>
                <w:rFonts w:ascii="宋体" w:hAnsi="宋体" w:eastAsia="宋体"/>
                <w:sz w:val="16"/>
              </w:rPr>
              <w:t>按照完成比例赋分</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104E742D">
            <w:pPr>
              <w:jc w:val="center"/>
            </w:pPr>
            <w:r>
              <w:rPr>
                <w:rFonts w:ascii="宋体" w:hAnsi="宋体" w:eastAsia="宋体"/>
                <w:sz w:val="16"/>
              </w:rPr>
              <w:t>工作资料,原始凭证</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87814">
            <w:pPr>
              <w:jc w:val="center"/>
            </w:pPr>
            <w:r>
              <w:rPr>
                <w:rFonts w:ascii="宋体" w:hAnsi="宋体" w:eastAsia="宋体"/>
                <w:sz w:val="16"/>
              </w:rPr>
              <w:t>=100%</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06394915">
            <w:pPr>
              <w:jc w:val="center"/>
            </w:pPr>
            <w:r>
              <w:rPr>
                <w:rFonts w:ascii="宋体" w:hAnsi="宋体" w:eastAsia="宋体"/>
                <w:sz w:val="16"/>
              </w:rPr>
              <w:t>10</w:t>
            </w:r>
          </w:p>
        </w:tc>
        <w:tc>
          <w:tcPr>
            <w:tcW w:w="8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74C9A">
            <w:pPr>
              <w:jc w:val="center"/>
            </w:pPr>
          </w:p>
        </w:tc>
      </w:tr>
      <w:tr w14:paraId="738C69E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FDF89A8"/>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DDB779F">
            <w:pPr>
              <w:jc w:val="center"/>
            </w:pPr>
            <w:r>
              <w:rPr>
                <w:rFonts w:ascii="宋体" w:hAnsi="宋体" w:eastAsia="宋体"/>
                <w:sz w:val="16"/>
              </w:rPr>
              <w:t>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4D33B70">
            <w:pPr>
              <w:jc w:val="center"/>
            </w:pPr>
            <w:r>
              <w:rPr>
                <w:rFonts w:ascii="宋体" w:hAnsi="宋体" w:eastAsia="宋体"/>
                <w:sz w:val="16"/>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93F36B4">
            <w:pPr>
              <w:jc w:val="center"/>
            </w:pPr>
            <w:r>
              <w:rPr>
                <w:rFonts w:ascii="宋体" w:hAnsi="宋体" w:eastAsia="宋体"/>
                <w:sz w:val="16"/>
              </w:rPr>
              <w:t>投入捐赠资金项目成本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4506EE3">
            <w:pPr>
              <w:jc w:val="center"/>
            </w:pPr>
            <w:r>
              <w:rPr>
                <w:rFonts w:ascii="宋体" w:hAnsi="宋体" w:eastAsia="宋体"/>
                <w:sz w:val="16"/>
              </w:rPr>
              <w:t>&lt;=103.42万元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D4B68C0">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5505128">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941E7BA">
            <w:pPr>
              <w:jc w:val="center"/>
            </w:pPr>
            <w:r>
              <w:rPr>
                <w:rFonts w:ascii="宋体" w:hAnsi="宋体" w:eastAsia="宋体"/>
                <w:sz w:val="16"/>
              </w:rPr>
              <w:t>20</w:t>
            </w:r>
          </w:p>
        </w:tc>
        <w:tc>
          <w:tcPr>
            <w:tcW w:w="7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1ED4">
            <w:pPr>
              <w:jc w:val="center"/>
            </w:pPr>
            <w:r>
              <w:rPr>
                <w:rFonts w:ascii="宋体" w:hAnsi="宋体" w:eastAsia="宋体"/>
                <w:sz w:val="16"/>
              </w:rPr>
              <w:t>按照完成比例赋分</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37DED748">
            <w:pPr>
              <w:jc w:val="center"/>
            </w:pPr>
            <w:r>
              <w:rPr>
                <w:rFonts w:ascii="宋体" w:hAnsi="宋体" w:eastAsia="宋体"/>
                <w:sz w:val="16"/>
              </w:rPr>
              <w:t>工作资料,原始凭证</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2F3D8">
            <w:pPr>
              <w:jc w:val="center"/>
            </w:pPr>
            <w:r>
              <w:rPr>
                <w:rFonts w:ascii="宋体" w:hAnsi="宋体" w:eastAsia="宋体"/>
                <w:sz w:val="16"/>
              </w:rPr>
              <w:t>=103.42万元</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51B38549">
            <w:pPr>
              <w:jc w:val="center"/>
            </w:pPr>
            <w:r>
              <w:rPr>
                <w:rFonts w:ascii="宋体" w:hAnsi="宋体" w:eastAsia="宋体"/>
                <w:sz w:val="16"/>
              </w:rPr>
              <w:t>20</w:t>
            </w:r>
          </w:p>
        </w:tc>
        <w:tc>
          <w:tcPr>
            <w:tcW w:w="8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C3703">
            <w:pPr>
              <w:jc w:val="center"/>
            </w:pPr>
          </w:p>
        </w:tc>
      </w:tr>
      <w:tr w14:paraId="0071BBC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F771766"/>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CE15962">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CAF1C3E">
            <w:pPr>
              <w:jc w:val="center"/>
            </w:pPr>
            <w:r>
              <w:rPr>
                <w:rFonts w:ascii="宋体" w:hAnsi="宋体" w:eastAsia="宋体"/>
                <w:sz w:val="16"/>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ADE8430">
            <w:pPr>
              <w:jc w:val="center"/>
            </w:pPr>
            <w:r>
              <w:rPr>
                <w:rFonts w:ascii="宋体" w:hAnsi="宋体" w:eastAsia="宋体"/>
                <w:sz w:val="16"/>
              </w:rPr>
              <w:t>有效促进乡村振兴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FFE4C87">
            <w:pPr>
              <w:jc w:val="center"/>
            </w:pPr>
            <w:r>
              <w:rPr>
                <w:rFonts w:ascii="宋体" w:hAnsi="宋体" w:eastAsia="宋体"/>
                <w:sz w:val="16"/>
              </w:rPr>
              <w:t>有效</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F0CAF34">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736C7A1">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B7E8740">
            <w:pPr>
              <w:jc w:val="center"/>
            </w:pPr>
            <w:r>
              <w:rPr>
                <w:rFonts w:ascii="宋体" w:hAnsi="宋体" w:eastAsia="宋体"/>
                <w:sz w:val="16"/>
              </w:rPr>
              <w:t>20</w:t>
            </w:r>
          </w:p>
        </w:tc>
        <w:tc>
          <w:tcPr>
            <w:tcW w:w="7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38FF1">
            <w:pPr>
              <w:jc w:val="center"/>
            </w:pPr>
            <w:r>
              <w:rPr>
                <w:rFonts w:ascii="宋体" w:hAnsi="宋体" w:eastAsia="宋体"/>
                <w:sz w:val="16"/>
              </w:rPr>
              <w:t>按评判等级赋分</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5F2DB2CB">
            <w:pPr>
              <w:jc w:val="center"/>
            </w:pPr>
            <w:r>
              <w:rPr>
                <w:rFonts w:ascii="宋体" w:hAnsi="宋体" w:eastAsia="宋体"/>
                <w:sz w:val="16"/>
              </w:rPr>
              <w:t>说明材料</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4AFEC">
            <w:pPr>
              <w:jc w:val="center"/>
            </w:pPr>
            <w:r>
              <w:rPr>
                <w:rFonts w:ascii="宋体" w:hAnsi="宋体" w:eastAsia="宋体"/>
                <w:sz w:val="16"/>
              </w:rPr>
              <w:t>有效</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1FD98D5E">
            <w:pPr>
              <w:jc w:val="center"/>
            </w:pPr>
            <w:r>
              <w:rPr>
                <w:rFonts w:ascii="宋体" w:hAnsi="宋体" w:eastAsia="宋体"/>
                <w:sz w:val="16"/>
              </w:rPr>
              <w:t>20</w:t>
            </w:r>
          </w:p>
        </w:tc>
        <w:tc>
          <w:tcPr>
            <w:tcW w:w="8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A9178">
            <w:pPr>
              <w:jc w:val="center"/>
            </w:pPr>
          </w:p>
        </w:tc>
      </w:tr>
      <w:tr w14:paraId="35CEF99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77B8A11"/>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76C6626">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D48815B">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CD223B1">
            <w:pPr>
              <w:jc w:val="center"/>
            </w:pPr>
            <w:r>
              <w:rPr>
                <w:rFonts w:ascii="宋体" w:hAnsi="宋体" w:eastAsia="宋体"/>
                <w:sz w:val="16"/>
              </w:rPr>
              <w:t>受益群众满意度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5E127A9">
            <w:pPr>
              <w:jc w:val="center"/>
            </w:pPr>
            <w:r>
              <w:rPr>
                <w:rFonts w:ascii="宋体" w:hAnsi="宋体" w:eastAsia="宋体"/>
                <w:sz w:val="16"/>
              </w:rPr>
              <w:t>&gt;=95%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8B45073">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5C62E1E">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5AC7C6C">
            <w:pPr>
              <w:jc w:val="center"/>
            </w:pPr>
            <w:r>
              <w:rPr>
                <w:rFonts w:ascii="宋体" w:hAnsi="宋体" w:eastAsia="宋体"/>
                <w:sz w:val="16"/>
              </w:rPr>
              <w:t>10</w:t>
            </w:r>
          </w:p>
        </w:tc>
        <w:tc>
          <w:tcPr>
            <w:tcW w:w="7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E22FB">
            <w:pPr>
              <w:jc w:val="center"/>
            </w:pPr>
            <w:r>
              <w:rPr>
                <w:rFonts w:ascii="宋体" w:hAnsi="宋体" w:eastAsia="宋体"/>
                <w:sz w:val="16"/>
              </w:rPr>
              <w:t>满意度赋分</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22A2BD62">
            <w:pPr>
              <w:jc w:val="center"/>
            </w:pPr>
            <w:r>
              <w:rPr>
                <w:rFonts w:ascii="宋体" w:hAnsi="宋体" w:eastAsia="宋体"/>
                <w:sz w:val="16"/>
              </w:rPr>
              <w:t>说明材料</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61070">
            <w:pPr>
              <w:jc w:val="center"/>
            </w:pPr>
            <w:r>
              <w:rPr>
                <w:rFonts w:ascii="宋体" w:hAnsi="宋体" w:eastAsia="宋体"/>
                <w:sz w:val="16"/>
              </w:rPr>
              <w:t>=100%</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14:paraId="49988103">
            <w:pPr>
              <w:jc w:val="center"/>
            </w:pPr>
            <w:r>
              <w:rPr>
                <w:rFonts w:ascii="宋体" w:hAnsi="宋体" w:eastAsia="宋体"/>
                <w:sz w:val="16"/>
              </w:rPr>
              <w:t>10</w:t>
            </w:r>
          </w:p>
        </w:tc>
        <w:tc>
          <w:tcPr>
            <w:tcW w:w="8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6AF74">
            <w:pPr>
              <w:jc w:val="center"/>
            </w:pPr>
          </w:p>
        </w:tc>
      </w:tr>
      <w:tr w14:paraId="53C6A1C6">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D8F6566">
            <w:pPr>
              <w:jc w:val="center"/>
            </w:pPr>
            <w:r>
              <w:rPr>
                <w:rFonts w:ascii="宋体" w:hAnsi="宋体" w:eastAsia="宋体"/>
                <w:sz w:val="16"/>
              </w:rPr>
              <w:t>总分</w:t>
            </w: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E93FF6">
            <w:pPr>
              <w:jc w:val="center"/>
            </w:pPr>
            <w:r>
              <w:rPr>
                <w:rFonts w:ascii="宋体" w:hAnsi="宋体" w:eastAsia="宋体"/>
                <w:sz w:val="16"/>
              </w:rPr>
              <w:t>100</w:t>
            </w:r>
          </w:p>
        </w:tc>
        <w:tc>
          <w:tcPr>
            <w:tcW w:w="7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69050">
            <w:pPr>
              <w:jc w:val="center"/>
            </w:pPr>
            <w:r>
              <w:rPr>
                <w:rFonts w:ascii="宋体" w:hAnsi="宋体" w:eastAsia="宋体"/>
                <w:sz w:val="16"/>
              </w:rPr>
              <w:t>得分</w:t>
            </w:r>
          </w:p>
        </w:tc>
        <w:tc>
          <w:tcPr>
            <w:tcW w:w="307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05D394">
            <w:pPr>
              <w:jc w:val="center"/>
            </w:pPr>
            <w:r>
              <w:rPr>
                <w:rFonts w:ascii="宋体" w:hAnsi="宋体" w:eastAsia="宋体"/>
                <w:sz w:val="16"/>
              </w:rPr>
              <w:t>100分</w:t>
            </w:r>
          </w:p>
        </w:tc>
      </w:tr>
    </w:tbl>
    <w:p w14:paraId="71322B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AB00284">
        <w:tblPrEx>
          <w:tblCellMar>
            <w:top w:w="0" w:type="dxa"/>
            <w:left w:w="108" w:type="dxa"/>
            <w:bottom w:w="0" w:type="dxa"/>
            <w:right w:w="108" w:type="dxa"/>
          </w:tblCellMar>
        </w:tblPrEx>
        <w:tc>
          <w:tcPr>
            <w:tcW w:w="8848" w:type="dxa"/>
            <w:gridSpan w:val="14"/>
            <w:vAlign w:val="center"/>
          </w:tcPr>
          <w:p w14:paraId="108E273E">
            <w:pPr>
              <w:jc w:val="center"/>
            </w:pPr>
            <w:r>
              <w:rPr>
                <w:rFonts w:ascii="宋体" w:hAnsi="宋体" w:eastAsia="宋体"/>
                <w:sz w:val="24"/>
              </w:rPr>
              <w:t>项目支出绩效自评表</w:t>
            </w:r>
          </w:p>
        </w:tc>
      </w:tr>
      <w:tr w14:paraId="1F7CA040">
        <w:tblPrEx>
          <w:tblCellMar>
            <w:top w:w="0" w:type="dxa"/>
            <w:left w:w="108" w:type="dxa"/>
            <w:bottom w:w="0" w:type="dxa"/>
            <w:right w:w="108" w:type="dxa"/>
          </w:tblCellMar>
        </w:tblPrEx>
        <w:tc>
          <w:tcPr>
            <w:tcW w:w="8848" w:type="dxa"/>
            <w:gridSpan w:val="14"/>
            <w:vAlign w:val="center"/>
          </w:tcPr>
          <w:p w14:paraId="22AACA8F">
            <w:pPr>
              <w:jc w:val="center"/>
            </w:pPr>
            <w:r>
              <w:rPr>
                <w:rFonts w:ascii="宋体" w:hAnsi="宋体" w:eastAsia="宋体"/>
                <w:sz w:val="24"/>
              </w:rPr>
              <w:t>(2024年度)</w:t>
            </w:r>
          </w:p>
        </w:tc>
      </w:tr>
      <w:tr w14:paraId="11FCD7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37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8A7848">
            <w:pPr>
              <w:jc w:val="center"/>
            </w:pPr>
            <w:r>
              <w:rPr>
                <w:rFonts w:ascii="宋体" w:hAnsi="宋体" w:eastAsia="宋体"/>
                <w:sz w:val="16"/>
              </w:rPr>
              <w:t>2024年麦盖提县希依提墩乡业务活动项目</w:t>
            </w:r>
          </w:p>
        </w:tc>
      </w:tr>
      <w:tr w14:paraId="692306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05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5B1549">
            <w:pPr>
              <w:jc w:val="center"/>
            </w:pPr>
            <w:r>
              <w:rPr>
                <w:rFonts w:ascii="宋体" w:hAnsi="宋体" w:eastAsia="宋体"/>
                <w:sz w:val="16"/>
              </w:rPr>
              <w:t>麦盖提县希依提墩乡人民政府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E1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39E00D">
            <w:pPr>
              <w:jc w:val="center"/>
            </w:pPr>
            <w:r>
              <w:rPr>
                <w:rFonts w:ascii="宋体" w:hAnsi="宋体" w:eastAsia="宋体"/>
                <w:sz w:val="16"/>
              </w:rPr>
              <w:t>麦盖提县希依提墩乡人民政府</w:t>
            </w:r>
          </w:p>
        </w:tc>
      </w:tr>
      <w:tr w14:paraId="1A0475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640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420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4A3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D14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A5B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880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DA2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9640">
            <w:pPr>
              <w:jc w:val="center"/>
            </w:pPr>
            <w:r>
              <w:rPr>
                <w:rFonts w:ascii="宋体" w:hAnsi="宋体" w:eastAsia="宋体"/>
                <w:sz w:val="16"/>
              </w:rPr>
              <w:t>得分</w:t>
            </w:r>
          </w:p>
        </w:tc>
      </w:tr>
      <w:tr w14:paraId="7B96F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3B9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230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7BF13">
            <w:pPr>
              <w:jc w:val="center"/>
            </w:pPr>
            <w:r>
              <w:rPr>
                <w:rFonts w:ascii="宋体" w:hAnsi="宋体" w:eastAsia="宋体"/>
                <w:sz w:val="16"/>
              </w:rPr>
              <w:t>66.96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EB88A">
            <w:pPr>
              <w:jc w:val="center"/>
            </w:pPr>
            <w:r>
              <w:rPr>
                <w:rFonts w:ascii="宋体" w:hAnsi="宋体" w:eastAsia="宋体"/>
                <w:sz w:val="16"/>
              </w:rPr>
              <w:t>66.96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75E25">
            <w:pPr>
              <w:jc w:val="center"/>
            </w:pPr>
            <w:r>
              <w:rPr>
                <w:rFonts w:ascii="宋体" w:hAnsi="宋体" w:eastAsia="宋体"/>
                <w:sz w:val="16"/>
              </w:rPr>
              <w:t>66.96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482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2C91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FDC6">
            <w:pPr>
              <w:jc w:val="center"/>
            </w:pPr>
            <w:r>
              <w:rPr>
                <w:rFonts w:ascii="宋体" w:hAnsi="宋体" w:eastAsia="宋体"/>
                <w:sz w:val="16"/>
              </w:rPr>
              <w:t>10.00分</w:t>
            </w:r>
          </w:p>
        </w:tc>
      </w:tr>
      <w:tr w14:paraId="2DAD8D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7C1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02A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5EA6E">
            <w:pPr>
              <w:jc w:val="center"/>
            </w:pPr>
            <w:r>
              <w:rPr>
                <w:rFonts w:ascii="宋体" w:hAnsi="宋体" w:eastAsia="宋体"/>
                <w:sz w:val="16"/>
              </w:rPr>
              <w:t>66.96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2AF28">
            <w:pPr>
              <w:jc w:val="center"/>
            </w:pPr>
            <w:r>
              <w:rPr>
                <w:rFonts w:ascii="宋体" w:hAnsi="宋体" w:eastAsia="宋体"/>
                <w:sz w:val="16"/>
              </w:rPr>
              <w:t>66.96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F8913">
            <w:pPr>
              <w:jc w:val="center"/>
            </w:pPr>
            <w:r>
              <w:rPr>
                <w:rFonts w:ascii="宋体" w:hAnsi="宋体" w:eastAsia="宋体"/>
                <w:sz w:val="16"/>
              </w:rPr>
              <w:t>66.96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C06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CEF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B3E3">
            <w:pPr>
              <w:jc w:val="center"/>
            </w:pPr>
            <w:r>
              <w:rPr>
                <w:rFonts w:ascii="宋体" w:hAnsi="宋体" w:eastAsia="宋体"/>
                <w:sz w:val="16"/>
              </w:rPr>
              <w:t>—</w:t>
            </w:r>
          </w:p>
        </w:tc>
      </w:tr>
      <w:tr w14:paraId="2CBB2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B5D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27B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641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E5E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AF3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147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F11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0AE2">
            <w:pPr>
              <w:jc w:val="center"/>
            </w:pPr>
            <w:r>
              <w:rPr>
                <w:rFonts w:ascii="宋体" w:hAnsi="宋体" w:eastAsia="宋体"/>
                <w:sz w:val="16"/>
              </w:rPr>
              <w:t>—</w:t>
            </w:r>
          </w:p>
        </w:tc>
      </w:tr>
      <w:tr w14:paraId="30211F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F92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651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A2038B">
            <w:pPr>
              <w:jc w:val="center"/>
            </w:pPr>
            <w:r>
              <w:rPr>
                <w:rFonts w:ascii="宋体" w:hAnsi="宋体" w:eastAsia="宋体"/>
                <w:sz w:val="16"/>
              </w:rPr>
              <w:t>实际完成情况</w:t>
            </w:r>
          </w:p>
        </w:tc>
      </w:tr>
      <w:tr w14:paraId="33083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530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570D7A">
            <w:pPr>
              <w:jc w:val="both"/>
            </w:pPr>
            <w:r>
              <w:rPr>
                <w:rFonts w:ascii="宋体" w:hAnsi="宋体" w:eastAsia="宋体"/>
                <w:sz w:val="16"/>
              </w:rPr>
              <w:t>2024年本项目投资66.96万元，主要用于保障</w:t>
            </w:r>
            <w:r>
              <w:rPr>
                <w:rFonts w:hint="eastAsia" w:ascii="宋体" w:hAnsi="宋体"/>
                <w:sz w:val="16"/>
                <w:lang w:eastAsia="zh-CN"/>
              </w:rPr>
              <w:t>本单位</w:t>
            </w:r>
            <w:r>
              <w:rPr>
                <w:rFonts w:ascii="宋体" w:hAnsi="宋体" w:eastAsia="宋体"/>
                <w:sz w:val="16"/>
              </w:rPr>
              <w:t>5个内设股室日常办公运转及3辆公务用车运行维护费，项目的实施可有效提升社会公众服务能力，保障单位日常工作正常开展。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E51882">
            <w:pPr>
              <w:jc w:val="both"/>
            </w:pPr>
            <w:r>
              <w:rPr>
                <w:rFonts w:ascii="宋体" w:hAnsi="宋体" w:eastAsia="宋体"/>
                <w:sz w:val="16"/>
              </w:rPr>
              <w:t>截至自评节点本项目实际支出66.96万元，已完成用于保障</w:t>
            </w:r>
            <w:r>
              <w:rPr>
                <w:rFonts w:hint="eastAsia" w:ascii="宋体" w:hAnsi="宋体"/>
                <w:sz w:val="16"/>
                <w:lang w:eastAsia="zh-CN"/>
              </w:rPr>
              <w:t>本单位</w:t>
            </w:r>
            <w:r>
              <w:rPr>
                <w:rFonts w:ascii="宋体" w:hAnsi="宋体" w:eastAsia="宋体"/>
                <w:sz w:val="16"/>
              </w:rPr>
              <w:t>5个内设股室日常办公运转及3辆公务用车运行维护费，项目的实施可有效提升社会公众服务能力，保障单位日常工作正常开展。</w:t>
            </w:r>
          </w:p>
        </w:tc>
      </w:tr>
      <w:tr w14:paraId="7DAB1F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5147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2C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DA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F9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738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D2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52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40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94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659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6AA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8F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A59EB">
            <w:pPr>
              <w:jc w:val="center"/>
            </w:pPr>
            <w:r>
              <w:rPr>
                <w:rFonts w:ascii="宋体" w:hAnsi="宋体" w:eastAsia="宋体"/>
                <w:sz w:val="16"/>
              </w:rPr>
              <w:t>偏差原因分析及改进措施</w:t>
            </w:r>
          </w:p>
        </w:tc>
      </w:tr>
      <w:tr w14:paraId="6C2DFC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06A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826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090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6B4E1">
            <w:pPr>
              <w:jc w:val="center"/>
            </w:pPr>
            <w:r>
              <w:rPr>
                <w:rFonts w:ascii="宋体" w:hAnsi="宋体" w:eastAsia="宋体"/>
                <w:sz w:val="16"/>
              </w:rPr>
              <w:t>保障办公室数量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1B5A8">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A6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06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B9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31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36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212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427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74769">
            <w:pPr>
              <w:jc w:val="center"/>
            </w:pPr>
          </w:p>
        </w:tc>
      </w:tr>
      <w:tr w14:paraId="0E9A3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BA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8B7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FD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F434">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CDE8">
            <w:pPr>
              <w:jc w:val="center"/>
            </w:pPr>
            <w:r>
              <w:rPr>
                <w:rFonts w:ascii="宋体" w:hAnsi="宋体" w:eastAsia="宋体"/>
                <w:sz w:val="16"/>
              </w:rPr>
              <w:t>&gt;=3辆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8C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E01E">
            <w:pPr>
              <w:jc w:val="center"/>
            </w:pPr>
            <w:r>
              <w:rPr>
                <w:rFonts w:ascii="宋体" w:hAnsi="宋体" w:eastAsia="宋体"/>
                <w:sz w:val="16"/>
              </w:rPr>
              <w:t>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52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BE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A5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47E2">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172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12F10">
            <w:pPr>
              <w:jc w:val="center"/>
            </w:pPr>
          </w:p>
        </w:tc>
      </w:tr>
      <w:tr w14:paraId="407FC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F75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307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D3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02F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B9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AE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55A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2C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BD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5C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C7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99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1C1F4">
            <w:pPr>
              <w:jc w:val="center"/>
            </w:pPr>
          </w:p>
        </w:tc>
      </w:tr>
      <w:tr w14:paraId="36D8B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DCE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F12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37D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F0B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6C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21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89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D4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54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91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3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679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C08D7">
            <w:pPr>
              <w:jc w:val="center"/>
            </w:pPr>
          </w:p>
        </w:tc>
      </w:tr>
      <w:tr w14:paraId="1BC3C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F63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542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9FE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CAAF">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4861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16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10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B6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BC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7A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1DF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C3F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A6AF9">
            <w:pPr>
              <w:jc w:val="center"/>
            </w:pPr>
          </w:p>
        </w:tc>
      </w:tr>
      <w:tr w14:paraId="716D8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01A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703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42A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97CD">
            <w:pPr>
              <w:jc w:val="center"/>
            </w:pPr>
            <w:r>
              <w:rPr>
                <w:rFonts w:ascii="宋体" w:hAnsi="宋体" w:eastAsia="宋体"/>
                <w:sz w:val="16"/>
              </w:rPr>
              <w:t>保障办公运转成本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9C5A">
            <w:pPr>
              <w:jc w:val="center"/>
            </w:pPr>
            <w:r>
              <w:rPr>
                <w:rFonts w:ascii="宋体" w:hAnsi="宋体" w:eastAsia="宋体"/>
                <w:sz w:val="16"/>
              </w:rPr>
              <w:t>&lt;=63.63万元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29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D7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12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FF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B18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7850">
            <w:pPr>
              <w:jc w:val="center"/>
            </w:pPr>
            <w:r>
              <w:rPr>
                <w:rFonts w:ascii="宋体" w:hAnsi="宋体" w:eastAsia="宋体"/>
                <w:sz w:val="16"/>
              </w:rPr>
              <w:t>=63.63万元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E3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D812B">
            <w:pPr>
              <w:jc w:val="center"/>
            </w:pPr>
          </w:p>
        </w:tc>
      </w:tr>
      <w:tr w14:paraId="7ADA8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1CD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79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131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BD35">
            <w:pPr>
              <w:jc w:val="center"/>
            </w:pPr>
            <w:r>
              <w:rPr>
                <w:rFonts w:ascii="宋体" w:hAnsi="宋体" w:eastAsia="宋体"/>
                <w:sz w:val="16"/>
              </w:rPr>
              <w:t>保障公务用车运行成本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086D">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2F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3A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3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EE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BA5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524E">
            <w:pPr>
              <w:jc w:val="center"/>
            </w:pPr>
            <w:r>
              <w:rPr>
                <w:rFonts w:ascii="宋体" w:hAnsi="宋体" w:eastAsia="宋体"/>
                <w:sz w:val="16"/>
              </w:rPr>
              <w: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0C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98D36">
            <w:pPr>
              <w:jc w:val="center"/>
            </w:pPr>
          </w:p>
        </w:tc>
      </w:tr>
      <w:tr w14:paraId="0224A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AAD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3F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26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FF33">
            <w:pPr>
              <w:jc w:val="center"/>
            </w:pPr>
            <w:r>
              <w:rPr>
                <w:rFonts w:ascii="宋体" w:hAnsi="宋体" w:eastAsia="宋体"/>
                <w:sz w:val="16"/>
              </w:rPr>
              <w:t>保障单位日常工作正常开展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7B8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3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F9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11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F4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33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42F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C4B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EEF8F">
            <w:pPr>
              <w:jc w:val="center"/>
            </w:pPr>
          </w:p>
        </w:tc>
      </w:tr>
      <w:tr w14:paraId="32BF8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B4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3F4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2C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5EE6">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D4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C58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9D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BD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4A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A6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4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C6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FCE1D">
            <w:pPr>
              <w:jc w:val="center"/>
            </w:pPr>
          </w:p>
        </w:tc>
      </w:tr>
      <w:tr w14:paraId="5E4004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F18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F896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C7D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6922C6">
            <w:pPr>
              <w:jc w:val="center"/>
            </w:pPr>
            <w:r>
              <w:rPr>
                <w:rFonts w:ascii="宋体" w:hAnsi="宋体" w:eastAsia="宋体"/>
                <w:sz w:val="16"/>
              </w:rPr>
              <w:t>100分</w:t>
            </w:r>
          </w:p>
        </w:tc>
      </w:tr>
    </w:tbl>
    <w:p w14:paraId="192A4D5B">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16"/>
        <w:gridCol w:w="616"/>
        <w:gridCol w:w="616"/>
        <w:gridCol w:w="776"/>
        <w:gridCol w:w="632"/>
        <w:gridCol w:w="600"/>
        <w:gridCol w:w="632"/>
      </w:tblGrid>
      <w:tr w14:paraId="0929076E">
        <w:tblPrEx>
          <w:tblCellMar>
            <w:top w:w="0" w:type="dxa"/>
            <w:left w:w="108" w:type="dxa"/>
            <w:bottom w:w="0" w:type="dxa"/>
            <w:right w:w="108" w:type="dxa"/>
          </w:tblCellMar>
        </w:tblPrEx>
        <w:tc>
          <w:tcPr>
            <w:tcW w:w="8848" w:type="dxa"/>
            <w:gridSpan w:val="14"/>
            <w:vAlign w:val="center"/>
          </w:tcPr>
          <w:p w14:paraId="4AE94BC1">
            <w:pPr>
              <w:jc w:val="center"/>
            </w:pPr>
            <w:r>
              <w:rPr>
                <w:rFonts w:ascii="宋体" w:hAnsi="宋体" w:eastAsia="宋体"/>
                <w:sz w:val="24"/>
              </w:rPr>
              <w:t>项目支出绩效自评表</w:t>
            </w:r>
          </w:p>
        </w:tc>
      </w:tr>
      <w:tr w14:paraId="29AB1CB4">
        <w:tblPrEx>
          <w:tblCellMar>
            <w:top w:w="0" w:type="dxa"/>
            <w:left w:w="108" w:type="dxa"/>
            <w:bottom w:w="0" w:type="dxa"/>
            <w:right w:w="108" w:type="dxa"/>
          </w:tblCellMar>
        </w:tblPrEx>
        <w:tc>
          <w:tcPr>
            <w:tcW w:w="8848" w:type="dxa"/>
            <w:gridSpan w:val="14"/>
            <w:vAlign w:val="center"/>
          </w:tcPr>
          <w:p w14:paraId="6AB8DE93">
            <w:pPr>
              <w:jc w:val="center"/>
            </w:pPr>
            <w:r>
              <w:rPr>
                <w:rFonts w:ascii="宋体" w:hAnsi="宋体" w:eastAsia="宋体"/>
                <w:sz w:val="24"/>
              </w:rPr>
              <w:t>(2024年度)</w:t>
            </w:r>
          </w:p>
        </w:tc>
      </w:tr>
      <w:tr w14:paraId="714B7E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61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567965">
            <w:pPr>
              <w:jc w:val="center"/>
            </w:pPr>
            <w:r>
              <w:rPr>
                <w:rFonts w:ascii="宋体" w:hAnsi="宋体" w:eastAsia="宋体"/>
                <w:sz w:val="16"/>
              </w:rPr>
              <w:t>麦盖提县希依提墩乡乡村振兴建设项目（山东援疆）</w:t>
            </w:r>
          </w:p>
        </w:tc>
      </w:tr>
      <w:tr w14:paraId="39DCEC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9E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4222D2">
            <w:pPr>
              <w:jc w:val="center"/>
            </w:pPr>
            <w:r>
              <w:rPr>
                <w:rFonts w:ascii="宋体" w:hAnsi="宋体" w:eastAsia="宋体"/>
                <w:sz w:val="16"/>
              </w:rPr>
              <w:t>麦盖提县希依提墩乡人民政府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27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7FD179">
            <w:pPr>
              <w:jc w:val="center"/>
            </w:pPr>
            <w:r>
              <w:rPr>
                <w:rFonts w:ascii="宋体" w:hAnsi="宋体" w:eastAsia="宋体"/>
                <w:sz w:val="16"/>
              </w:rPr>
              <w:t>麦盖提县希依提墩乡人民政府</w:t>
            </w:r>
          </w:p>
        </w:tc>
      </w:tr>
      <w:tr w14:paraId="416827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5D74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27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83F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6C6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C47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4A1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4A6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3D837">
            <w:pPr>
              <w:jc w:val="center"/>
            </w:pPr>
            <w:r>
              <w:rPr>
                <w:rFonts w:ascii="宋体" w:hAnsi="宋体" w:eastAsia="宋体"/>
                <w:sz w:val="16"/>
              </w:rPr>
              <w:t>得分</w:t>
            </w:r>
          </w:p>
        </w:tc>
      </w:tr>
      <w:tr w14:paraId="00EA6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D2C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99F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64B14">
            <w:pPr>
              <w:jc w:val="center"/>
            </w:pPr>
            <w:r>
              <w:rPr>
                <w:rFonts w:ascii="宋体" w:hAnsi="宋体" w:eastAsia="宋体"/>
                <w:sz w:val="16"/>
              </w:rPr>
              <w:t>281.13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5CF99">
            <w:pPr>
              <w:jc w:val="center"/>
            </w:pPr>
            <w:r>
              <w:rPr>
                <w:rFonts w:ascii="宋体" w:hAnsi="宋体" w:eastAsia="宋体"/>
                <w:sz w:val="16"/>
              </w:rPr>
              <w:t>281.13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61213">
            <w:pPr>
              <w:jc w:val="center"/>
            </w:pPr>
            <w:r>
              <w:rPr>
                <w:rFonts w:ascii="宋体" w:hAnsi="宋体" w:eastAsia="宋体"/>
                <w:sz w:val="16"/>
              </w:rPr>
              <w:t>281.13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BEC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0AD3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CF03">
            <w:pPr>
              <w:jc w:val="center"/>
            </w:pPr>
            <w:r>
              <w:rPr>
                <w:rFonts w:ascii="宋体" w:hAnsi="宋体" w:eastAsia="宋体"/>
                <w:sz w:val="16"/>
              </w:rPr>
              <w:t>10.00分</w:t>
            </w:r>
          </w:p>
        </w:tc>
      </w:tr>
      <w:tr w14:paraId="6EFC7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196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AD7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538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F14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370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097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CA4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9869">
            <w:pPr>
              <w:jc w:val="center"/>
            </w:pPr>
            <w:r>
              <w:rPr>
                <w:rFonts w:ascii="宋体" w:hAnsi="宋体" w:eastAsia="宋体"/>
                <w:sz w:val="16"/>
              </w:rPr>
              <w:t>—</w:t>
            </w:r>
          </w:p>
        </w:tc>
      </w:tr>
      <w:tr w14:paraId="7F53C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28E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0C6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3782C">
            <w:pPr>
              <w:jc w:val="center"/>
            </w:pPr>
            <w:r>
              <w:rPr>
                <w:rFonts w:ascii="宋体" w:hAnsi="宋体" w:eastAsia="宋体"/>
                <w:sz w:val="16"/>
              </w:rPr>
              <w:t>281.13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9E022">
            <w:pPr>
              <w:jc w:val="center"/>
            </w:pPr>
            <w:r>
              <w:rPr>
                <w:rFonts w:ascii="宋体" w:hAnsi="宋体" w:eastAsia="宋体"/>
                <w:sz w:val="16"/>
              </w:rPr>
              <w:t>281.13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9CE8B">
            <w:pPr>
              <w:jc w:val="center"/>
            </w:pPr>
            <w:r>
              <w:rPr>
                <w:rFonts w:ascii="宋体" w:hAnsi="宋体" w:eastAsia="宋体"/>
                <w:sz w:val="16"/>
              </w:rPr>
              <w:t>281.13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383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E9D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6CE1">
            <w:pPr>
              <w:jc w:val="center"/>
            </w:pPr>
            <w:r>
              <w:rPr>
                <w:rFonts w:ascii="宋体" w:hAnsi="宋体" w:eastAsia="宋体"/>
                <w:sz w:val="16"/>
              </w:rPr>
              <w:t>—</w:t>
            </w:r>
          </w:p>
        </w:tc>
      </w:tr>
      <w:tr w14:paraId="6F354F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4AF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D683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BB1089">
            <w:pPr>
              <w:jc w:val="center"/>
            </w:pPr>
            <w:r>
              <w:rPr>
                <w:rFonts w:ascii="宋体" w:hAnsi="宋体" w:eastAsia="宋体"/>
                <w:sz w:val="16"/>
              </w:rPr>
              <w:t>实际完成情况</w:t>
            </w:r>
          </w:p>
        </w:tc>
      </w:tr>
      <w:tr w14:paraId="1E7DF5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E9B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AF2221">
            <w:pPr>
              <w:jc w:val="both"/>
            </w:pPr>
            <w:r>
              <w:rPr>
                <w:rFonts w:ascii="宋体" w:hAnsi="宋体" w:eastAsia="宋体"/>
                <w:sz w:val="16"/>
              </w:rPr>
              <w:t>本项目投资281.13万元，主要用于英阿瓦提村实施农村道路改造提升8330米，建设组织活动场所1处及相关设施设备，村容村貌整治1项，项目的实施可有效推进乡村幸福宜居，增进乡村文明和谐，实施乡村振兴战略，推动农村现代化的需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DE8FD7">
            <w:pPr>
              <w:jc w:val="both"/>
            </w:pPr>
            <w:r>
              <w:rPr>
                <w:rFonts w:ascii="宋体" w:hAnsi="宋体" w:eastAsia="宋体"/>
                <w:sz w:val="16"/>
              </w:rPr>
              <w:t>截至自评节点本项目实际支出281.13万元，已完成用于英阿瓦提村实施农村道路改造提升8330米，建设组织活动场所1处及相关设施设备，村容村貌整治1项，项目的实施可有效推进乡村幸福宜居，增进乡村文明和谐，实施乡村振兴战略，推动农村现代化的需要。</w:t>
            </w:r>
          </w:p>
        </w:tc>
      </w:tr>
      <w:tr w14:paraId="4458D8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7462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B8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8E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A0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674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4D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82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6EC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68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AD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AE4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A6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8CE53">
            <w:pPr>
              <w:jc w:val="center"/>
            </w:pPr>
            <w:r>
              <w:rPr>
                <w:rFonts w:ascii="宋体" w:hAnsi="宋体" w:eastAsia="宋体"/>
                <w:sz w:val="16"/>
              </w:rPr>
              <w:t>偏差原因分析及改进措施</w:t>
            </w:r>
          </w:p>
        </w:tc>
      </w:tr>
      <w:tr w14:paraId="1639AB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5F2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8C4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F71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8B8D">
            <w:pPr>
              <w:jc w:val="center"/>
            </w:pPr>
            <w:r>
              <w:rPr>
                <w:rFonts w:ascii="宋体" w:hAnsi="宋体" w:eastAsia="宋体"/>
                <w:sz w:val="16"/>
              </w:rPr>
              <w:t>农村道路升级改造提升长度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7B84">
            <w:pPr>
              <w:jc w:val="center"/>
            </w:pPr>
            <w:r>
              <w:rPr>
                <w:rFonts w:ascii="宋体" w:hAnsi="宋体" w:eastAsia="宋体"/>
                <w:sz w:val="16"/>
              </w:rPr>
              <w:t>=8330米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D7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CE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37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2A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AF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D272">
            <w:pPr>
              <w:jc w:val="center"/>
            </w:pPr>
            <w:r>
              <w:rPr>
                <w:rFonts w:ascii="宋体" w:hAnsi="宋体" w:eastAsia="宋体"/>
                <w:sz w:val="16"/>
              </w:rPr>
              <w:t>=8330米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C6B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9704E">
            <w:pPr>
              <w:jc w:val="center"/>
            </w:pPr>
          </w:p>
        </w:tc>
      </w:tr>
      <w:tr w14:paraId="31D254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4BD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93C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BAA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E77F">
            <w:pPr>
              <w:jc w:val="center"/>
            </w:pPr>
            <w:r>
              <w:rPr>
                <w:rFonts w:ascii="宋体" w:hAnsi="宋体" w:eastAsia="宋体"/>
                <w:sz w:val="16"/>
              </w:rPr>
              <w:t>建设组织活动场所及配套相关设施设备数量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D7B3">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EA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C0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49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C1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65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21F4">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699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DB1D3">
            <w:pPr>
              <w:jc w:val="center"/>
            </w:pPr>
          </w:p>
        </w:tc>
      </w:tr>
      <w:tr w14:paraId="477AD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3FA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E0D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3AC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7375">
            <w:pPr>
              <w:jc w:val="center"/>
            </w:pPr>
            <w:r>
              <w:rPr>
                <w:rFonts w:ascii="宋体" w:hAnsi="宋体" w:eastAsia="宋体"/>
                <w:sz w:val="16"/>
              </w:rPr>
              <w:t>村容村貌整治数量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7D5E">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00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58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67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8D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CD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2125">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FA2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02475">
            <w:pPr>
              <w:jc w:val="center"/>
            </w:pPr>
          </w:p>
        </w:tc>
      </w:tr>
      <w:tr w14:paraId="55EF17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E5D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57F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30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B59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4C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2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4C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20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F4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64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C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F92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F3038">
            <w:pPr>
              <w:jc w:val="center"/>
            </w:pPr>
          </w:p>
        </w:tc>
      </w:tr>
      <w:tr w14:paraId="12591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154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80F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BA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9719">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739D">
            <w:pPr>
              <w:jc w:val="center"/>
            </w:pPr>
            <w:r>
              <w:rPr>
                <w:rFonts w:ascii="宋体" w:hAnsi="宋体" w:eastAsia="宋体"/>
                <w:sz w:val="16"/>
              </w:rPr>
              <w:t>=2024年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76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A0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99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C5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B5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4B294">
            <w:pPr>
              <w:jc w:val="center"/>
            </w:pPr>
            <w:r>
              <w:rPr>
                <w:rFonts w:ascii="宋体" w:hAnsi="宋体" w:eastAsia="宋体"/>
                <w:sz w:val="16"/>
              </w:rPr>
              <w:t>2024年11月1日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AA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DFE0E">
            <w:pPr>
              <w:jc w:val="center"/>
            </w:pPr>
          </w:p>
        </w:tc>
      </w:tr>
      <w:tr w14:paraId="5E37D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D7F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47F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CE9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666A">
            <w:pPr>
              <w:jc w:val="center"/>
            </w:pPr>
            <w:r>
              <w:rPr>
                <w:rFonts w:ascii="宋体" w:hAnsi="宋体" w:eastAsia="宋体"/>
                <w:sz w:val="16"/>
              </w:rPr>
              <w:t>农村道路升级改造提升成本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5CCE">
            <w:pPr>
              <w:jc w:val="center"/>
            </w:pPr>
            <w:r>
              <w:rPr>
                <w:rFonts w:ascii="宋体" w:hAnsi="宋体" w:eastAsia="宋体"/>
                <w:sz w:val="16"/>
              </w:rPr>
              <w:t>&lt;=117.54万元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87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96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E3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AC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D2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11E9">
            <w:pPr>
              <w:jc w:val="center"/>
            </w:pPr>
            <w:r>
              <w:rPr>
                <w:rFonts w:ascii="宋体" w:hAnsi="宋体" w:eastAsia="宋体"/>
                <w:sz w:val="16"/>
              </w:rPr>
              <w:t>=117.54万元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0A2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D3CE6">
            <w:pPr>
              <w:jc w:val="center"/>
            </w:pPr>
          </w:p>
        </w:tc>
      </w:tr>
      <w:tr w14:paraId="0B14B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8DD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9E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04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6682">
            <w:pPr>
              <w:jc w:val="center"/>
            </w:pPr>
            <w:r>
              <w:rPr>
                <w:rFonts w:ascii="宋体" w:hAnsi="宋体" w:eastAsia="宋体"/>
                <w:sz w:val="16"/>
              </w:rPr>
              <w:t>委托业务费及测绘审计监理决算费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4B6A">
            <w:pPr>
              <w:jc w:val="center"/>
            </w:pPr>
            <w:r>
              <w:rPr>
                <w:rFonts w:ascii="宋体" w:hAnsi="宋体" w:eastAsia="宋体"/>
                <w:sz w:val="16"/>
              </w:rPr>
              <w:t>&lt;=7.2万元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08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9D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94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E9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98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6847">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4DA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BA164">
            <w:pPr>
              <w:jc w:val="center"/>
            </w:pPr>
          </w:p>
        </w:tc>
      </w:tr>
      <w:tr w14:paraId="5C40D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8C0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BA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4F1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E764">
            <w:pPr>
              <w:jc w:val="center"/>
            </w:pPr>
            <w:r>
              <w:rPr>
                <w:rFonts w:ascii="宋体" w:hAnsi="宋体" w:eastAsia="宋体"/>
                <w:sz w:val="16"/>
              </w:rPr>
              <w:t>建设组织活动场所及配套相关设施设备成本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BFA6">
            <w:pPr>
              <w:jc w:val="center"/>
            </w:pPr>
            <w:r>
              <w:rPr>
                <w:rFonts w:ascii="宋体" w:hAnsi="宋体" w:eastAsia="宋体"/>
                <w:sz w:val="16"/>
              </w:rPr>
              <w:t>&lt;=95.36万元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1FB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4F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3D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83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22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ABC9">
            <w:pPr>
              <w:jc w:val="center"/>
            </w:pPr>
            <w:r>
              <w:rPr>
                <w:rFonts w:ascii="宋体" w:hAnsi="宋体" w:eastAsia="宋体"/>
                <w:sz w:val="16"/>
              </w:rPr>
              <w:t>=95.36万元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85FF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C2CE2">
            <w:pPr>
              <w:jc w:val="center"/>
            </w:pPr>
          </w:p>
        </w:tc>
      </w:tr>
      <w:tr w14:paraId="32B27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2D1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1A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9D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238E">
            <w:pPr>
              <w:jc w:val="center"/>
            </w:pPr>
            <w:r>
              <w:rPr>
                <w:rFonts w:ascii="宋体" w:hAnsi="宋体" w:eastAsia="宋体"/>
                <w:sz w:val="16"/>
              </w:rPr>
              <w:t>村容村貌整治成本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96C7">
            <w:pPr>
              <w:jc w:val="center"/>
            </w:pPr>
            <w:r>
              <w:rPr>
                <w:rFonts w:ascii="宋体" w:hAnsi="宋体" w:eastAsia="宋体"/>
                <w:sz w:val="16"/>
              </w:rPr>
              <w:t>&lt;=61.03万元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6F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6C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BA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92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38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FEFC">
            <w:pPr>
              <w:jc w:val="center"/>
            </w:pPr>
            <w:r>
              <w:rPr>
                <w:rFonts w:ascii="宋体" w:hAnsi="宋体" w:eastAsia="宋体"/>
                <w:sz w:val="16"/>
              </w:rPr>
              <w:t>=61.03万元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00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7362D">
            <w:pPr>
              <w:jc w:val="center"/>
            </w:pPr>
          </w:p>
        </w:tc>
      </w:tr>
      <w:tr w14:paraId="0B0F4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000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E6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FF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D524">
            <w:pPr>
              <w:jc w:val="center"/>
            </w:pPr>
            <w:r>
              <w:rPr>
                <w:rFonts w:ascii="宋体" w:hAnsi="宋体" w:eastAsia="宋体"/>
                <w:sz w:val="16"/>
              </w:rPr>
              <w:t>有效实施乡村振兴战略，推动农村现代化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16AB">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8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7A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5A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A5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E4D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987F">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D1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3CE54">
            <w:pPr>
              <w:jc w:val="center"/>
            </w:pPr>
          </w:p>
        </w:tc>
      </w:tr>
      <w:tr w14:paraId="43A45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FF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90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6E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DB9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66CF1">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98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D9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D1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FE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DC5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B4B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7D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09AE1">
            <w:pPr>
              <w:jc w:val="center"/>
            </w:pPr>
          </w:p>
        </w:tc>
      </w:tr>
      <w:tr w14:paraId="72F9B7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24A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1114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AF7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D69C05">
            <w:pPr>
              <w:jc w:val="center"/>
            </w:pPr>
            <w:r>
              <w:rPr>
                <w:rFonts w:ascii="宋体" w:hAnsi="宋体" w:eastAsia="宋体"/>
                <w:sz w:val="16"/>
              </w:rPr>
              <w:t>100分</w:t>
            </w:r>
          </w:p>
        </w:tc>
      </w:tr>
    </w:tbl>
    <w:p w14:paraId="20EBCD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56A007A">
        <w:tblPrEx>
          <w:tblCellMar>
            <w:top w:w="0" w:type="dxa"/>
            <w:left w:w="108" w:type="dxa"/>
            <w:bottom w:w="0" w:type="dxa"/>
            <w:right w:w="108" w:type="dxa"/>
          </w:tblCellMar>
        </w:tblPrEx>
        <w:tc>
          <w:tcPr>
            <w:tcW w:w="8848" w:type="dxa"/>
            <w:gridSpan w:val="14"/>
            <w:vAlign w:val="center"/>
          </w:tcPr>
          <w:p w14:paraId="325FC065">
            <w:pPr>
              <w:jc w:val="center"/>
            </w:pPr>
            <w:r>
              <w:rPr>
                <w:rFonts w:ascii="宋体" w:hAnsi="宋体" w:eastAsia="宋体"/>
                <w:sz w:val="24"/>
              </w:rPr>
              <w:t>项目支出绩效自评表</w:t>
            </w:r>
          </w:p>
        </w:tc>
      </w:tr>
      <w:tr w14:paraId="3385F6A0">
        <w:tblPrEx>
          <w:tblCellMar>
            <w:top w:w="0" w:type="dxa"/>
            <w:left w:w="108" w:type="dxa"/>
            <w:bottom w:w="0" w:type="dxa"/>
            <w:right w:w="108" w:type="dxa"/>
          </w:tblCellMar>
        </w:tblPrEx>
        <w:tc>
          <w:tcPr>
            <w:tcW w:w="8848" w:type="dxa"/>
            <w:gridSpan w:val="14"/>
            <w:vAlign w:val="center"/>
          </w:tcPr>
          <w:p w14:paraId="781676D7">
            <w:pPr>
              <w:jc w:val="center"/>
            </w:pPr>
            <w:r>
              <w:rPr>
                <w:rFonts w:ascii="宋体" w:hAnsi="宋体" w:eastAsia="宋体"/>
                <w:sz w:val="24"/>
              </w:rPr>
              <w:t>(2024年度)</w:t>
            </w:r>
          </w:p>
        </w:tc>
      </w:tr>
      <w:tr w14:paraId="6B646B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AC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571024">
            <w:pPr>
              <w:jc w:val="center"/>
            </w:pPr>
            <w:r>
              <w:rPr>
                <w:rFonts w:ascii="宋体" w:hAnsi="宋体" w:eastAsia="宋体"/>
                <w:sz w:val="16"/>
              </w:rPr>
              <w:t>麦盖提县希依提墩乡人民政府债务化解项目</w:t>
            </w:r>
          </w:p>
        </w:tc>
      </w:tr>
      <w:tr w14:paraId="751E8C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AF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5E26C">
            <w:pPr>
              <w:jc w:val="center"/>
            </w:pPr>
            <w:r>
              <w:rPr>
                <w:rFonts w:ascii="宋体" w:hAnsi="宋体" w:eastAsia="宋体"/>
                <w:sz w:val="16"/>
              </w:rPr>
              <w:t>麦盖提县希依提墩乡人民政府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FC1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E6113A">
            <w:pPr>
              <w:jc w:val="center"/>
            </w:pPr>
            <w:r>
              <w:rPr>
                <w:rFonts w:ascii="宋体" w:hAnsi="宋体" w:eastAsia="宋体"/>
                <w:sz w:val="16"/>
              </w:rPr>
              <w:t>麦盖提县希依提墩乡人民政府</w:t>
            </w:r>
          </w:p>
        </w:tc>
      </w:tr>
      <w:tr w14:paraId="5701FF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104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75C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83A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B44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E06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B74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044A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6298">
            <w:pPr>
              <w:jc w:val="center"/>
            </w:pPr>
            <w:r>
              <w:rPr>
                <w:rFonts w:ascii="宋体" w:hAnsi="宋体" w:eastAsia="宋体"/>
                <w:sz w:val="16"/>
              </w:rPr>
              <w:t>得分</w:t>
            </w:r>
          </w:p>
        </w:tc>
      </w:tr>
      <w:tr w14:paraId="32F8D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A26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C8D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5EAE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C336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103C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B98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3AD3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EBA1">
            <w:pPr>
              <w:jc w:val="center"/>
            </w:pPr>
            <w:r>
              <w:rPr>
                <w:rFonts w:ascii="宋体" w:hAnsi="宋体" w:eastAsia="宋体"/>
                <w:sz w:val="16"/>
              </w:rPr>
              <w:t>10.00分</w:t>
            </w:r>
          </w:p>
        </w:tc>
      </w:tr>
      <w:tr w14:paraId="43F4A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EE7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DE4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86D4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DC1A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5038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9BA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FA0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A9CB">
            <w:pPr>
              <w:jc w:val="center"/>
            </w:pPr>
            <w:r>
              <w:rPr>
                <w:rFonts w:ascii="宋体" w:hAnsi="宋体" w:eastAsia="宋体"/>
                <w:sz w:val="16"/>
              </w:rPr>
              <w:t>—</w:t>
            </w:r>
          </w:p>
        </w:tc>
      </w:tr>
      <w:tr w14:paraId="38BD9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54D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8E3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2A1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9C4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639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DF0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224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1E7C">
            <w:pPr>
              <w:jc w:val="center"/>
            </w:pPr>
            <w:r>
              <w:rPr>
                <w:rFonts w:ascii="宋体" w:hAnsi="宋体" w:eastAsia="宋体"/>
                <w:sz w:val="16"/>
              </w:rPr>
              <w:t>—</w:t>
            </w:r>
          </w:p>
        </w:tc>
      </w:tr>
      <w:tr w14:paraId="2B96AB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2547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93A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3D890F">
            <w:pPr>
              <w:jc w:val="center"/>
            </w:pPr>
            <w:r>
              <w:rPr>
                <w:rFonts w:ascii="宋体" w:hAnsi="宋体" w:eastAsia="宋体"/>
                <w:sz w:val="16"/>
              </w:rPr>
              <w:t>实际完成情况</w:t>
            </w:r>
          </w:p>
        </w:tc>
      </w:tr>
      <w:tr w14:paraId="39AE78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57D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8D6E2">
            <w:pPr>
              <w:jc w:val="both"/>
            </w:pPr>
            <w:r>
              <w:rPr>
                <w:rFonts w:ascii="宋体" w:hAnsi="宋体" w:eastAsia="宋体"/>
                <w:sz w:val="16"/>
              </w:rPr>
              <w:t>本项目2024年总投资为15万元，主要用于支付希依提墩乡2023年村级组织活动场所建设项目尾款，项目的实施可提高工作人员积极性，进一步提升政府公信力。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4C2499">
            <w:pPr>
              <w:jc w:val="both"/>
            </w:pPr>
            <w:r>
              <w:rPr>
                <w:rFonts w:ascii="宋体" w:hAnsi="宋体" w:eastAsia="宋体"/>
                <w:sz w:val="16"/>
              </w:rPr>
              <w:t>截至自评节点本项目实际执行15万元，已支付工程尾款项目数1个：希依提墩乡2023年村级组织活动场所建设项目尾款15万元，资金能够及时到位，避免了因资金拖延支付给施工方造成的资金周转压力，保障了项目收尾工作的顺利推进，提升了资金使用效率，极大</w:t>
            </w:r>
            <w:r>
              <w:rPr>
                <w:rFonts w:hint="eastAsia" w:ascii="宋体" w:hAnsi="宋体"/>
                <w:sz w:val="16"/>
                <w:lang w:eastAsia="zh-CN"/>
              </w:rPr>
              <w:t>地</w:t>
            </w:r>
            <w:r>
              <w:rPr>
                <w:rFonts w:ascii="宋体" w:hAnsi="宋体" w:eastAsia="宋体"/>
                <w:sz w:val="16"/>
              </w:rPr>
              <w:t>提高了工作人员积极性，进一步提升了政府公信力。施工方满意度达到100%。</w:t>
            </w:r>
          </w:p>
        </w:tc>
      </w:tr>
      <w:tr w14:paraId="07F483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C9E4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DFA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C0A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18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07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32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7B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282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6D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03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8F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21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6C7B5">
            <w:pPr>
              <w:jc w:val="center"/>
            </w:pPr>
            <w:r>
              <w:rPr>
                <w:rFonts w:ascii="宋体" w:hAnsi="宋体" w:eastAsia="宋体"/>
                <w:sz w:val="16"/>
              </w:rPr>
              <w:t>偏差原因分析及改进措施</w:t>
            </w:r>
          </w:p>
        </w:tc>
      </w:tr>
      <w:tr w14:paraId="25FC9A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621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1055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53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2DD3">
            <w:pPr>
              <w:jc w:val="center"/>
            </w:pPr>
            <w:r>
              <w:rPr>
                <w:rFonts w:ascii="宋体" w:hAnsi="宋体" w:eastAsia="宋体"/>
                <w:sz w:val="16"/>
              </w:rPr>
              <w:t>支付工程尾款项目数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BFB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7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D3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A4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AC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6A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B79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2D9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6F63C">
            <w:pPr>
              <w:jc w:val="center"/>
            </w:pPr>
          </w:p>
        </w:tc>
      </w:tr>
      <w:tr w14:paraId="5A676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6B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C9E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B32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596A">
            <w:pPr>
              <w:jc w:val="center"/>
            </w:pPr>
            <w:r>
              <w:rPr>
                <w:rFonts w:ascii="宋体" w:hAnsi="宋体" w:eastAsia="宋体"/>
                <w:sz w:val="16"/>
              </w:rPr>
              <w:t>尾款支付完成率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32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4E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8A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47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56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197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EE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17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FAAB2">
            <w:pPr>
              <w:jc w:val="center"/>
            </w:pPr>
          </w:p>
        </w:tc>
      </w:tr>
      <w:tr w14:paraId="78A55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AA5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7EF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143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D3E8">
            <w:pPr>
              <w:jc w:val="center"/>
            </w:pPr>
            <w:r>
              <w:rPr>
                <w:rFonts w:ascii="宋体" w:hAnsi="宋体" w:eastAsia="宋体"/>
                <w:sz w:val="16"/>
              </w:rPr>
              <w:t>尾款支付合规率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41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B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92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24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BB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AD78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3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B6B1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DB2F2">
            <w:pPr>
              <w:jc w:val="center"/>
            </w:pPr>
          </w:p>
        </w:tc>
      </w:tr>
      <w:tr w14:paraId="14CA3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51E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F89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107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0722">
            <w:pPr>
              <w:jc w:val="center"/>
            </w:pPr>
            <w:r>
              <w:rPr>
                <w:rFonts w:ascii="宋体" w:hAnsi="宋体" w:eastAsia="宋体"/>
                <w:sz w:val="16"/>
              </w:rPr>
              <w:t>化解完成时限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58A0">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C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E6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DF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A7C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3AF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11B9">
            <w:pPr>
              <w:jc w:val="center"/>
            </w:pPr>
            <w:r>
              <w:rPr>
                <w:rFonts w:ascii="宋体" w:hAnsi="宋体" w:eastAsia="宋体"/>
                <w:sz w:val="16"/>
              </w:rPr>
              <w:t>=2024年5月28日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46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38993">
            <w:pPr>
              <w:jc w:val="center"/>
            </w:pPr>
          </w:p>
        </w:tc>
      </w:tr>
      <w:tr w14:paraId="34C07B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6B1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3F0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72F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D261">
            <w:pPr>
              <w:jc w:val="center"/>
            </w:pPr>
            <w:r>
              <w:rPr>
                <w:rFonts w:ascii="宋体" w:hAnsi="宋体" w:eastAsia="宋体"/>
                <w:sz w:val="16"/>
              </w:rPr>
              <w:t>尾款支付及时率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12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0E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1A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5DA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EA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D70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57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DB1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DA9A0">
            <w:pPr>
              <w:jc w:val="center"/>
            </w:pPr>
          </w:p>
        </w:tc>
      </w:tr>
      <w:tr w14:paraId="400CC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1D5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616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9A5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39FB">
            <w:pPr>
              <w:jc w:val="center"/>
            </w:pPr>
            <w:r>
              <w:rPr>
                <w:rFonts w:ascii="宋体" w:hAnsi="宋体" w:eastAsia="宋体"/>
                <w:sz w:val="16"/>
              </w:rPr>
              <w:t>支付项目尾款金额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E448">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F4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3C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3B5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1A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FE8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DC93">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22E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33BD8">
            <w:pPr>
              <w:jc w:val="center"/>
            </w:pPr>
          </w:p>
        </w:tc>
      </w:tr>
      <w:tr w14:paraId="798892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319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E5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E6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8027">
            <w:pPr>
              <w:jc w:val="center"/>
            </w:pPr>
            <w:r>
              <w:rPr>
                <w:rFonts w:ascii="宋体" w:hAnsi="宋体" w:eastAsia="宋体"/>
                <w:sz w:val="16"/>
              </w:rPr>
              <w:t>提高服务社会发展能力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73C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66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65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AA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F4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D8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4C9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3C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9AB15">
            <w:pPr>
              <w:jc w:val="center"/>
            </w:pPr>
          </w:p>
        </w:tc>
      </w:tr>
      <w:tr w14:paraId="47F85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3BE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E2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99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2319">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8E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E0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3A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CD2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20A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D3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CF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D2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E6684">
            <w:pPr>
              <w:jc w:val="center"/>
            </w:pPr>
          </w:p>
        </w:tc>
      </w:tr>
      <w:tr w14:paraId="57641D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EDE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FE5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D18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BB3784">
            <w:pPr>
              <w:jc w:val="center"/>
            </w:pPr>
            <w:r>
              <w:rPr>
                <w:rFonts w:ascii="宋体" w:hAnsi="宋体" w:eastAsia="宋体"/>
                <w:sz w:val="16"/>
              </w:rPr>
              <w:t>100分</w:t>
            </w:r>
          </w:p>
        </w:tc>
      </w:tr>
    </w:tbl>
    <w:p w14:paraId="32A86F76">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5"/>
        <w:gridCol w:w="625"/>
        <w:gridCol w:w="627"/>
        <w:gridCol w:w="776"/>
        <w:gridCol w:w="631"/>
        <w:gridCol w:w="616"/>
        <w:gridCol w:w="632"/>
      </w:tblGrid>
      <w:tr w14:paraId="6C4172D9">
        <w:tblPrEx>
          <w:tblCellMar>
            <w:top w:w="0" w:type="dxa"/>
            <w:left w:w="108" w:type="dxa"/>
            <w:bottom w:w="0" w:type="dxa"/>
            <w:right w:w="108" w:type="dxa"/>
          </w:tblCellMar>
        </w:tblPrEx>
        <w:tc>
          <w:tcPr>
            <w:tcW w:w="8848" w:type="dxa"/>
            <w:gridSpan w:val="14"/>
            <w:vAlign w:val="center"/>
          </w:tcPr>
          <w:p w14:paraId="0D7B0685">
            <w:pPr>
              <w:jc w:val="center"/>
            </w:pPr>
            <w:r>
              <w:rPr>
                <w:rFonts w:ascii="宋体" w:hAnsi="宋体" w:eastAsia="宋体"/>
                <w:sz w:val="24"/>
              </w:rPr>
              <w:t>项目支出绩效自评表</w:t>
            </w:r>
          </w:p>
        </w:tc>
      </w:tr>
      <w:tr w14:paraId="359B5494">
        <w:tblPrEx>
          <w:tblCellMar>
            <w:top w:w="0" w:type="dxa"/>
            <w:left w:w="108" w:type="dxa"/>
            <w:bottom w:w="0" w:type="dxa"/>
            <w:right w:w="108" w:type="dxa"/>
          </w:tblCellMar>
        </w:tblPrEx>
        <w:tc>
          <w:tcPr>
            <w:tcW w:w="8848" w:type="dxa"/>
            <w:gridSpan w:val="14"/>
            <w:vAlign w:val="center"/>
          </w:tcPr>
          <w:p w14:paraId="06D4A025">
            <w:pPr>
              <w:jc w:val="center"/>
            </w:pPr>
            <w:r>
              <w:rPr>
                <w:rFonts w:ascii="宋体" w:hAnsi="宋体" w:eastAsia="宋体"/>
                <w:sz w:val="24"/>
              </w:rPr>
              <w:t>(2024年度)</w:t>
            </w:r>
          </w:p>
        </w:tc>
      </w:tr>
      <w:tr w14:paraId="72F220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B4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A7FCA7">
            <w:pPr>
              <w:jc w:val="center"/>
            </w:pPr>
            <w:r>
              <w:rPr>
                <w:rFonts w:ascii="宋体" w:hAnsi="宋体" w:eastAsia="宋体"/>
                <w:sz w:val="16"/>
              </w:rPr>
              <w:t>麦盖提县希依提墩乡巴莎公路两侧林带土地平整项目</w:t>
            </w:r>
          </w:p>
        </w:tc>
      </w:tr>
      <w:tr w14:paraId="6A42BA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7A1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B7A511">
            <w:pPr>
              <w:jc w:val="center"/>
            </w:pPr>
            <w:r>
              <w:rPr>
                <w:rFonts w:ascii="宋体" w:hAnsi="宋体" w:eastAsia="宋体"/>
                <w:sz w:val="16"/>
              </w:rPr>
              <w:t>麦盖提县希依提墩乡人民政府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A8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90607A">
            <w:pPr>
              <w:jc w:val="center"/>
            </w:pPr>
            <w:r>
              <w:rPr>
                <w:rFonts w:ascii="宋体" w:hAnsi="宋体" w:eastAsia="宋体"/>
                <w:sz w:val="16"/>
              </w:rPr>
              <w:t>麦盖提县希依提墩乡人民政府</w:t>
            </w:r>
          </w:p>
        </w:tc>
      </w:tr>
      <w:tr w14:paraId="254F5A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E80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80C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0D7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F14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5CD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CAF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530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38F7">
            <w:pPr>
              <w:jc w:val="center"/>
            </w:pPr>
            <w:r>
              <w:rPr>
                <w:rFonts w:ascii="宋体" w:hAnsi="宋体" w:eastAsia="宋体"/>
                <w:sz w:val="16"/>
              </w:rPr>
              <w:t>得分</w:t>
            </w:r>
          </w:p>
        </w:tc>
      </w:tr>
      <w:tr w14:paraId="22286C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96F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D3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B4AD0">
            <w:pPr>
              <w:jc w:val="center"/>
            </w:pPr>
            <w:r>
              <w:rPr>
                <w:rFonts w:ascii="宋体" w:hAnsi="宋体" w:eastAsia="宋体"/>
                <w:sz w:val="16"/>
              </w:rPr>
              <w:t>101.02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F8D67">
            <w:pPr>
              <w:jc w:val="center"/>
            </w:pPr>
            <w:r>
              <w:rPr>
                <w:rFonts w:ascii="宋体" w:hAnsi="宋体" w:eastAsia="宋体"/>
                <w:sz w:val="16"/>
              </w:rPr>
              <w:t>101.02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C1D59">
            <w:pPr>
              <w:jc w:val="center"/>
            </w:pPr>
            <w:r>
              <w:rPr>
                <w:rFonts w:ascii="宋体" w:hAnsi="宋体" w:eastAsia="宋体"/>
                <w:sz w:val="16"/>
              </w:rPr>
              <w:t>101.02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A48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4978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CFB2">
            <w:pPr>
              <w:jc w:val="center"/>
            </w:pPr>
            <w:r>
              <w:rPr>
                <w:rFonts w:ascii="宋体" w:hAnsi="宋体" w:eastAsia="宋体"/>
                <w:sz w:val="16"/>
              </w:rPr>
              <w:t>10.00分</w:t>
            </w:r>
          </w:p>
        </w:tc>
      </w:tr>
      <w:tr w14:paraId="50113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F12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51C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E01C7">
            <w:pPr>
              <w:jc w:val="center"/>
            </w:pPr>
            <w:r>
              <w:rPr>
                <w:rFonts w:ascii="宋体" w:hAnsi="宋体" w:eastAsia="宋体"/>
                <w:sz w:val="16"/>
              </w:rPr>
              <w:t>101.02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B5E63">
            <w:pPr>
              <w:jc w:val="center"/>
            </w:pPr>
            <w:r>
              <w:rPr>
                <w:rFonts w:ascii="宋体" w:hAnsi="宋体" w:eastAsia="宋体"/>
                <w:sz w:val="16"/>
              </w:rPr>
              <w:t>101.02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F0CDA">
            <w:pPr>
              <w:jc w:val="center"/>
            </w:pPr>
            <w:r>
              <w:rPr>
                <w:rFonts w:ascii="宋体" w:hAnsi="宋体" w:eastAsia="宋体"/>
                <w:sz w:val="16"/>
              </w:rPr>
              <w:t>101.02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F17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BD1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AF9F">
            <w:pPr>
              <w:jc w:val="center"/>
            </w:pPr>
            <w:r>
              <w:rPr>
                <w:rFonts w:ascii="宋体" w:hAnsi="宋体" w:eastAsia="宋体"/>
                <w:sz w:val="16"/>
              </w:rPr>
              <w:t>—</w:t>
            </w:r>
          </w:p>
        </w:tc>
      </w:tr>
      <w:tr w14:paraId="727BC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FFE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FD1F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D22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A2E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78E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16D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67E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50D92">
            <w:pPr>
              <w:jc w:val="center"/>
            </w:pPr>
            <w:r>
              <w:rPr>
                <w:rFonts w:ascii="宋体" w:hAnsi="宋体" w:eastAsia="宋体"/>
                <w:sz w:val="16"/>
              </w:rPr>
              <w:t>—</w:t>
            </w:r>
          </w:p>
        </w:tc>
      </w:tr>
      <w:tr w14:paraId="3EE87E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B9D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6C47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5B49A0">
            <w:pPr>
              <w:jc w:val="center"/>
            </w:pPr>
            <w:r>
              <w:rPr>
                <w:rFonts w:ascii="宋体" w:hAnsi="宋体" w:eastAsia="宋体"/>
                <w:sz w:val="16"/>
              </w:rPr>
              <w:t>实际完成情况</w:t>
            </w:r>
          </w:p>
        </w:tc>
      </w:tr>
      <w:tr w14:paraId="776EA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845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7311CF">
            <w:pPr>
              <w:jc w:val="both"/>
            </w:pPr>
            <w:r>
              <w:rPr>
                <w:rFonts w:ascii="宋体" w:hAnsi="宋体" w:eastAsia="宋体"/>
                <w:sz w:val="16"/>
              </w:rPr>
              <w:t>本项目2024年总投资为101.02万元，用于对希依提墩乡巴莎公路两侧林带共1000亩林带，包括路基、渠道等，进行土方拉运、回填、平整等工作。有效促进乡村绿化美化工作开展，提高乡村自然环境，改善群众居住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AA22F2">
            <w:pPr>
              <w:jc w:val="both"/>
            </w:pPr>
            <w:r>
              <w:rPr>
                <w:rFonts w:ascii="宋体" w:hAnsi="宋体" w:eastAsia="宋体"/>
                <w:sz w:val="16"/>
              </w:rPr>
              <w:t>截至自评节点本项目实际支出101.02万元，完成了希依提墩乡巴莎公路两侧包括路基、渠道等，进行土方拉运、回填、平整等工作，共1000亩林带，项目的实施有效促进了乡村绿化美化工作开展，改善了乡村自然环境，使群众居住环境更加宜居。</w:t>
            </w:r>
          </w:p>
        </w:tc>
      </w:tr>
      <w:tr w14:paraId="4524AD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A2AE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08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B4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9C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90C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3D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0B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39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CF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F8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EE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850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C94CF">
            <w:pPr>
              <w:jc w:val="center"/>
            </w:pPr>
            <w:r>
              <w:rPr>
                <w:rFonts w:ascii="宋体" w:hAnsi="宋体" w:eastAsia="宋体"/>
                <w:sz w:val="16"/>
              </w:rPr>
              <w:t>偏差原因分析及改进措施</w:t>
            </w:r>
          </w:p>
        </w:tc>
      </w:tr>
      <w:tr w14:paraId="38F4E3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58B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DDD1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71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872D">
            <w:pPr>
              <w:jc w:val="center"/>
            </w:pPr>
            <w:r>
              <w:rPr>
                <w:rFonts w:ascii="宋体" w:hAnsi="宋体" w:eastAsia="宋体"/>
                <w:sz w:val="16"/>
              </w:rPr>
              <w:t>新增林带数量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CCF3">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D7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C3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53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4C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CC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FE2E">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A2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8F381">
            <w:pPr>
              <w:jc w:val="center"/>
            </w:pPr>
          </w:p>
        </w:tc>
      </w:tr>
      <w:tr w14:paraId="7B3D1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82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1D1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26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336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E8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8F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E2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E45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9D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2B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5B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BB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E5F62">
            <w:pPr>
              <w:jc w:val="center"/>
            </w:pPr>
          </w:p>
        </w:tc>
      </w:tr>
      <w:tr w14:paraId="1F9B3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978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69B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FCA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F263">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B9BB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4A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F2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DC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00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9C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7908">
            <w:pPr>
              <w:jc w:val="center"/>
            </w:pPr>
            <w:r>
              <w:rPr>
                <w:rFonts w:ascii="宋体" w:hAnsi="宋体" w:eastAsia="宋体"/>
                <w:sz w:val="16"/>
              </w:rPr>
              <w:t>=2024年6月27日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1A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5510B">
            <w:pPr>
              <w:jc w:val="center"/>
            </w:pPr>
          </w:p>
        </w:tc>
      </w:tr>
      <w:tr w14:paraId="49018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EC9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433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AE7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A593">
            <w:pPr>
              <w:jc w:val="center"/>
            </w:pPr>
            <w:r>
              <w:rPr>
                <w:rFonts w:ascii="宋体" w:hAnsi="宋体" w:eastAsia="宋体"/>
                <w:sz w:val="16"/>
              </w:rPr>
              <w:t>尾款支付率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88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BB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33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6C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D9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0F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30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15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5D324">
            <w:pPr>
              <w:jc w:val="center"/>
            </w:pPr>
          </w:p>
        </w:tc>
      </w:tr>
      <w:tr w14:paraId="4FE34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76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F74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13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D45D">
            <w:pPr>
              <w:jc w:val="center"/>
            </w:pPr>
            <w:r>
              <w:rPr>
                <w:rFonts w:ascii="宋体" w:hAnsi="宋体" w:eastAsia="宋体"/>
                <w:sz w:val="16"/>
              </w:rPr>
              <w:t>新增林带成本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982BF">
            <w:pPr>
              <w:jc w:val="center"/>
            </w:pPr>
            <w:r>
              <w:rPr>
                <w:rFonts w:ascii="宋体" w:hAnsi="宋体" w:eastAsia="宋体"/>
                <w:sz w:val="16"/>
              </w:rPr>
              <w:t>=101.02万元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83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AB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E7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CD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606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2BF3">
            <w:pPr>
              <w:jc w:val="center"/>
            </w:pPr>
            <w:r>
              <w:rPr>
                <w:rFonts w:ascii="宋体" w:hAnsi="宋体" w:eastAsia="宋体"/>
                <w:sz w:val="16"/>
              </w:rPr>
              <w:t>=101.02万元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610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E1246">
            <w:pPr>
              <w:jc w:val="center"/>
            </w:pPr>
          </w:p>
        </w:tc>
      </w:tr>
      <w:tr w14:paraId="0C937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D0F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FA7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8BA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3EF3">
            <w:pPr>
              <w:jc w:val="center"/>
            </w:pPr>
            <w:r>
              <w:rPr>
                <w:rFonts w:ascii="宋体" w:hAnsi="宋体" w:eastAsia="宋体"/>
                <w:sz w:val="16"/>
              </w:rPr>
              <w:t>有效改善自然生态环境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BB1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4E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4F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DF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FC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47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7F5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04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9388B">
            <w:pPr>
              <w:jc w:val="center"/>
            </w:pPr>
          </w:p>
        </w:tc>
      </w:tr>
      <w:tr w14:paraId="7DEEF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3E7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92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45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8A3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4A2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D7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72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47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50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79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86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3B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B623E">
            <w:pPr>
              <w:jc w:val="center"/>
            </w:pPr>
          </w:p>
        </w:tc>
      </w:tr>
      <w:tr w14:paraId="517331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738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7DA0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D86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CDE4FA">
            <w:pPr>
              <w:jc w:val="center"/>
            </w:pPr>
            <w:r>
              <w:rPr>
                <w:rFonts w:ascii="宋体" w:hAnsi="宋体" w:eastAsia="宋体"/>
                <w:sz w:val="16"/>
              </w:rPr>
              <w:t>100分</w:t>
            </w:r>
          </w:p>
        </w:tc>
      </w:tr>
    </w:tbl>
    <w:p w14:paraId="18846923">
      <w:r>
        <w:br w:type="page"/>
      </w:r>
    </w:p>
    <w:p w14:paraId="3DFC2AE5">
      <w:pPr>
        <w:spacing w:line="640" w:lineRule="exact"/>
        <w:ind w:firstLine="640"/>
        <w:jc w:val="both"/>
        <w:outlineLvl w:val="2"/>
      </w:pPr>
      <w:r>
        <w:rPr>
          <w:rFonts w:ascii="黑体" w:hAnsi="黑体" w:eastAsia="黑体"/>
          <w:sz w:val="32"/>
        </w:rPr>
        <w:t>十二、其他需说明的事项</w:t>
      </w:r>
    </w:p>
    <w:p w14:paraId="076947BA">
      <w:pPr>
        <w:spacing w:line="580" w:lineRule="exact"/>
        <w:ind w:firstLine="640"/>
        <w:jc w:val="both"/>
      </w:pPr>
      <w:r>
        <w:rPr>
          <w:rFonts w:ascii="仿宋_GB2312" w:hAnsi="仿宋_GB2312" w:eastAsia="仿宋_GB2312"/>
          <w:b w:val="0"/>
          <w:sz w:val="32"/>
        </w:rPr>
        <w:t>本单位无其他需说明的事项。</w:t>
      </w:r>
    </w:p>
    <w:p w14:paraId="2441E387">
      <w:r>
        <w:br w:type="page"/>
      </w:r>
    </w:p>
    <w:p w14:paraId="2B3B067C">
      <w:pPr>
        <w:spacing w:line="240" w:lineRule="auto"/>
        <w:jc w:val="center"/>
        <w:outlineLvl w:val="1"/>
      </w:pPr>
      <w:r>
        <w:rPr>
          <w:rFonts w:ascii="黑体" w:hAnsi="黑体" w:eastAsia="黑体"/>
          <w:sz w:val="32"/>
        </w:rPr>
        <w:t>第三部分 专业名词解释</w:t>
      </w:r>
    </w:p>
    <w:p w14:paraId="1DF0082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93A7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76F87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8FC32E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A06F9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C4B14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B57978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757CF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4EA2E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FB03E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25C603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347A97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8A718A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F65EB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5A8EA6E">
      <w:r>
        <w:br w:type="page"/>
      </w:r>
    </w:p>
    <w:p w14:paraId="2D1EF167">
      <w:pPr>
        <w:spacing w:line="240" w:lineRule="auto"/>
        <w:jc w:val="center"/>
        <w:outlineLvl w:val="1"/>
      </w:pPr>
      <w:r>
        <w:rPr>
          <w:rFonts w:ascii="黑体" w:hAnsi="黑体" w:eastAsia="黑体"/>
          <w:sz w:val="32"/>
        </w:rPr>
        <w:t>第四部分 部门决算报表（见附表）</w:t>
      </w:r>
    </w:p>
    <w:p w14:paraId="6357211D">
      <w:pPr>
        <w:spacing w:line="240" w:lineRule="auto"/>
        <w:ind w:firstLine="640"/>
        <w:jc w:val="both"/>
      </w:pPr>
      <w:r>
        <w:rPr>
          <w:rFonts w:ascii="仿宋_GB2312" w:hAnsi="仿宋_GB2312" w:eastAsia="仿宋_GB2312"/>
          <w:b w:val="0"/>
          <w:sz w:val="32"/>
        </w:rPr>
        <w:t>一、《收入支出决算总表》</w:t>
      </w:r>
    </w:p>
    <w:p w14:paraId="29C19813">
      <w:pPr>
        <w:spacing w:line="240" w:lineRule="auto"/>
        <w:ind w:firstLine="640"/>
        <w:jc w:val="both"/>
      </w:pPr>
      <w:r>
        <w:rPr>
          <w:rFonts w:ascii="仿宋_GB2312" w:hAnsi="仿宋_GB2312" w:eastAsia="仿宋_GB2312"/>
          <w:b w:val="0"/>
          <w:sz w:val="32"/>
        </w:rPr>
        <w:t>二、《收入决算表》</w:t>
      </w:r>
    </w:p>
    <w:p w14:paraId="264ED280">
      <w:pPr>
        <w:spacing w:line="240" w:lineRule="auto"/>
        <w:ind w:firstLine="640"/>
        <w:jc w:val="both"/>
      </w:pPr>
      <w:r>
        <w:rPr>
          <w:rFonts w:ascii="仿宋_GB2312" w:hAnsi="仿宋_GB2312" w:eastAsia="仿宋_GB2312"/>
          <w:b w:val="0"/>
          <w:sz w:val="32"/>
        </w:rPr>
        <w:t>三、《支出决算表》</w:t>
      </w:r>
    </w:p>
    <w:p w14:paraId="1C3EEC16">
      <w:pPr>
        <w:spacing w:line="240" w:lineRule="auto"/>
        <w:ind w:firstLine="640"/>
        <w:jc w:val="both"/>
      </w:pPr>
      <w:r>
        <w:rPr>
          <w:rFonts w:ascii="仿宋_GB2312" w:hAnsi="仿宋_GB2312" w:eastAsia="仿宋_GB2312"/>
          <w:b w:val="0"/>
          <w:sz w:val="32"/>
        </w:rPr>
        <w:t>四、《财政拨款收入支出决算总表》</w:t>
      </w:r>
    </w:p>
    <w:p w14:paraId="187F1847">
      <w:pPr>
        <w:spacing w:line="240" w:lineRule="auto"/>
        <w:ind w:firstLine="640"/>
        <w:jc w:val="both"/>
      </w:pPr>
      <w:r>
        <w:rPr>
          <w:rFonts w:ascii="仿宋_GB2312" w:hAnsi="仿宋_GB2312" w:eastAsia="仿宋_GB2312"/>
          <w:b w:val="0"/>
          <w:sz w:val="32"/>
        </w:rPr>
        <w:t>五、《一般公共预算财政拨款支出决算表》</w:t>
      </w:r>
    </w:p>
    <w:p w14:paraId="1A73007B">
      <w:pPr>
        <w:spacing w:line="240" w:lineRule="auto"/>
        <w:ind w:firstLine="640"/>
        <w:jc w:val="both"/>
      </w:pPr>
      <w:r>
        <w:rPr>
          <w:rFonts w:ascii="仿宋_GB2312" w:hAnsi="仿宋_GB2312" w:eastAsia="仿宋_GB2312"/>
          <w:b w:val="0"/>
          <w:sz w:val="32"/>
        </w:rPr>
        <w:t>六、《一般公共预算财政拨款基本支出决算表》</w:t>
      </w:r>
    </w:p>
    <w:p w14:paraId="6D7816AE">
      <w:pPr>
        <w:spacing w:line="240" w:lineRule="auto"/>
        <w:ind w:firstLine="640"/>
        <w:jc w:val="both"/>
      </w:pPr>
      <w:r>
        <w:rPr>
          <w:rFonts w:ascii="仿宋_GB2312" w:hAnsi="仿宋_GB2312" w:eastAsia="仿宋_GB2312"/>
          <w:b w:val="0"/>
          <w:sz w:val="32"/>
        </w:rPr>
        <w:t>七、《政府性基金预算财政拨款收入支出决算表》</w:t>
      </w:r>
    </w:p>
    <w:p w14:paraId="37C907EF">
      <w:pPr>
        <w:spacing w:line="240" w:lineRule="auto"/>
        <w:ind w:firstLine="640"/>
        <w:jc w:val="both"/>
      </w:pPr>
      <w:r>
        <w:rPr>
          <w:rFonts w:ascii="仿宋_GB2312" w:hAnsi="仿宋_GB2312" w:eastAsia="仿宋_GB2312"/>
          <w:b w:val="0"/>
          <w:sz w:val="32"/>
        </w:rPr>
        <w:t>八、《国有资本经营预算财政拨款收入支出决算表》</w:t>
      </w:r>
    </w:p>
    <w:p w14:paraId="00A4D10B">
      <w:pPr>
        <w:spacing w:line="240" w:lineRule="auto"/>
        <w:ind w:firstLine="640"/>
        <w:jc w:val="both"/>
      </w:pPr>
      <w:r>
        <w:rPr>
          <w:rFonts w:ascii="仿宋_GB2312" w:hAnsi="仿宋_GB2312" w:eastAsia="仿宋_GB2312"/>
          <w:b w:val="0"/>
          <w:sz w:val="32"/>
        </w:rPr>
        <w:t>九、《财政拨款“三公”经费支出决算表》</w:t>
      </w:r>
    </w:p>
    <w:p w14:paraId="6EE39602">
      <w:pPr>
        <w:spacing w:line="240" w:lineRule="auto"/>
        <w:ind w:firstLine="640"/>
        <w:jc w:val="both"/>
      </w:pPr>
    </w:p>
    <w:p w14:paraId="1C5B013B">
      <w:pPr>
        <w:spacing w:line="240" w:lineRule="auto"/>
        <w:ind w:firstLine="640"/>
        <w:jc w:val="both"/>
      </w:pPr>
    </w:p>
    <w:p w14:paraId="0F7AC8DA">
      <w:pPr>
        <w:spacing w:line="240" w:lineRule="auto"/>
        <w:ind w:firstLine="640"/>
        <w:jc w:val="both"/>
      </w:pPr>
    </w:p>
    <w:p w14:paraId="7E53C1CB">
      <w:pPr>
        <w:spacing w:line="240" w:lineRule="auto"/>
        <w:ind w:firstLine="640"/>
        <w:jc w:val="both"/>
      </w:pPr>
    </w:p>
    <w:p w14:paraId="7D6E0E0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638C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83003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683003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F4691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8D5961"/>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330E54"/>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9B520A7"/>
    <w:rsid w:val="69D37E98"/>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7400</Words>
  <Characters>8467</Characters>
  <Lines>0</Lines>
  <Paragraphs>0</Paragraphs>
  <TotalTime>13</TotalTime>
  <ScaleCrop>false</ScaleCrop>
  <LinksUpToDate>false</LinksUpToDate>
  <CharactersWithSpaces>8475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eyJoZGlkIjoiNDg4ZTU2ZTRlNTdiNzJkNDA1YTllMzlkYTg4N2RlNjgiLCJ1c2VySWQiOiIyNTk4NTcxMjUifQ==</vt:lpwstr>
  </property>
</Properties>
</file>