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DE20E">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6457E34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234B23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B95A3E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7AF5A2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7EB9FF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麦盖提县库尔玛乡人民政府</w:t>
      </w:r>
    </w:p>
    <w:p w14:paraId="773FB8B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0BCD5DA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4542543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689B78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75EB072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5EB0B0F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4063884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2AF4F6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45A2926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5570F41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E0E65B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2C45B4E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3AEA5D5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0D39CC4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7E0076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3875F6F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FE42A7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2FB382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FA9150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F6DA4B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6639BA7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3BD0E0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1CC3162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1CF9142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928544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2160297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58AE297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513ACFD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61D64A0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349544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1AE37C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32B772B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14FA31D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5F88F4E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4AD33F1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3231869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804292">
      <w:r>
        <w:br w:type="page"/>
      </w:r>
    </w:p>
    <w:p w14:paraId="3B09B90E">
      <w:pPr>
        <w:spacing w:line="640" w:lineRule="exact"/>
        <w:jc w:val="center"/>
        <w:outlineLvl w:val="1"/>
      </w:pPr>
      <w:r>
        <w:rPr>
          <w:rFonts w:ascii="黑体" w:hAnsi="黑体" w:eastAsia="黑体"/>
          <w:sz w:val="32"/>
        </w:rPr>
        <w:t>第一部分 单位概况</w:t>
      </w:r>
    </w:p>
    <w:p w14:paraId="030F3A95">
      <w:pPr>
        <w:spacing w:line="640" w:lineRule="exact"/>
        <w:ind w:firstLine="640"/>
        <w:jc w:val="both"/>
        <w:outlineLvl w:val="2"/>
      </w:pPr>
      <w:r>
        <w:rPr>
          <w:rFonts w:ascii="黑体" w:hAnsi="黑体" w:eastAsia="黑体"/>
          <w:sz w:val="32"/>
        </w:rPr>
        <w:t>一、主要职能</w:t>
      </w:r>
    </w:p>
    <w:p w14:paraId="45DF2849">
      <w:pPr>
        <w:spacing w:line="580" w:lineRule="exact"/>
        <w:ind w:firstLine="640"/>
        <w:jc w:val="both"/>
      </w:pPr>
      <w:r>
        <w:rPr>
          <w:rFonts w:ascii="仿宋_GB2312" w:hAnsi="仿宋_GB2312" w:eastAsia="仿宋_GB2312"/>
          <w:sz w:val="32"/>
        </w:rPr>
        <w:t>库尔玛乡机关负责贯彻落实党中央关于基层工作的方针政策、决策部署和自治区党委、地委和县委的工作要求，把坚持和加强党对基层工作的集中统一领导落实到履行职责过程中。主要职责是。</w:t>
      </w:r>
    </w:p>
    <w:p w14:paraId="1BB625BF">
      <w:pPr>
        <w:spacing w:line="580" w:lineRule="exact"/>
        <w:ind w:firstLine="640"/>
        <w:jc w:val="both"/>
      </w:pPr>
      <w:r>
        <w:rPr>
          <w:rFonts w:ascii="仿宋_GB2312" w:hAnsi="仿宋_GB2312" w:eastAsia="仿宋_GB2312"/>
          <w:sz w:val="32"/>
        </w:rPr>
        <w:t>（一）贯彻执行党的路线、方针、政策和国家的法律法规，落实上级党委、政府决策部署和县委、县政府相关工作安排，执行本级人民代表大会决议，在履行职责过程中坚持和加强党的集中统一领导。</w:t>
      </w:r>
    </w:p>
    <w:p w14:paraId="32D269E7">
      <w:pPr>
        <w:spacing w:line="580" w:lineRule="exact"/>
        <w:ind w:firstLine="640"/>
        <w:jc w:val="both"/>
      </w:pPr>
      <w:r>
        <w:rPr>
          <w:rFonts w:ascii="仿宋_GB2312" w:hAnsi="仿宋_GB2312" w:eastAsia="仿宋_GB2312"/>
          <w:sz w:val="32"/>
        </w:rPr>
        <w:t>（二）根据自治区党委、地委相关决策部署和县委相关工作安排，讨论和决定本行政区域内经济建设、政治建设、文化建设、社会建设、生态文明建设和党的建设以及乡村振兴中的重大问题。</w:t>
      </w:r>
    </w:p>
    <w:p w14:paraId="655092D7">
      <w:pPr>
        <w:spacing w:line="580" w:lineRule="exact"/>
        <w:ind w:firstLine="640"/>
        <w:jc w:val="both"/>
      </w:pPr>
      <w:r>
        <w:rPr>
          <w:rFonts w:ascii="仿宋_GB2312" w:hAnsi="仿宋_GB2312" w:eastAsia="仿宋_GB2312"/>
          <w:sz w:val="32"/>
        </w:rPr>
        <w:t>（三）落实基层党建工作责任制，负责党风廉政建设、宣传、意识形态、精神文明等工作；负责做好辖区各类社会组织的党建工作和发展党员工作，协调、指导辖区社会单位党组织和党员积极参加政治文化生活；负责做好人大、政协等事务工作；依法指导和规范管辖范围内的群团组织等其他各类组织。</w:t>
      </w:r>
    </w:p>
    <w:p w14:paraId="0F75E943">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四</w:t>
      </w:r>
      <w:r>
        <w:rPr>
          <w:rFonts w:ascii="仿宋_GB2312" w:hAnsi="仿宋_GB2312" w:eastAsia="仿宋_GB2312"/>
          <w:sz w:val="32"/>
        </w:rPr>
        <w:t>）根据相关规定，负责组织实施与群众生活密切相关的各项公共服务，负责做好民政、社会保障、教育体育、科技文化、卫生健康、劳动就业、拥军优属、助残、统计等方面工作。以“最多跑一次”改革为引导，强化基层便民服务。</w:t>
      </w:r>
    </w:p>
    <w:p w14:paraId="74F99C4C">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五</w:t>
      </w:r>
      <w:r>
        <w:rPr>
          <w:rFonts w:ascii="仿宋_GB2312" w:hAnsi="仿宋_GB2312" w:eastAsia="仿宋_GB2312"/>
          <w:sz w:val="32"/>
        </w:rPr>
        <w:t>）负责乡村振兴战略有关政策措施的贯彻落实；负责扶贫开发、产业规划发展、美丽乡村建设、生态环境、人居环境整治等工作。</w:t>
      </w:r>
    </w:p>
    <w:p w14:paraId="65E9A3DB">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六</w:t>
      </w:r>
      <w:r>
        <w:rPr>
          <w:rFonts w:ascii="仿宋_GB2312" w:hAnsi="仿宋_GB2312" w:eastAsia="仿宋_GB2312"/>
          <w:sz w:val="32"/>
        </w:rPr>
        <w:t>）根据行业主管部门相关规定，协助做好农畜产品质量安全、农牧业机械维护和管理等工作；落实动物防疫责任制和疫病的分级管理</w:t>
      </w:r>
      <w:r>
        <w:rPr>
          <w:rFonts w:hint="eastAsia" w:ascii="仿宋_GB2312" w:hAnsi="仿宋_GB2312" w:eastAsia="仿宋_GB2312"/>
          <w:sz w:val="32"/>
          <w:lang w:eastAsia="zh-CN"/>
        </w:rPr>
        <w:t>制度</w:t>
      </w:r>
      <w:r>
        <w:rPr>
          <w:rFonts w:ascii="仿宋_GB2312" w:hAnsi="仿宋_GB2312" w:eastAsia="仿宋_GB2312"/>
          <w:sz w:val="32"/>
        </w:rPr>
        <w:t>；加强草原保护建设和利用情况的监督及草原防火、草畜平衡、退牧还草、基本草牧场、基本农田、农地保护管理工作；加强辖区内林业管理；加强农田水利设施建设，改善人畜饮用水条件，开展水土保持宣传教育，普及水土保持科学知识，防止水土流失。</w:t>
      </w:r>
    </w:p>
    <w:p w14:paraId="74AE21CF">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七</w:t>
      </w:r>
      <w:r>
        <w:rPr>
          <w:rFonts w:ascii="仿宋_GB2312" w:hAnsi="仿宋_GB2312" w:eastAsia="仿宋_GB2312"/>
          <w:sz w:val="32"/>
        </w:rPr>
        <w:t>）负责辖区公共安全及安全生产监管，构建公共安全防控体系，建立应对突发紧急事件的处理预案，做好安全生产、防汛、防火、防疫等灾害防御及食品药品安全等应急管理工作。</w:t>
      </w:r>
    </w:p>
    <w:p w14:paraId="531B897C">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八</w:t>
      </w:r>
      <w:r>
        <w:rPr>
          <w:rFonts w:ascii="仿宋_GB2312" w:hAnsi="仿宋_GB2312" w:eastAsia="仿宋_GB2312"/>
          <w:sz w:val="32"/>
        </w:rPr>
        <w:t>）负责综合协调辖区内村容村貌、环境卫生、公共设施管理等工作。</w:t>
      </w:r>
    </w:p>
    <w:p w14:paraId="6C740D35">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九</w:t>
      </w:r>
      <w:r>
        <w:rPr>
          <w:rFonts w:ascii="仿宋_GB2312" w:hAnsi="仿宋_GB2312" w:eastAsia="仿宋_GB2312"/>
          <w:sz w:val="32"/>
        </w:rPr>
        <w:t>）负责推进法治政府建设和网格化服务管理工作；负责管理和指导村级工作；负责做好维护老年人、妇女、未成年人和残疾人的合法权益，保障适龄儿童、少年接受义务教育等工作。</w:t>
      </w:r>
    </w:p>
    <w:p w14:paraId="63ACB009">
      <w:pPr>
        <w:spacing w:line="580" w:lineRule="exact"/>
        <w:ind w:firstLine="640"/>
        <w:jc w:val="both"/>
      </w:pPr>
      <w:r>
        <w:rPr>
          <w:rFonts w:ascii="仿宋_GB2312" w:hAnsi="仿宋_GB2312" w:eastAsia="仿宋_GB2312"/>
          <w:sz w:val="32"/>
        </w:rPr>
        <w:t>（十）根据自治区党委、政府赋予乡镇行政权力事项清单，与县相关执法队伍和部门协调配合行使行政许可、行政确认、行政处罚等相关权力。</w:t>
      </w:r>
    </w:p>
    <w:p w14:paraId="21CB95AC">
      <w:pPr>
        <w:spacing w:line="580" w:lineRule="exact"/>
        <w:ind w:firstLine="640"/>
        <w:jc w:val="both"/>
      </w:pPr>
      <w:r>
        <w:rPr>
          <w:rFonts w:ascii="仿宋_GB2312" w:hAnsi="仿宋_GB2312" w:eastAsia="仿宋_GB2312"/>
          <w:sz w:val="32"/>
        </w:rPr>
        <w:t>（十</w:t>
      </w:r>
      <w:r>
        <w:rPr>
          <w:rFonts w:hint="eastAsia" w:ascii="仿宋_GB2312" w:hAnsi="仿宋_GB2312" w:eastAsia="仿宋_GB2312"/>
          <w:sz w:val="32"/>
          <w:lang w:eastAsia="zh-CN"/>
        </w:rPr>
        <w:t>一</w:t>
      </w:r>
      <w:r>
        <w:rPr>
          <w:rFonts w:ascii="仿宋_GB2312" w:hAnsi="仿宋_GB2312" w:eastAsia="仿宋_GB2312"/>
          <w:sz w:val="32"/>
        </w:rPr>
        <w:t>）负责本辖区社会领域、生态环境领域、党的建设领域等重大风险的防范、排查等工作。</w:t>
      </w:r>
    </w:p>
    <w:p w14:paraId="0E7D70EF">
      <w:pPr>
        <w:spacing w:line="580" w:lineRule="exact"/>
        <w:ind w:firstLine="640"/>
        <w:jc w:val="both"/>
      </w:pPr>
      <w:r>
        <w:rPr>
          <w:rFonts w:ascii="仿宋_GB2312" w:hAnsi="仿宋_GB2312" w:eastAsia="仿宋_GB2312"/>
          <w:sz w:val="32"/>
        </w:rPr>
        <w:t>（十</w:t>
      </w:r>
      <w:r>
        <w:rPr>
          <w:rFonts w:hint="eastAsia" w:ascii="仿宋_GB2312" w:hAnsi="仿宋_GB2312" w:eastAsia="仿宋_GB2312"/>
          <w:sz w:val="32"/>
          <w:lang w:eastAsia="zh-CN"/>
        </w:rPr>
        <w:t>二</w:t>
      </w:r>
      <w:r>
        <w:rPr>
          <w:rFonts w:ascii="仿宋_GB2312" w:hAnsi="仿宋_GB2312" w:eastAsia="仿宋_GB2312"/>
          <w:sz w:val="32"/>
        </w:rPr>
        <w:t>）完成县委、县政府交办的其他工作。</w:t>
      </w:r>
    </w:p>
    <w:p w14:paraId="683FB698">
      <w:pPr>
        <w:spacing w:line="640" w:lineRule="exact"/>
        <w:ind w:firstLine="640"/>
        <w:jc w:val="both"/>
        <w:outlineLvl w:val="2"/>
      </w:pPr>
      <w:r>
        <w:rPr>
          <w:rFonts w:ascii="黑体" w:hAnsi="黑体" w:eastAsia="黑体"/>
          <w:sz w:val="32"/>
        </w:rPr>
        <w:t>二、机构设置及人员情况</w:t>
      </w:r>
    </w:p>
    <w:p w14:paraId="0AAB75D1">
      <w:pPr>
        <w:spacing w:line="580" w:lineRule="exact"/>
        <w:ind w:firstLine="640"/>
        <w:jc w:val="both"/>
      </w:pPr>
      <w:r>
        <w:rPr>
          <w:rFonts w:ascii="仿宋_GB2312" w:hAnsi="仿宋_GB2312" w:eastAsia="仿宋_GB2312"/>
          <w:sz w:val="32"/>
        </w:rPr>
        <w:t>麦盖提县库尔玛乡人民政府2024年度，实有人数94人，其中：在职人员84人，减少10人；离休人员0人，增加0人；退休人员10人,增加0人。</w:t>
      </w:r>
    </w:p>
    <w:p w14:paraId="2AE1DC9B">
      <w:pPr>
        <w:spacing w:line="580" w:lineRule="exact"/>
        <w:ind w:firstLine="640"/>
        <w:jc w:val="both"/>
      </w:pPr>
      <w:r>
        <w:rPr>
          <w:rFonts w:ascii="仿宋_GB2312" w:hAnsi="仿宋_GB2312" w:eastAsia="仿宋_GB2312"/>
          <w:sz w:val="32"/>
        </w:rPr>
        <w:t>麦盖提县库尔玛乡人民政府无下属预算单位，下设5个科室，分别是：党政综合办公室、党建（纪检）工作办公室、经济发展和财政办公室、社会事务办公室（退役军人服务站）、综合执法（稳定）办公室。</w:t>
      </w:r>
    </w:p>
    <w:p w14:paraId="1F2461AF">
      <w:r>
        <w:br w:type="page"/>
      </w:r>
    </w:p>
    <w:p w14:paraId="28AB6E53">
      <w:pPr>
        <w:spacing w:line="240" w:lineRule="auto"/>
        <w:jc w:val="center"/>
        <w:outlineLvl w:val="1"/>
      </w:pPr>
      <w:r>
        <w:rPr>
          <w:rFonts w:ascii="黑体" w:hAnsi="黑体" w:eastAsia="黑体"/>
          <w:sz w:val="32"/>
        </w:rPr>
        <w:t>第二部分 部门决算情况说明</w:t>
      </w:r>
    </w:p>
    <w:p w14:paraId="1E137BF2">
      <w:pPr>
        <w:spacing w:line="640" w:lineRule="exact"/>
        <w:ind w:firstLine="640"/>
        <w:jc w:val="both"/>
        <w:outlineLvl w:val="2"/>
      </w:pPr>
      <w:r>
        <w:rPr>
          <w:rFonts w:ascii="黑体" w:hAnsi="黑体" w:eastAsia="黑体"/>
          <w:sz w:val="32"/>
        </w:rPr>
        <w:t>一、收入支出决算总体情况说明</w:t>
      </w:r>
    </w:p>
    <w:p w14:paraId="76CC0993">
      <w:pPr>
        <w:spacing w:line="580" w:lineRule="exact"/>
        <w:ind w:firstLine="640"/>
        <w:jc w:val="both"/>
      </w:pPr>
      <w:r>
        <w:rPr>
          <w:rFonts w:ascii="仿宋_GB2312" w:hAnsi="仿宋_GB2312" w:eastAsia="仿宋_GB2312"/>
          <w:b/>
          <w:sz w:val="32"/>
        </w:rPr>
        <w:t>2024年度收入总计3,206.67万元，</w:t>
      </w:r>
      <w:r>
        <w:rPr>
          <w:rFonts w:ascii="仿宋_GB2312" w:hAnsi="仿宋_GB2312" w:eastAsia="仿宋_GB2312"/>
          <w:b w:val="0"/>
          <w:sz w:val="32"/>
        </w:rPr>
        <w:t>其中：本年收入合计3,152.96万元，使用非财政拨款结余（含专用结余）0.00万元，年初结转和结余53.71万元。</w:t>
      </w:r>
    </w:p>
    <w:p w14:paraId="032F34D3">
      <w:pPr>
        <w:spacing w:line="580" w:lineRule="exact"/>
        <w:ind w:firstLine="640"/>
        <w:jc w:val="both"/>
      </w:pPr>
      <w:r>
        <w:rPr>
          <w:rFonts w:ascii="仿宋_GB2312" w:hAnsi="仿宋_GB2312" w:eastAsia="仿宋_GB2312"/>
          <w:b/>
          <w:sz w:val="32"/>
        </w:rPr>
        <w:t>2024年度支出总计3,206.67万元，</w:t>
      </w:r>
      <w:r>
        <w:rPr>
          <w:rFonts w:ascii="仿宋_GB2312" w:hAnsi="仿宋_GB2312" w:eastAsia="仿宋_GB2312"/>
          <w:b w:val="0"/>
          <w:sz w:val="32"/>
        </w:rPr>
        <w:t>其中：本年支出合计3,152.96万元，结余分配0.00万元，年末结转和结余53.71万元。</w:t>
      </w:r>
    </w:p>
    <w:p w14:paraId="2BD2D486">
      <w:pPr>
        <w:spacing w:line="580" w:lineRule="exact"/>
        <w:ind w:firstLine="640"/>
        <w:jc w:val="both"/>
      </w:pPr>
      <w:r>
        <w:rPr>
          <w:rFonts w:ascii="仿宋_GB2312" w:hAnsi="仿宋_GB2312" w:eastAsia="仿宋_GB2312"/>
          <w:b w:val="0"/>
          <w:sz w:val="32"/>
        </w:rPr>
        <w:t>收入支出总体与上年相比，增加937.15万元，增长41.29%，主要原因是：本年两个土地平整、自治区综合改革项目、林果业扶持以奖代补项目等项目资金较上年增加。</w:t>
      </w:r>
    </w:p>
    <w:p w14:paraId="69414D38">
      <w:pPr>
        <w:spacing w:line="640" w:lineRule="exact"/>
        <w:ind w:firstLine="640"/>
        <w:jc w:val="both"/>
        <w:outlineLvl w:val="2"/>
      </w:pPr>
      <w:r>
        <w:rPr>
          <w:rFonts w:ascii="黑体" w:hAnsi="黑体" w:eastAsia="黑体"/>
          <w:sz w:val="32"/>
        </w:rPr>
        <w:t>二、收入决算情况说明</w:t>
      </w:r>
    </w:p>
    <w:p w14:paraId="2048350C">
      <w:pPr>
        <w:spacing w:line="580" w:lineRule="exact"/>
        <w:ind w:firstLine="640"/>
        <w:jc w:val="both"/>
      </w:pPr>
      <w:r>
        <w:rPr>
          <w:rFonts w:ascii="仿宋_GB2312" w:hAnsi="仿宋_GB2312" w:eastAsia="仿宋_GB2312"/>
          <w:b/>
          <w:sz w:val="32"/>
        </w:rPr>
        <w:t>本年收入3,152.96万元，</w:t>
      </w:r>
      <w:r>
        <w:rPr>
          <w:rFonts w:ascii="仿宋_GB2312" w:hAnsi="仿宋_GB2312" w:eastAsia="仿宋_GB2312"/>
          <w:b w:val="0"/>
          <w:sz w:val="32"/>
        </w:rPr>
        <w:t>其中：财政拨款收入3,040.49万元，占96.43%；上级补助收入0.00万元，占0.00%；事业收入0.00万元，占0.00%；经营收入0.00万元，占0.00%；附属单位上缴收入0.00万元，占0.00%；其他收入112.47万元，占3.57%。</w:t>
      </w:r>
    </w:p>
    <w:p w14:paraId="1E092E37">
      <w:pPr>
        <w:spacing w:line="640" w:lineRule="exact"/>
        <w:ind w:firstLine="640"/>
        <w:jc w:val="both"/>
        <w:outlineLvl w:val="2"/>
      </w:pPr>
      <w:r>
        <w:rPr>
          <w:rFonts w:ascii="黑体" w:hAnsi="黑体" w:eastAsia="黑体"/>
          <w:sz w:val="32"/>
        </w:rPr>
        <w:t>三、支出决算情况说明</w:t>
      </w:r>
    </w:p>
    <w:p w14:paraId="2F4E990E">
      <w:pPr>
        <w:spacing w:line="580" w:lineRule="exact"/>
        <w:ind w:firstLine="640"/>
        <w:jc w:val="both"/>
      </w:pPr>
      <w:r>
        <w:rPr>
          <w:rFonts w:ascii="仿宋_GB2312" w:hAnsi="仿宋_GB2312" w:eastAsia="仿宋_GB2312"/>
          <w:b/>
          <w:sz w:val="32"/>
        </w:rPr>
        <w:t>本年支出3,152.96万元，</w:t>
      </w:r>
      <w:r>
        <w:rPr>
          <w:rFonts w:ascii="仿宋_GB2312" w:hAnsi="仿宋_GB2312" w:eastAsia="仿宋_GB2312"/>
          <w:b w:val="0"/>
          <w:sz w:val="32"/>
        </w:rPr>
        <w:t>其中：基本支出1,641.93万元，占52.08%；项目支出1,511.04万元，占47.92%；上缴上级支出0.00万元，占0.00%；经营支出0.00万元，占0.00%；对附属单位补助支出0.00万元，占0.00%。</w:t>
      </w:r>
    </w:p>
    <w:p w14:paraId="04FDBC97">
      <w:pPr>
        <w:spacing w:line="640" w:lineRule="exact"/>
        <w:ind w:firstLine="640"/>
        <w:jc w:val="both"/>
        <w:outlineLvl w:val="2"/>
      </w:pPr>
      <w:r>
        <w:rPr>
          <w:rFonts w:ascii="黑体" w:hAnsi="黑体" w:eastAsia="黑体"/>
          <w:sz w:val="32"/>
        </w:rPr>
        <w:t>四、财政拨款收入支出决算总体情况说明</w:t>
      </w:r>
    </w:p>
    <w:p w14:paraId="6AE662AC">
      <w:pPr>
        <w:spacing w:line="580" w:lineRule="exact"/>
        <w:ind w:firstLine="640"/>
        <w:jc w:val="both"/>
      </w:pPr>
      <w:r>
        <w:rPr>
          <w:rFonts w:ascii="仿宋_GB2312" w:hAnsi="仿宋_GB2312" w:eastAsia="仿宋_GB2312"/>
          <w:b/>
          <w:sz w:val="32"/>
        </w:rPr>
        <w:t>2024年度财政拨款收入总计3,040.49万元，</w:t>
      </w:r>
      <w:r>
        <w:rPr>
          <w:rFonts w:ascii="仿宋_GB2312" w:hAnsi="仿宋_GB2312" w:eastAsia="仿宋_GB2312"/>
          <w:b w:val="0"/>
          <w:sz w:val="32"/>
        </w:rPr>
        <w:t>其中：年初财政拨款结转和结余0.00万元，本年财政拨款收入3,040.49万元。</w:t>
      </w:r>
      <w:r>
        <w:rPr>
          <w:rFonts w:ascii="仿宋_GB2312" w:hAnsi="仿宋_GB2312" w:eastAsia="仿宋_GB2312"/>
          <w:b/>
          <w:sz w:val="32"/>
        </w:rPr>
        <w:t>财政拨款支出总计3,040.49万元，</w:t>
      </w:r>
      <w:r>
        <w:rPr>
          <w:rFonts w:ascii="仿宋_GB2312" w:hAnsi="仿宋_GB2312" w:eastAsia="仿宋_GB2312"/>
          <w:b w:val="0"/>
          <w:sz w:val="32"/>
        </w:rPr>
        <w:t>其中：年末财政拨款结转和结余0.00万元，本年财政拨款支出3,040.49万元。</w:t>
      </w:r>
    </w:p>
    <w:p w14:paraId="13BA688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增加889.68万元，增长41.36%，主要原因是：本年两个土地平整、自治区综合改革项目、林果业扶持</w:t>
      </w:r>
      <w:r>
        <w:rPr>
          <w:rFonts w:hint="eastAsia" w:ascii="仿宋_GB2312" w:hAnsi="仿宋_GB2312" w:eastAsia="仿宋_GB2312"/>
          <w:b w:val="0"/>
          <w:sz w:val="32"/>
          <w:lang w:eastAsia="zh-CN"/>
        </w:rPr>
        <w:t>以</w:t>
      </w:r>
      <w:r>
        <w:rPr>
          <w:rFonts w:ascii="仿宋_GB2312" w:hAnsi="仿宋_GB2312" w:eastAsia="仿宋_GB2312"/>
          <w:b w:val="0"/>
          <w:sz w:val="32"/>
        </w:rPr>
        <w:t>奖代补项目等项目资金较上年增加。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年初预算数1,705.39万元，决算数3,040.49万元，预决算差异率78.29%，主要原因是：年中追加公共文化服务项目、</w:t>
      </w:r>
      <w:r>
        <w:rPr>
          <w:rFonts w:hint="eastAsia" w:ascii="仿宋_GB2312" w:hAnsi="仿宋_GB2312" w:eastAsia="仿宋_GB2312"/>
          <w:b w:val="0"/>
          <w:sz w:val="32"/>
          <w:lang w:eastAsia="zh-CN"/>
        </w:rPr>
        <w:t>为民办实事</w:t>
      </w:r>
      <w:r>
        <w:rPr>
          <w:rFonts w:ascii="仿宋_GB2312" w:hAnsi="仿宋_GB2312" w:eastAsia="仿宋_GB2312"/>
          <w:b w:val="0"/>
          <w:sz w:val="32"/>
        </w:rPr>
        <w:t>活动经费、村级组织运转经费、幸福大院运转经费、自治区林长制激励资金、乡村绿化美化项目、中央综合改革转移支付资金等项目经费，导致预决算存在差异。</w:t>
      </w:r>
    </w:p>
    <w:p w14:paraId="6D5057A3">
      <w:pPr>
        <w:spacing w:line="640" w:lineRule="exact"/>
        <w:ind w:firstLine="640"/>
        <w:jc w:val="both"/>
        <w:outlineLvl w:val="2"/>
      </w:pPr>
      <w:r>
        <w:rPr>
          <w:rFonts w:ascii="黑体" w:hAnsi="黑体" w:eastAsia="黑体"/>
          <w:sz w:val="32"/>
        </w:rPr>
        <w:t>五、一般公共预算财政拨款支出决算情况说明</w:t>
      </w:r>
    </w:p>
    <w:p w14:paraId="54935D97">
      <w:pPr>
        <w:spacing w:line="640" w:lineRule="exact"/>
        <w:ind w:firstLine="640"/>
        <w:jc w:val="both"/>
        <w:outlineLvl w:val="3"/>
      </w:pPr>
      <w:r>
        <w:rPr>
          <w:rFonts w:ascii="楷体_GB2312" w:hAnsi="楷体_GB2312" w:eastAsia="楷体_GB2312"/>
          <w:b/>
          <w:sz w:val="32"/>
        </w:rPr>
        <w:t>（一）一般公共预算财政拨款支出决算总体情况</w:t>
      </w:r>
    </w:p>
    <w:p w14:paraId="7DA99989">
      <w:pPr>
        <w:spacing w:line="580" w:lineRule="exact"/>
        <w:ind w:firstLine="640"/>
        <w:jc w:val="both"/>
      </w:pPr>
      <w:r>
        <w:rPr>
          <w:rFonts w:ascii="仿宋_GB2312" w:hAnsi="仿宋_GB2312" w:eastAsia="仿宋_GB2312"/>
          <w:b/>
          <w:sz w:val="32"/>
        </w:rPr>
        <w:t>2024年度一般公共预算财政拨款支出2,983.17万元，</w:t>
      </w:r>
      <w:r>
        <w:rPr>
          <w:rFonts w:ascii="仿宋_GB2312" w:hAnsi="仿宋_GB2312" w:eastAsia="仿宋_GB2312"/>
          <w:b w:val="0"/>
          <w:sz w:val="32"/>
        </w:rPr>
        <w:t>占本年支出合计的94.61%。</w:t>
      </w:r>
      <w:r>
        <w:rPr>
          <w:rFonts w:ascii="仿宋_GB2312" w:hAnsi="仿宋_GB2312" w:eastAsia="仿宋_GB2312"/>
          <w:b/>
          <w:sz w:val="32"/>
        </w:rPr>
        <w:t>与上年相比，</w:t>
      </w:r>
      <w:r>
        <w:rPr>
          <w:rFonts w:ascii="仿宋_GB2312" w:hAnsi="仿宋_GB2312" w:eastAsia="仿宋_GB2312"/>
          <w:b w:val="0"/>
          <w:sz w:val="32"/>
        </w:rPr>
        <w:t>增加1,124.49万元，增长60.50%，主要原因是：本年两个土地平整、自治区综合改革项目、林果业扶持</w:t>
      </w:r>
      <w:r>
        <w:rPr>
          <w:rFonts w:hint="eastAsia" w:ascii="仿宋_GB2312" w:hAnsi="仿宋_GB2312" w:eastAsia="仿宋_GB2312"/>
          <w:b w:val="0"/>
          <w:sz w:val="32"/>
          <w:lang w:eastAsia="zh-CN"/>
        </w:rPr>
        <w:t>以</w:t>
      </w:r>
      <w:r>
        <w:rPr>
          <w:rFonts w:ascii="仿宋_GB2312" w:hAnsi="仿宋_GB2312" w:eastAsia="仿宋_GB2312"/>
          <w:b w:val="0"/>
          <w:sz w:val="32"/>
        </w:rPr>
        <w:t>奖代补项目等项目资金较上年增加。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年初预算数1,647.52万元，决算数2,983.17万元，预决算差异率81.07%，主要原因是：年中追加公共文化服务项目、</w:t>
      </w:r>
      <w:r>
        <w:rPr>
          <w:rFonts w:hint="eastAsia" w:ascii="仿宋_GB2312" w:hAnsi="仿宋_GB2312" w:eastAsia="仿宋_GB2312"/>
          <w:b w:val="0"/>
          <w:sz w:val="32"/>
          <w:lang w:eastAsia="zh-CN"/>
        </w:rPr>
        <w:t>为民办实事</w:t>
      </w:r>
      <w:r>
        <w:rPr>
          <w:rFonts w:ascii="仿宋_GB2312" w:hAnsi="仿宋_GB2312" w:eastAsia="仿宋_GB2312"/>
          <w:b w:val="0"/>
          <w:sz w:val="32"/>
        </w:rPr>
        <w:t>活动经费、村级组织运转经费、幸福大院运转经费、自治区林长制激励资金、乡村绿化美化项目、中央综合改革转移支付资金等项目经费，导致预决算存在差异。</w:t>
      </w:r>
    </w:p>
    <w:p w14:paraId="2178AD5D">
      <w:pPr>
        <w:spacing w:line="640" w:lineRule="exact"/>
        <w:ind w:firstLine="640"/>
        <w:jc w:val="both"/>
        <w:outlineLvl w:val="3"/>
      </w:pPr>
      <w:r>
        <w:rPr>
          <w:rFonts w:ascii="楷体_GB2312" w:hAnsi="楷体_GB2312" w:eastAsia="楷体_GB2312"/>
          <w:b/>
          <w:sz w:val="32"/>
        </w:rPr>
        <w:t>（二）一般公共预算财政拨款支出决算结构情况</w:t>
      </w:r>
    </w:p>
    <w:p w14:paraId="12F5873A">
      <w:pPr>
        <w:spacing w:line="580" w:lineRule="exact"/>
        <w:ind w:firstLine="640"/>
        <w:jc w:val="both"/>
      </w:pPr>
      <w:r>
        <w:rPr>
          <w:rFonts w:ascii="仿宋_GB2312" w:hAnsi="仿宋_GB2312" w:eastAsia="仿宋_GB2312"/>
          <w:b w:val="0"/>
          <w:sz w:val="32"/>
        </w:rPr>
        <w:t>1.一般公共服务支出(类)1,419.99万元,占47.60%。</w:t>
      </w:r>
    </w:p>
    <w:p w14:paraId="2732E116">
      <w:pPr>
        <w:spacing w:line="580" w:lineRule="exact"/>
        <w:ind w:firstLine="640"/>
        <w:jc w:val="both"/>
      </w:pPr>
      <w:r>
        <w:rPr>
          <w:rFonts w:ascii="仿宋_GB2312" w:hAnsi="仿宋_GB2312" w:eastAsia="仿宋_GB2312"/>
          <w:b w:val="0"/>
          <w:sz w:val="32"/>
        </w:rPr>
        <w:t>2.文化旅游体育与传媒支出(类)5.58万元,占0.19%。</w:t>
      </w:r>
    </w:p>
    <w:p w14:paraId="6AA8B64B">
      <w:pPr>
        <w:spacing w:line="580" w:lineRule="exact"/>
        <w:ind w:firstLine="640"/>
        <w:jc w:val="both"/>
      </w:pPr>
      <w:r>
        <w:rPr>
          <w:rFonts w:ascii="仿宋_GB2312" w:hAnsi="仿宋_GB2312" w:eastAsia="仿宋_GB2312"/>
          <w:b w:val="0"/>
          <w:sz w:val="32"/>
        </w:rPr>
        <w:t>3.社会保障和就业支出(类)174.30万元,占5.84%。</w:t>
      </w:r>
    </w:p>
    <w:p w14:paraId="136F5882">
      <w:pPr>
        <w:spacing w:line="580" w:lineRule="exact"/>
        <w:ind w:firstLine="640"/>
        <w:jc w:val="both"/>
      </w:pPr>
      <w:r>
        <w:rPr>
          <w:rFonts w:ascii="仿宋_GB2312" w:hAnsi="仿宋_GB2312" w:eastAsia="仿宋_GB2312"/>
          <w:b w:val="0"/>
          <w:sz w:val="32"/>
        </w:rPr>
        <w:t>4.卫生健康支出(类)72.47万元,占2.43%。</w:t>
      </w:r>
    </w:p>
    <w:p w14:paraId="7D74E99B">
      <w:pPr>
        <w:spacing w:line="580" w:lineRule="exact"/>
        <w:ind w:firstLine="640"/>
        <w:jc w:val="both"/>
      </w:pPr>
      <w:r>
        <w:rPr>
          <w:rFonts w:ascii="仿宋_GB2312" w:hAnsi="仿宋_GB2312" w:eastAsia="仿宋_GB2312"/>
          <w:b w:val="0"/>
          <w:sz w:val="32"/>
        </w:rPr>
        <w:t>5.节能环保支出(类)5.12万元,占0.17%。</w:t>
      </w:r>
    </w:p>
    <w:p w14:paraId="6421DF8A">
      <w:pPr>
        <w:spacing w:line="580" w:lineRule="exact"/>
        <w:ind w:firstLine="640"/>
        <w:jc w:val="both"/>
      </w:pPr>
      <w:r>
        <w:rPr>
          <w:rFonts w:ascii="仿宋_GB2312" w:hAnsi="仿宋_GB2312" w:eastAsia="仿宋_GB2312"/>
          <w:b w:val="0"/>
          <w:sz w:val="32"/>
        </w:rPr>
        <w:t>6.农林水支出(类)1,197.72万元,占40.15%。</w:t>
      </w:r>
    </w:p>
    <w:p w14:paraId="5BB66015">
      <w:pPr>
        <w:spacing w:line="580" w:lineRule="exact"/>
        <w:ind w:firstLine="640"/>
        <w:jc w:val="both"/>
      </w:pPr>
      <w:r>
        <w:rPr>
          <w:rFonts w:ascii="仿宋_GB2312" w:hAnsi="仿宋_GB2312" w:eastAsia="仿宋_GB2312"/>
          <w:b w:val="0"/>
          <w:sz w:val="32"/>
        </w:rPr>
        <w:t>7.住房保障支出(类)105.67万元,占3.54%。</w:t>
      </w:r>
    </w:p>
    <w:p w14:paraId="7B105CDC">
      <w:pPr>
        <w:spacing w:line="580" w:lineRule="exact"/>
        <w:ind w:firstLine="640"/>
        <w:jc w:val="both"/>
      </w:pPr>
      <w:r>
        <w:rPr>
          <w:rFonts w:ascii="仿宋_GB2312" w:hAnsi="仿宋_GB2312" w:eastAsia="仿宋_GB2312"/>
          <w:b w:val="0"/>
          <w:sz w:val="32"/>
        </w:rPr>
        <w:t>8.其他支出(类)2.33万元,占0.08%。</w:t>
      </w:r>
    </w:p>
    <w:p w14:paraId="0C799C16">
      <w:pPr>
        <w:spacing w:line="640" w:lineRule="exact"/>
        <w:ind w:firstLine="640"/>
        <w:jc w:val="both"/>
        <w:outlineLvl w:val="3"/>
      </w:pPr>
      <w:r>
        <w:rPr>
          <w:rFonts w:ascii="楷体_GB2312" w:hAnsi="楷体_GB2312" w:eastAsia="楷体_GB2312"/>
          <w:b/>
          <w:sz w:val="32"/>
        </w:rPr>
        <w:t>（三）一般公共预算财政拨款支出决算具体情况</w:t>
      </w:r>
    </w:p>
    <w:p w14:paraId="56C29D7E">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1.一般公共服务支出(类)政府办公厅（室）及相关机构事务(款)行政运行(项):支出决算数为1,304.49万元，比上年决算减少27.58万元，下降2.07%,主要原因是：本年在职人员减少，相应人员经费较上年减少。</w:t>
      </w:r>
    </w:p>
    <w:p w14:paraId="18E5F1C2">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度纪检办公室办案经费增加，办公费用增加，造成纪检监察事务款增加。</w:t>
      </w:r>
    </w:p>
    <w:p w14:paraId="0D2FDE3B">
      <w:pPr>
        <w:spacing w:line="580" w:lineRule="exact"/>
        <w:ind w:firstLine="640"/>
        <w:jc w:val="both"/>
      </w:pPr>
      <w:r>
        <w:rPr>
          <w:rFonts w:ascii="仿宋_GB2312" w:hAnsi="仿宋_GB2312" w:eastAsia="仿宋_GB2312"/>
          <w:b w:val="0"/>
          <w:sz w:val="32"/>
        </w:rPr>
        <w:t>3.一般公共服务支出(类)组织事务(款)其他组织事务支出(项):支出决算数为113.50万元，比上年决算增加71.00万元，增长167.06%,主要原因是：本年度增加驻村工作为民办实事经费和2024年下派选调生到村工作中央财政补助资金项目。</w:t>
      </w:r>
    </w:p>
    <w:p w14:paraId="43EE5F89">
      <w:pPr>
        <w:spacing w:line="580" w:lineRule="exact"/>
        <w:ind w:firstLine="640"/>
        <w:jc w:val="both"/>
      </w:pPr>
      <w:r>
        <w:rPr>
          <w:rFonts w:ascii="仿宋_GB2312" w:hAnsi="仿宋_GB2312" w:eastAsia="仿宋_GB2312"/>
          <w:b w:val="0"/>
          <w:sz w:val="32"/>
        </w:rPr>
        <w:t>4.文化旅游体育与传媒支出(类)文化和旅游(款)群众文化(项):支出决算数为5.58万元，比上年决算增加5.58万元，增长100.00%,主要原因是：本年功能科目调整，中央补助地方公共文化服务体系建设补助资金项目上年在其他文化旅游体育与传媒支出科目列支，本年在群众文化科目列支，导致经费较上年增加。</w:t>
      </w:r>
    </w:p>
    <w:p w14:paraId="2D93F4B9">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0.00万元，比上年决算减少20.00万元，下降100.00%,主要原因是：本年功能科目调整，中央补助地方公共文化服务体系建设补助资金项目上年在其他文化旅游体育与传媒支出科目列支，本年在群众文化科目列支，导致经费较上年减少。</w:t>
      </w:r>
    </w:p>
    <w:p w14:paraId="265921DF">
      <w:pPr>
        <w:spacing w:line="580" w:lineRule="exact"/>
        <w:ind w:firstLine="640"/>
        <w:jc w:val="both"/>
      </w:pPr>
      <w:r>
        <w:rPr>
          <w:rFonts w:ascii="仿宋_GB2312" w:hAnsi="仿宋_GB2312" w:eastAsia="仿宋_GB2312"/>
          <w:b w:val="0"/>
          <w:sz w:val="32"/>
        </w:rPr>
        <w:t>6.社会保障和就业支出(类)民政管理事务(款)其他民政管理事务支出(项):支出决算数为5.00万元，比上年决算减少3.35万元，下降40.12%,主要原因是：本年度减少幸福大院冬季取暖电费项目。</w:t>
      </w:r>
    </w:p>
    <w:p w14:paraId="0D655387">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7.社会保障和就业支出(类)行政事业单位养老支出(款)行政单位离退休(项):支出决算数为11.31万元，比上年决算增加2.03万元，增长21.88%,主要原因是：本年增加退休人员基础绩效奖，退休费支出增加。</w:t>
      </w:r>
    </w:p>
    <w:p w14:paraId="7ABCDFF5">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140.49万元，比上年决算增加2.64万元，增长1.92%,主要原因是：本年在职人员工资基数调增，养老缴费基数上涨，相应支出增加。</w:t>
      </w:r>
    </w:p>
    <w:p w14:paraId="4AC83501">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7.49万元，比上年决算增加2.03万元，增长37.18%,主要原因是：本年辞职人员较上年增加，职业年金缴费支出增加。</w:t>
      </w:r>
    </w:p>
    <w:p w14:paraId="475E0BEA">
      <w:pPr>
        <w:spacing w:line="580" w:lineRule="exact"/>
        <w:ind w:firstLine="640"/>
        <w:jc w:val="both"/>
      </w:pPr>
      <w:r>
        <w:rPr>
          <w:rFonts w:ascii="仿宋_GB2312" w:hAnsi="仿宋_GB2312" w:eastAsia="仿宋_GB2312"/>
          <w:b w:val="0"/>
          <w:sz w:val="32"/>
        </w:rPr>
        <w:t>10.社会保障和就业支出(类)临时救助(款)临时救助支出(项):支出决算数为10.00万元，比上年决算减少69.77万元，下降87.46%,主要原因是：本年度临时救助项目调整到民政局支出，造成乡镇临时救助支出减少。</w:t>
      </w:r>
    </w:p>
    <w:p w14:paraId="68878352">
      <w:pPr>
        <w:spacing w:line="580" w:lineRule="exact"/>
        <w:ind w:firstLine="640"/>
        <w:jc w:val="both"/>
      </w:pPr>
      <w:r>
        <w:rPr>
          <w:rFonts w:ascii="仿宋_GB2312" w:hAnsi="仿宋_GB2312" w:eastAsia="仿宋_GB2312"/>
          <w:b w:val="0"/>
          <w:sz w:val="32"/>
        </w:rPr>
        <w:t>11.卫生健康支出(类)行政事业单位医疗(款)行政单位医疗(项):支出决算数为59.71万元，比上年决算增加0.83万元，增长1.41%,主要原因是：本年在职人员工资基数调增，医疗缴费基数上涨，相应支出增加。</w:t>
      </w:r>
    </w:p>
    <w:p w14:paraId="381D445C">
      <w:pPr>
        <w:spacing w:line="580" w:lineRule="exact"/>
        <w:ind w:firstLine="640"/>
        <w:jc w:val="both"/>
      </w:pPr>
      <w:r>
        <w:rPr>
          <w:rFonts w:ascii="仿宋_GB2312" w:hAnsi="仿宋_GB2312" w:eastAsia="仿宋_GB2312"/>
          <w:b w:val="0"/>
          <w:sz w:val="32"/>
        </w:rPr>
        <w:t>12.卫生健康支出(类)行政事业单位医疗(款)公务员医疗补助(项):支出决算数为12.76万元，比上年决算减少0.47万元，下降3.55%,主要原因是：本年在职人员减少，公务员医疗补助较上年减少。</w:t>
      </w:r>
    </w:p>
    <w:p w14:paraId="2C757E89">
      <w:pPr>
        <w:spacing w:line="580" w:lineRule="exact"/>
        <w:ind w:firstLine="640"/>
        <w:jc w:val="both"/>
      </w:pPr>
      <w:r>
        <w:rPr>
          <w:rFonts w:ascii="仿宋_GB2312" w:hAnsi="仿宋_GB2312" w:eastAsia="仿宋_GB2312"/>
          <w:b w:val="0"/>
          <w:sz w:val="32"/>
        </w:rPr>
        <w:t>13.节能环保支出(类)能源管理事务(款)能源行业管理(项):支出决算数为5.12万元，比上年决算增加5.12万元，增长100.00%,主要原因是：本年度新增“煤改电”项目前期费用项目。</w:t>
      </w:r>
    </w:p>
    <w:p w14:paraId="4E245BC2">
      <w:pPr>
        <w:spacing w:line="580" w:lineRule="exact"/>
        <w:ind w:firstLine="640"/>
        <w:jc w:val="both"/>
      </w:pPr>
      <w:r>
        <w:rPr>
          <w:rFonts w:ascii="仿宋_GB2312" w:hAnsi="仿宋_GB2312" w:eastAsia="仿宋_GB2312"/>
          <w:b w:val="0"/>
          <w:sz w:val="32"/>
        </w:rPr>
        <w:t>14.农林水支出(类)林业和草原(款)其他林业和草原支出(项):支出决算数为38.80万元，比上年决算增加38.80万元，增长100.00%,主要原因是：本年度新增自治区林长制激励资金项目和2024年乡村绿化美化项目。</w:t>
      </w:r>
    </w:p>
    <w:p w14:paraId="7E5D854D">
      <w:pPr>
        <w:spacing w:line="580" w:lineRule="exact"/>
        <w:ind w:firstLine="640"/>
        <w:jc w:val="both"/>
      </w:pPr>
      <w:r>
        <w:rPr>
          <w:rFonts w:ascii="仿宋_GB2312" w:hAnsi="仿宋_GB2312" w:eastAsia="仿宋_GB2312"/>
          <w:b w:val="0"/>
          <w:sz w:val="32"/>
        </w:rPr>
        <w:t>15.农林水支出(类)巩固脱贫攻坚成果衔接乡村振兴(款)生产发展(项):支出决算数为113.56万元，比上年决算增加113.56万元，增长100.00%,主要原因是：本年度新增库尔玛乡产业（林果业）扶持以奖代补项目。</w:t>
      </w:r>
    </w:p>
    <w:p w14:paraId="2C30045D">
      <w:pPr>
        <w:spacing w:line="580" w:lineRule="exact"/>
        <w:ind w:firstLine="640"/>
        <w:jc w:val="both"/>
      </w:pPr>
      <w:r>
        <w:rPr>
          <w:rFonts w:ascii="仿宋_GB2312" w:hAnsi="仿宋_GB2312" w:eastAsia="仿宋_GB2312"/>
          <w:b w:val="0"/>
          <w:sz w:val="32"/>
        </w:rPr>
        <w:t>16.农林水支出(类)农村综合改革(款)对村级公益事业建设的补助(项):支出决算数为200.00万元，比上年决算增加200.00万元，增长100.00%,主要原因是：本年度新增中央综合改革转移支付资金项目。</w:t>
      </w:r>
    </w:p>
    <w:p w14:paraId="0427BBD6">
      <w:pPr>
        <w:spacing w:line="580" w:lineRule="exact"/>
        <w:ind w:firstLine="640"/>
        <w:jc w:val="both"/>
      </w:pPr>
      <w:r>
        <w:rPr>
          <w:rFonts w:ascii="仿宋_GB2312" w:hAnsi="仿宋_GB2312" w:eastAsia="仿宋_GB2312"/>
          <w:b w:val="0"/>
          <w:sz w:val="32"/>
        </w:rPr>
        <w:t>17.农林水支出(类)其他农林水支出(款)其他农林水支出(项):支出决算数为845.37万元，比上年决算增加845.37万元，增长100.00%,主要原因是：本年度新增麦盖提县2024年美丽庭院建设项目、麦盖提县库尔玛乡土地平整项目。</w:t>
      </w:r>
    </w:p>
    <w:p w14:paraId="38CBB6C8">
      <w:pPr>
        <w:spacing w:line="580" w:lineRule="exact"/>
        <w:ind w:firstLine="640"/>
        <w:jc w:val="both"/>
      </w:pPr>
      <w:r>
        <w:rPr>
          <w:rFonts w:ascii="仿宋_GB2312" w:hAnsi="仿宋_GB2312" w:eastAsia="仿宋_GB2312"/>
          <w:b w:val="0"/>
          <w:sz w:val="32"/>
        </w:rPr>
        <w:t>18.住房保障支出(类)住房改革支出(款)住房公积金(项):支出决算数为105.67万元，比上年决算减少2.19万元，下降2.03%,主要原因是：本年在职人员减少，住房公积金缴费较上年减少。</w:t>
      </w:r>
    </w:p>
    <w:p w14:paraId="5C90F292">
      <w:pPr>
        <w:spacing w:line="580" w:lineRule="exact"/>
        <w:ind w:firstLine="640"/>
        <w:jc w:val="both"/>
      </w:pPr>
      <w:r>
        <w:rPr>
          <w:rFonts w:ascii="仿宋_GB2312" w:hAnsi="仿宋_GB2312" w:eastAsia="仿宋_GB2312"/>
          <w:b w:val="0"/>
          <w:sz w:val="32"/>
        </w:rPr>
        <w:t>19.其他支出(类)其他支出(款)其他支出(项):支出决算数为2.33万元，比上年决算减少39.60万元，下降94.44%,主要原因是：本年度减少库尔玛乡2023年村级组织活动场所建设项目。</w:t>
      </w:r>
    </w:p>
    <w:p w14:paraId="60C4CAE9">
      <w:pPr>
        <w:spacing w:line="640" w:lineRule="exact"/>
        <w:ind w:firstLine="640"/>
        <w:jc w:val="both"/>
        <w:outlineLvl w:val="2"/>
      </w:pPr>
      <w:r>
        <w:rPr>
          <w:rFonts w:ascii="黑体" w:hAnsi="黑体" w:eastAsia="黑体"/>
          <w:sz w:val="32"/>
        </w:rPr>
        <w:t>六、一般公共预算财政拨款基本支出决算情况说明</w:t>
      </w:r>
    </w:p>
    <w:p w14:paraId="0C8B843A">
      <w:pPr>
        <w:spacing w:line="580" w:lineRule="exact"/>
        <w:ind w:firstLine="640"/>
        <w:jc w:val="both"/>
      </w:pPr>
      <w:r>
        <w:rPr>
          <w:rFonts w:ascii="仿宋_GB2312" w:hAnsi="仿宋_GB2312" w:eastAsia="仿宋_GB2312"/>
          <w:b w:val="0"/>
          <w:sz w:val="32"/>
        </w:rPr>
        <w:t>2024年度一般公共预算财政拨款基本支出1,641.93万元，其中：</w:t>
      </w:r>
      <w:r>
        <w:rPr>
          <w:rFonts w:ascii="仿宋_GB2312" w:hAnsi="仿宋_GB2312" w:eastAsia="仿宋_GB2312"/>
          <w:b/>
          <w:sz w:val="32"/>
        </w:rPr>
        <w:t>人员经费1,501.49万元，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575BB341">
      <w:pPr>
        <w:spacing w:line="580" w:lineRule="exact"/>
        <w:ind w:firstLine="640"/>
        <w:jc w:val="both"/>
      </w:pPr>
      <w:r>
        <w:rPr>
          <w:rFonts w:ascii="仿宋_GB2312" w:hAnsi="仿宋_GB2312" w:eastAsia="仿宋_GB2312"/>
          <w:b/>
          <w:sz w:val="32"/>
        </w:rPr>
        <w:t>公用经费140.44万元，</w:t>
      </w:r>
      <w:r>
        <w:rPr>
          <w:rFonts w:ascii="仿宋_GB2312" w:hAnsi="仿宋_GB2312" w:eastAsia="仿宋_GB2312"/>
          <w:b w:val="0"/>
          <w:sz w:val="32"/>
        </w:rPr>
        <w:t>包括：办公费、水费、电费、邮电费、取暖费、维修（护）费、委托业务费、公务用车运行维护费、其他商品和服务支出。</w:t>
      </w:r>
    </w:p>
    <w:p w14:paraId="126B3A23">
      <w:pPr>
        <w:spacing w:line="640" w:lineRule="exact"/>
        <w:ind w:firstLine="640"/>
        <w:jc w:val="both"/>
        <w:outlineLvl w:val="2"/>
      </w:pPr>
      <w:r>
        <w:rPr>
          <w:rFonts w:ascii="黑体" w:hAnsi="黑体" w:eastAsia="黑体"/>
          <w:sz w:val="32"/>
        </w:rPr>
        <w:t>七、政府性基金预算财政拨款收入支出决算情况说明</w:t>
      </w:r>
    </w:p>
    <w:p w14:paraId="2E6902D2">
      <w:pPr>
        <w:spacing w:line="580" w:lineRule="exact"/>
        <w:ind w:firstLine="640"/>
        <w:jc w:val="both"/>
      </w:pPr>
      <w:r>
        <w:rPr>
          <w:rFonts w:ascii="仿宋_GB2312" w:hAnsi="仿宋_GB2312" w:eastAsia="仿宋_GB2312"/>
          <w:b/>
          <w:sz w:val="32"/>
        </w:rPr>
        <w:t>2024年度政府性基金预算财政拨款收入总计57.31万元，</w:t>
      </w:r>
      <w:r>
        <w:rPr>
          <w:rFonts w:ascii="仿宋_GB2312" w:hAnsi="仿宋_GB2312" w:eastAsia="仿宋_GB2312"/>
          <w:b w:val="0"/>
          <w:sz w:val="32"/>
        </w:rPr>
        <w:t>其中：年初结转和结余0.00万元，本年收入57.31万元。</w:t>
      </w:r>
      <w:r>
        <w:rPr>
          <w:rFonts w:ascii="仿宋_GB2312" w:hAnsi="仿宋_GB2312" w:eastAsia="仿宋_GB2312"/>
          <w:b/>
          <w:sz w:val="32"/>
        </w:rPr>
        <w:t>政府性基金预算财政拨款支出总计57.31万元，</w:t>
      </w:r>
      <w:r>
        <w:rPr>
          <w:rFonts w:ascii="仿宋_GB2312" w:hAnsi="仿宋_GB2312" w:eastAsia="仿宋_GB2312"/>
          <w:b w:val="0"/>
          <w:sz w:val="32"/>
        </w:rPr>
        <w:t>其中：年末结转和结余0.00万元，本年支出57.31万元。</w:t>
      </w:r>
    </w:p>
    <w:p w14:paraId="605FA89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减少234.82万元，下降80.38%，主要原因是：本年喀什地区本级福利彩票公益金支持社会组织参与基层社会治理项目</w:t>
      </w:r>
      <w:r>
        <w:rPr>
          <w:rFonts w:hint="eastAsia" w:ascii="仿宋_GB2312" w:hAnsi="仿宋_GB2312" w:eastAsia="仿宋_GB2312"/>
          <w:b w:val="0"/>
          <w:sz w:val="32"/>
          <w:lang w:val="en-US" w:eastAsia="zh-CN"/>
        </w:rPr>
        <w:t>资金较上年减少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年初预算数57.87万元，决算数57.31万元，预决算差异率-0.97%，主要原因是：年中调减喀什地区本级福利彩票公益金支持社会组织参与基层社会治理项目资金，导致预决算存在差异。</w:t>
      </w:r>
    </w:p>
    <w:p w14:paraId="3D710244">
      <w:pPr>
        <w:spacing w:line="580" w:lineRule="exact"/>
        <w:ind w:firstLine="640"/>
        <w:jc w:val="both"/>
      </w:pPr>
      <w:r>
        <w:rPr>
          <w:rFonts w:ascii="仿宋_GB2312" w:hAnsi="仿宋_GB2312" w:eastAsia="仿宋_GB2312"/>
          <w:b w:val="0"/>
          <w:sz w:val="32"/>
        </w:rPr>
        <w:t>政府性基金预算财政拨款支出57.31万元。</w:t>
      </w:r>
    </w:p>
    <w:p w14:paraId="5DEFE052">
      <w:pPr>
        <w:spacing w:line="580" w:lineRule="exact"/>
        <w:ind w:firstLine="640"/>
        <w:jc w:val="both"/>
      </w:pPr>
      <w:r>
        <w:rPr>
          <w:rFonts w:ascii="仿宋_GB2312" w:hAnsi="仿宋_GB2312" w:eastAsia="仿宋_GB2312"/>
          <w:b w:val="0"/>
          <w:sz w:val="32"/>
        </w:rPr>
        <w:t>1.其他支出(类)彩票公益金安排的支出(款)用于文化事业的彩票公益金支出(项):支出决算数为57.31万元，比上年决算减少234.82万元，下降80.38%,主要原因是：本年喀什地区本级福利彩票公益金支持社会组织参与基层社会治理项目</w:t>
      </w:r>
      <w:r>
        <w:rPr>
          <w:rFonts w:hint="eastAsia" w:ascii="仿宋_GB2312" w:hAnsi="仿宋_GB2312" w:eastAsia="仿宋_GB2312"/>
          <w:b w:val="0"/>
          <w:sz w:val="32"/>
          <w:lang w:val="en-US" w:eastAsia="zh-CN"/>
        </w:rPr>
        <w:t>资金较上年减少</w:t>
      </w:r>
      <w:r>
        <w:rPr>
          <w:rFonts w:ascii="仿宋_GB2312" w:hAnsi="仿宋_GB2312" w:eastAsia="仿宋_GB2312"/>
          <w:b w:val="0"/>
          <w:sz w:val="32"/>
        </w:rPr>
        <w:t>。</w:t>
      </w:r>
    </w:p>
    <w:p w14:paraId="2E4043F5">
      <w:pPr>
        <w:spacing w:line="640" w:lineRule="exact"/>
        <w:ind w:firstLine="640"/>
        <w:jc w:val="both"/>
        <w:outlineLvl w:val="2"/>
      </w:pPr>
      <w:r>
        <w:rPr>
          <w:rFonts w:ascii="黑体" w:hAnsi="黑体" w:eastAsia="黑体"/>
          <w:sz w:val="32"/>
        </w:rPr>
        <w:t>八、国有资本经营预算财政拨款收入支出决算情况说明</w:t>
      </w:r>
    </w:p>
    <w:p w14:paraId="7E78F5D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54C4074">
      <w:pPr>
        <w:spacing w:line="640" w:lineRule="exact"/>
        <w:ind w:firstLine="640"/>
        <w:jc w:val="both"/>
        <w:outlineLvl w:val="2"/>
      </w:pPr>
      <w:r>
        <w:rPr>
          <w:rFonts w:ascii="黑体" w:hAnsi="黑体" w:eastAsia="黑体"/>
          <w:sz w:val="32"/>
        </w:rPr>
        <w:t>九、财政拨款“三公”经费支出决算情况说明</w:t>
      </w:r>
    </w:p>
    <w:p w14:paraId="4A7335F0">
      <w:pPr>
        <w:spacing w:line="580" w:lineRule="exact"/>
        <w:ind w:firstLine="640"/>
        <w:jc w:val="both"/>
      </w:pPr>
      <w:r>
        <w:rPr>
          <w:rFonts w:ascii="仿宋_GB2312" w:hAnsi="仿宋_GB2312" w:eastAsia="仿宋_GB2312"/>
          <w:b/>
          <w:sz w:val="32"/>
        </w:rPr>
        <w:t>2024年度财政拨款“三公”经费支出15.09万元，</w:t>
      </w:r>
      <w:r>
        <w:rPr>
          <w:rFonts w:ascii="仿宋_GB2312" w:hAnsi="仿宋_GB2312" w:eastAsia="仿宋_GB2312"/>
          <w:b w:val="0"/>
          <w:sz w:val="32"/>
        </w:rPr>
        <w:t>比上年减少4.01万元，下降20.99%，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15.09万元，占100.00%，比上年减少4.01万元，下降20.99%，主要原因是：严格落实中央八项规定精神，厉行节约，减少公务用车运行维护费。公务接待费支出0.00万元，占0.00%，比上年增加0.00万元，增长0.00%，主要原因是：2023年与2024年均未安排公务接待费支出。</w:t>
      </w:r>
    </w:p>
    <w:p w14:paraId="447B61D7">
      <w:pPr>
        <w:spacing w:line="580" w:lineRule="exact"/>
        <w:ind w:firstLine="640"/>
        <w:jc w:val="both"/>
      </w:pPr>
      <w:r>
        <w:rPr>
          <w:rFonts w:ascii="仿宋_GB2312" w:hAnsi="仿宋_GB2312" w:eastAsia="仿宋_GB2312"/>
          <w:b/>
          <w:sz w:val="32"/>
        </w:rPr>
        <w:t>具体情况如下：</w:t>
      </w:r>
    </w:p>
    <w:p w14:paraId="7712D1D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FCCCA40">
      <w:pPr>
        <w:spacing w:line="580" w:lineRule="exact"/>
        <w:ind w:firstLine="640"/>
        <w:jc w:val="both"/>
      </w:pPr>
      <w:r>
        <w:rPr>
          <w:rFonts w:ascii="仿宋_GB2312" w:hAnsi="仿宋_GB2312" w:eastAsia="仿宋_GB2312"/>
          <w:b w:val="0"/>
          <w:sz w:val="32"/>
        </w:rPr>
        <w:t>公务用车购置及运行维护费15.09万元，其中：公务用车购置费0.00万元，公务用车运行维护费15.09万元。公务用车运行维护费开支内容包括车辆燃油费、保险费、维修维护费。公务用车购置数0辆，公务用车保有量4辆。国有资产占用情况中固定资产车辆4辆，与公务用车保有量差异原因是：本单位固定资产车辆与公务用车保有量一致无差异。</w:t>
      </w:r>
    </w:p>
    <w:p w14:paraId="025D9AC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7AAC54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15.09万元，决算数15.09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15.09万元，决算数15.09万元，预决算差异率0.00%，主要原因是：严格按照预算执行，预决算无差异。公务接待费全年预算数0.00万元，决算数0.00万元，预决算差异率0.00%，主要原因是：本单位无公务接待费。</w:t>
      </w:r>
    </w:p>
    <w:p w14:paraId="3CE757D1">
      <w:pPr>
        <w:spacing w:line="640" w:lineRule="exact"/>
        <w:ind w:firstLine="640"/>
        <w:jc w:val="both"/>
        <w:outlineLvl w:val="2"/>
      </w:pPr>
      <w:r>
        <w:rPr>
          <w:rFonts w:ascii="黑体" w:hAnsi="黑体" w:eastAsia="黑体"/>
          <w:sz w:val="32"/>
        </w:rPr>
        <w:t>十、其他重要事项的情况说明</w:t>
      </w:r>
    </w:p>
    <w:p w14:paraId="0E7D12FC">
      <w:pPr>
        <w:spacing w:line="640" w:lineRule="exact"/>
        <w:ind w:firstLine="640"/>
        <w:jc w:val="both"/>
        <w:outlineLvl w:val="3"/>
      </w:pPr>
      <w:r>
        <w:rPr>
          <w:rFonts w:ascii="楷体_GB2312" w:hAnsi="楷体_GB2312" w:eastAsia="楷体_GB2312"/>
          <w:b/>
          <w:sz w:val="32"/>
        </w:rPr>
        <w:t>（一）机关运行经费及公用经费支出情况</w:t>
      </w:r>
    </w:p>
    <w:p w14:paraId="75562760">
      <w:pPr>
        <w:spacing w:line="580" w:lineRule="exact"/>
        <w:ind w:firstLine="640"/>
        <w:jc w:val="both"/>
      </w:pPr>
      <w:r>
        <w:rPr>
          <w:rFonts w:ascii="仿宋_GB2312" w:hAnsi="仿宋_GB2312" w:eastAsia="仿宋_GB2312"/>
          <w:b w:val="0"/>
          <w:sz w:val="32"/>
        </w:rPr>
        <w:t>2024年度麦盖提县库尔玛乡人民政府（行政单位和参照公务员法管理事业单位）机关运行经费支出140.44万元，比上年增加2.60万元，增长1.89%，主要原因是：本年更新、维护补充办公用品，导致机关运行经费较上年增加。</w:t>
      </w:r>
    </w:p>
    <w:p w14:paraId="7CDAB622">
      <w:pPr>
        <w:spacing w:line="640" w:lineRule="exact"/>
        <w:ind w:firstLine="640"/>
        <w:jc w:val="both"/>
        <w:outlineLvl w:val="3"/>
      </w:pPr>
      <w:r>
        <w:rPr>
          <w:rFonts w:ascii="楷体_GB2312" w:hAnsi="楷体_GB2312" w:eastAsia="楷体_GB2312"/>
          <w:b/>
          <w:sz w:val="32"/>
        </w:rPr>
        <w:t>（二）政府采购情况</w:t>
      </w:r>
    </w:p>
    <w:p w14:paraId="08EDD83C">
      <w:pPr>
        <w:spacing w:line="580" w:lineRule="exact"/>
        <w:ind w:firstLine="640"/>
        <w:jc w:val="both"/>
      </w:pPr>
      <w:r>
        <w:rPr>
          <w:rFonts w:ascii="仿宋_GB2312" w:hAnsi="仿宋_GB2312" w:eastAsia="仿宋_GB2312"/>
          <w:b w:val="0"/>
          <w:sz w:val="32"/>
        </w:rPr>
        <w:t>2024年度政府采购支出总额53.15万元，其中：政府采购货物支出41.04万元、政府采购工程支出7.89万元、政府采购服务支出4.21万元。</w:t>
      </w:r>
    </w:p>
    <w:p w14:paraId="49CE2A99">
      <w:pPr>
        <w:spacing w:line="580" w:lineRule="exact"/>
        <w:ind w:firstLine="640"/>
        <w:jc w:val="both"/>
      </w:pPr>
      <w:r>
        <w:rPr>
          <w:rFonts w:ascii="仿宋_GB2312" w:hAnsi="仿宋_GB2312" w:eastAsia="仿宋_GB2312"/>
          <w:b w:val="0"/>
          <w:sz w:val="32"/>
        </w:rPr>
        <w:t>授予中小企业合同金额52.94万元，占政府采购支出总额的99.60%，其中：授予小微企业合同金额52.94万元，占政府采购支出总额的99.60%。</w:t>
      </w:r>
    </w:p>
    <w:p w14:paraId="73155136">
      <w:pPr>
        <w:spacing w:line="640" w:lineRule="exact"/>
        <w:ind w:firstLine="640"/>
        <w:jc w:val="both"/>
        <w:outlineLvl w:val="3"/>
      </w:pPr>
      <w:r>
        <w:rPr>
          <w:rFonts w:ascii="楷体_GB2312" w:hAnsi="楷体_GB2312" w:eastAsia="楷体_GB2312"/>
          <w:b/>
          <w:sz w:val="32"/>
        </w:rPr>
        <w:t>（三）国有资产占用情况说明</w:t>
      </w:r>
    </w:p>
    <w:p w14:paraId="10669F8D">
      <w:pPr>
        <w:spacing w:line="580" w:lineRule="exact"/>
        <w:ind w:firstLine="640"/>
        <w:jc w:val="both"/>
      </w:pPr>
      <w:r>
        <w:rPr>
          <w:rFonts w:ascii="仿宋_GB2312" w:hAnsi="仿宋_GB2312" w:eastAsia="仿宋_GB2312"/>
          <w:b w:val="0"/>
          <w:sz w:val="32"/>
        </w:rPr>
        <w:t>截至2024年12月31日，房屋11,214.60平方米，价值1,983.59万元。车辆4辆，价值53.57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2ACE63CD">
      <w:pPr>
        <w:spacing w:line="640" w:lineRule="exact"/>
        <w:ind w:firstLine="640"/>
        <w:jc w:val="both"/>
        <w:outlineLvl w:val="2"/>
      </w:pPr>
      <w:r>
        <w:rPr>
          <w:rFonts w:ascii="黑体" w:hAnsi="黑体" w:eastAsia="黑体"/>
          <w:sz w:val="32"/>
        </w:rPr>
        <w:t>十一、预算绩效的情况说明</w:t>
      </w:r>
    </w:p>
    <w:p w14:paraId="1A5319D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3,206.67万元，实际执行总额3,152.96万元；预算绩效评价项目2个，全年预算数516.85万元，全年执行数516.85万元。预算绩效管理取得的成效：一是预算绩效管理制度建设不断完善。围绕建立“全方位、全过程、全覆盖”的预算绩效管理体系目标，强化制度设计，建立健全制度办法和工作机制，涵盖了事前绩效评估、绩效目标管理、绩效运行监控、绩效评价及结果应用等各环节，为推动预算绩效管理工作奠定了坚实的制度基础。二是预算绩效管理格局初步形成。将本级预算收支全部纳入预算绩效管理，提高财政资源配置效益和可持续性。在逐步深化项目绩效管理的基础上，不断提升管理层级，加快推动预算绩效管理。积极探索开展部门整体绩效目标编报；积极发挥考核“指挥棒”作用，把部门绩效管理工作纳入年底工作考核。发现的问题及原因：一是预算绩效观念不深入。</w:t>
      </w:r>
      <w:r>
        <w:rPr>
          <w:rFonts w:hint="eastAsia" w:ascii="仿宋_GB2312" w:hAnsi="仿宋_GB2312" w:eastAsia="仿宋_GB2312"/>
          <w:b w:val="0"/>
          <w:sz w:val="32"/>
          <w:lang w:eastAsia="zh-CN"/>
        </w:rPr>
        <w:t>本单位</w:t>
      </w:r>
      <w:r>
        <w:rPr>
          <w:rFonts w:ascii="仿宋_GB2312" w:hAnsi="仿宋_GB2312" w:eastAsia="仿宋_GB2312"/>
          <w:b w:val="0"/>
          <w:sz w:val="32"/>
        </w:rPr>
        <w:t>在日常财务工作中存在着一定程度的“重分配、轻管理、重支出、轻绩效”的情况，造成该问题的主要原因是自身绩效理念较薄弱，在绩效目标指标编制上仍有缺失，需要进一步加强对绩效管理工作的重视程度；二是预算绩效规范管理有盲点。在县财政逐步加强绩效管理的情况下，</w:t>
      </w:r>
      <w:r>
        <w:rPr>
          <w:rFonts w:hint="eastAsia" w:ascii="仿宋_GB2312" w:hAnsi="仿宋_GB2312" w:eastAsia="仿宋_GB2312"/>
          <w:b w:val="0"/>
          <w:sz w:val="32"/>
          <w:lang w:eastAsia="zh-CN"/>
        </w:rPr>
        <w:t>本单位</w:t>
      </w:r>
      <w:r>
        <w:rPr>
          <w:rFonts w:ascii="仿宋_GB2312" w:hAnsi="仿宋_GB2312" w:eastAsia="仿宋_GB2312"/>
          <w:b w:val="0"/>
          <w:sz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进一步增强绩效管理理念。在管理和使用预算资金的过程中，</w:t>
      </w:r>
      <w:r>
        <w:rPr>
          <w:rFonts w:hint="eastAsia" w:ascii="仿宋_GB2312" w:hAnsi="仿宋_GB2312" w:eastAsia="仿宋_GB2312"/>
          <w:b w:val="0"/>
          <w:sz w:val="32"/>
          <w:lang w:eastAsia="zh-CN"/>
        </w:rPr>
        <w:t>本单位</w:t>
      </w:r>
      <w:r>
        <w:rPr>
          <w:rFonts w:ascii="仿宋_GB2312" w:hAnsi="仿宋_GB2312" w:eastAsia="仿宋_GB2312"/>
          <w:b w:val="0"/>
          <w:sz w:val="32"/>
        </w:rPr>
        <w:t>将更加突出资金使用效益，做到“花钱必问效，无效必问责”。加强与县财政绩效评价股和第三方之间的沟通，严格按照绩效评价原则，开展资金安全性、规范性的监督，确保专项资金的使用符合绩效管理要求；二是进一步加强财务素养和专业技能培训。</w:t>
      </w:r>
      <w:r>
        <w:rPr>
          <w:rFonts w:hint="eastAsia" w:ascii="仿宋_GB2312" w:hAnsi="仿宋_GB2312" w:eastAsia="仿宋_GB2312"/>
          <w:b w:val="0"/>
          <w:sz w:val="32"/>
          <w:lang w:eastAsia="zh-CN"/>
        </w:rPr>
        <w:t>本单位</w:t>
      </w:r>
      <w:r>
        <w:rPr>
          <w:rFonts w:ascii="仿宋_GB2312" w:hAnsi="仿宋_GB2312" w:eastAsia="仿宋_GB2312"/>
          <w:b w:val="0"/>
          <w:sz w:val="32"/>
        </w:rPr>
        <w:t>希望邀请县财政局，针对预算资金绩效管理和相关法律法规开展培训，学习预算绩效管理的法律法规、规范要求，让绩效理念深入人心、让绩效管理人员熟知政策、知行合一。具体附整体支出绩效自评表，项目支出绩效自评表和评价报告。</w:t>
      </w:r>
    </w:p>
    <w:p w14:paraId="1776F60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A37F555">
        <w:tblPrEx>
          <w:tblCellMar>
            <w:top w:w="0" w:type="dxa"/>
            <w:left w:w="108" w:type="dxa"/>
            <w:bottom w:w="0" w:type="dxa"/>
            <w:right w:w="108" w:type="dxa"/>
          </w:tblCellMar>
        </w:tblPrEx>
        <w:tc>
          <w:tcPr>
            <w:tcW w:w="8847" w:type="dxa"/>
            <w:gridSpan w:val="9"/>
            <w:vAlign w:val="center"/>
          </w:tcPr>
          <w:p w14:paraId="43D3C2DF">
            <w:pPr>
              <w:jc w:val="center"/>
            </w:pPr>
            <w:r>
              <w:rPr>
                <w:rFonts w:ascii="宋体" w:hAnsi="宋体" w:eastAsia="宋体"/>
                <w:sz w:val="24"/>
              </w:rPr>
              <w:t>单位整体支出绩效自评表</w:t>
            </w:r>
          </w:p>
        </w:tc>
      </w:tr>
      <w:tr w14:paraId="21F1E95E">
        <w:tblPrEx>
          <w:tblCellMar>
            <w:top w:w="0" w:type="dxa"/>
            <w:left w:w="108" w:type="dxa"/>
            <w:bottom w:w="0" w:type="dxa"/>
            <w:right w:w="108" w:type="dxa"/>
          </w:tblCellMar>
        </w:tblPrEx>
        <w:tc>
          <w:tcPr>
            <w:tcW w:w="8847" w:type="dxa"/>
            <w:gridSpan w:val="9"/>
            <w:vAlign w:val="center"/>
          </w:tcPr>
          <w:p w14:paraId="2BD2D331">
            <w:pPr>
              <w:jc w:val="center"/>
            </w:pPr>
            <w:r>
              <w:rPr>
                <w:rFonts w:ascii="宋体" w:hAnsi="宋体" w:eastAsia="宋体"/>
                <w:sz w:val="24"/>
              </w:rPr>
              <w:t>（2024年度）</w:t>
            </w:r>
          </w:p>
        </w:tc>
      </w:tr>
      <w:tr w14:paraId="59AAFA7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6E76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B12ACE9">
            <w:pPr>
              <w:jc w:val="center"/>
            </w:pPr>
            <w:r>
              <w:rPr>
                <w:rFonts w:ascii="宋体" w:hAnsi="宋体" w:eastAsia="宋体"/>
                <w:sz w:val="16"/>
              </w:rPr>
              <w:t>麦盖提县库尔玛乡人民政府</w:t>
            </w:r>
          </w:p>
        </w:tc>
      </w:tr>
      <w:tr w14:paraId="7467EA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A2D7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FF86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EB52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77DE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6D1B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3A59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C434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DBBCA">
            <w:pPr>
              <w:jc w:val="center"/>
            </w:pPr>
            <w:r>
              <w:rPr>
                <w:rFonts w:ascii="宋体" w:hAnsi="宋体" w:eastAsia="宋体"/>
                <w:sz w:val="16"/>
              </w:rPr>
              <w:t>得分</w:t>
            </w:r>
          </w:p>
        </w:tc>
      </w:tr>
      <w:tr w14:paraId="3412FB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6DD4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0991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36539">
            <w:pPr>
              <w:jc w:val="center"/>
            </w:pPr>
            <w:r>
              <w:rPr>
                <w:rFonts w:ascii="宋体" w:hAnsi="宋体" w:eastAsia="宋体"/>
                <w:sz w:val="16"/>
              </w:rPr>
              <w:t>1,705.39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07E83">
            <w:pPr>
              <w:jc w:val="center"/>
            </w:pPr>
            <w:r>
              <w:rPr>
                <w:rFonts w:ascii="宋体" w:hAnsi="宋体" w:eastAsia="宋体"/>
                <w:sz w:val="16"/>
              </w:rPr>
              <w:t>3,206.67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99064">
            <w:pPr>
              <w:jc w:val="center"/>
            </w:pPr>
            <w:r>
              <w:rPr>
                <w:rFonts w:ascii="宋体" w:hAnsi="宋体" w:eastAsia="宋体"/>
                <w:sz w:val="16"/>
              </w:rPr>
              <w:t>3,152.96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65C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BC73C">
            <w:pPr>
              <w:jc w:val="center"/>
            </w:pPr>
            <w:r>
              <w:rPr>
                <w:rFonts w:ascii="宋体" w:hAnsi="宋体" w:eastAsia="宋体"/>
                <w:sz w:val="16"/>
              </w:rPr>
              <w:t>98.33%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F2188">
            <w:pPr>
              <w:jc w:val="center"/>
            </w:pPr>
            <w:r>
              <w:rPr>
                <w:rFonts w:ascii="宋体" w:hAnsi="宋体" w:eastAsia="宋体"/>
                <w:sz w:val="16"/>
              </w:rPr>
              <w:t>9.83</w:t>
            </w:r>
          </w:p>
        </w:tc>
      </w:tr>
      <w:tr w14:paraId="0BEED4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132E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8AA7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F3B60">
            <w:pPr>
              <w:jc w:val="center"/>
            </w:pPr>
            <w:r>
              <w:rPr>
                <w:rFonts w:ascii="宋体" w:hAnsi="宋体" w:eastAsia="宋体"/>
                <w:sz w:val="16"/>
              </w:rPr>
              <w:t>96.37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C98CE">
            <w:pPr>
              <w:jc w:val="center"/>
            </w:pPr>
            <w:r>
              <w:rPr>
                <w:rFonts w:ascii="宋体" w:hAnsi="宋体" w:eastAsia="宋体"/>
                <w:sz w:val="16"/>
              </w:rPr>
              <w:t>1,660.88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AE7CB">
            <w:pPr>
              <w:jc w:val="center"/>
            </w:pPr>
            <w:r>
              <w:rPr>
                <w:rFonts w:ascii="宋体" w:hAnsi="宋体" w:eastAsia="宋体"/>
                <w:sz w:val="16"/>
              </w:rPr>
              <w:t>1,658.59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A8D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69FD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88E39">
            <w:pPr>
              <w:jc w:val="center"/>
            </w:pPr>
            <w:r>
              <w:rPr>
                <w:rFonts w:ascii="宋体" w:hAnsi="宋体" w:eastAsia="宋体"/>
                <w:sz w:val="16"/>
              </w:rPr>
              <w:t>—</w:t>
            </w:r>
          </w:p>
        </w:tc>
      </w:tr>
      <w:tr w14:paraId="3B78C8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E250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4AE2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4635C">
            <w:pPr>
              <w:jc w:val="center"/>
            </w:pPr>
            <w:r>
              <w:rPr>
                <w:rFonts w:ascii="宋体" w:hAnsi="宋体" w:eastAsia="宋体"/>
                <w:sz w:val="16"/>
              </w:rPr>
              <w:t>1,609.02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0FDEA">
            <w:pPr>
              <w:jc w:val="center"/>
            </w:pPr>
            <w:r>
              <w:rPr>
                <w:rFonts w:ascii="宋体" w:hAnsi="宋体" w:eastAsia="宋体"/>
                <w:sz w:val="16"/>
              </w:rPr>
              <w:t>1,390.71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C1999">
            <w:pPr>
              <w:jc w:val="center"/>
            </w:pPr>
            <w:r>
              <w:rPr>
                <w:rFonts w:ascii="宋体" w:hAnsi="宋体" w:eastAsia="宋体"/>
                <w:sz w:val="16"/>
              </w:rPr>
              <w:t>1,381.90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29A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76D5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6F50F">
            <w:pPr>
              <w:jc w:val="center"/>
            </w:pPr>
            <w:r>
              <w:rPr>
                <w:rFonts w:ascii="宋体" w:hAnsi="宋体" w:eastAsia="宋体"/>
                <w:sz w:val="16"/>
              </w:rPr>
              <w:t>—</w:t>
            </w:r>
          </w:p>
        </w:tc>
      </w:tr>
      <w:tr w14:paraId="348AFB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6CDE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CCB0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823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9A951">
            <w:pPr>
              <w:jc w:val="center"/>
            </w:pPr>
            <w:r>
              <w:rPr>
                <w:rFonts w:ascii="宋体" w:hAnsi="宋体" w:eastAsia="宋体"/>
                <w:sz w:val="16"/>
              </w:rPr>
              <w:t>155.08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EE630">
            <w:pPr>
              <w:jc w:val="center"/>
            </w:pPr>
            <w:r>
              <w:rPr>
                <w:rFonts w:ascii="宋体" w:hAnsi="宋体" w:eastAsia="宋体"/>
                <w:sz w:val="16"/>
              </w:rPr>
              <w:t>112.47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F2D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ECE1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CC48E">
            <w:pPr>
              <w:jc w:val="center"/>
            </w:pPr>
            <w:r>
              <w:rPr>
                <w:rFonts w:ascii="宋体" w:hAnsi="宋体" w:eastAsia="宋体"/>
                <w:sz w:val="16"/>
              </w:rPr>
              <w:t>—</w:t>
            </w:r>
          </w:p>
        </w:tc>
      </w:tr>
      <w:tr w14:paraId="4F62EA9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6AA75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6234A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4DF0EF">
            <w:pPr>
              <w:jc w:val="center"/>
              <w:rPr>
                <w:rFonts w:hint="eastAsia" w:eastAsia="宋体"/>
                <w:lang w:eastAsia="zh-CN"/>
              </w:rPr>
            </w:pPr>
            <w:r>
              <w:rPr>
                <w:rFonts w:hint="eastAsia" w:ascii="宋体" w:hAnsi="宋体"/>
                <w:sz w:val="16"/>
                <w:lang w:eastAsia="zh-CN"/>
              </w:rPr>
              <w:t>实际完成情况</w:t>
            </w:r>
          </w:p>
        </w:tc>
      </w:tr>
      <w:tr w14:paraId="324EA2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889A0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1E5FDE">
            <w:pPr>
              <w:jc w:val="both"/>
            </w:pPr>
            <w:r>
              <w:rPr>
                <w:rFonts w:ascii="宋体" w:hAnsi="宋体" w:eastAsia="宋体"/>
                <w:sz w:val="16"/>
              </w:rPr>
              <w:t>1、管理本乡内的经济、教育、科技、文化、卫生、体育事业和财政、民政、治安、人民调解、安全生产监督管理等行政工作；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w:t>
            </w:r>
            <w:r>
              <w:rPr>
                <w:rFonts w:hint="eastAsia" w:ascii="宋体" w:hAnsi="宋体"/>
                <w:sz w:val="16"/>
                <w:lang w:eastAsia="zh-CN"/>
              </w:rPr>
              <w:t>县委、县政府</w:t>
            </w:r>
            <w:r>
              <w:rPr>
                <w:rFonts w:ascii="宋体" w:hAnsi="宋体" w:eastAsia="宋体"/>
                <w:sz w:val="16"/>
              </w:rPr>
              <w:t>及上级主管部门交办的其他任务。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23331E">
            <w:pPr>
              <w:jc w:val="both"/>
            </w:pPr>
            <w:r>
              <w:rPr>
                <w:rFonts w:ascii="宋体" w:hAnsi="宋体" w:eastAsia="宋体"/>
                <w:sz w:val="16"/>
              </w:rPr>
              <w:t>2024年度部门整体支出绩效自评综合得分99.71分，评价结果为“优”。2024年</w:t>
            </w:r>
            <w:r>
              <w:rPr>
                <w:rFonts w:hint="eastAsia" w:ascii="宋体" w:hAnsi="宋体"/>
                <w:sz w:val="16"/>
                <w:lang w:eastAsia="zh-CN"/>
              </w:rPr>
              <w:t>本单位</w:t>
            </w:r>
            <w:r>
              <w:rPr>
                <w:rFonts w:ascii="宋体" w:hAnsi="宋体" w:eastAsia="宋体"/>
                <w:sz w:val="16"/>
              </w:rPr>
              <w:t>共开展12次宣传教育活动，大力发展乡村产业，劳动力就业率达99.3%，群众困难诉求解决完成率、防返贫监测覆盖率、耕地保护覆盖率均达到100%。</w:t>
            </w:r>
            <w:r>
              <w:rPr>
                <w:rFonts w:hint="eastAsia" w:ascii="宋体" w:hAnsi="宋体"/>
                <w:sz w:val="16"/>
                <w:lang w:eastAsia="zh-CN"/>
              </w:rPr>
              <w:t>本单位</w:t>
            </w:r>
            <w:r>
              <w:rPr>
                <w:rFonts w:ascii="宋体" w:hAnsi="宋体" w:eastAsia="宋体"/>
                <w:sz w:val="16"/>
              </w:rPr>
              <w:t>按照地委、行署、自治区要求，固本培元强基础，打开基层党建新局面。突出“廉”字，以落实全面从严治党要求为主线；突出“质”字，以推动党建工作提质增效为抓手；突出“亮”字，以开创亮点纷呈宣传局面为主题。聚力蓄能促发展，推动经济增长新引擎。</w:t>
            </w:r>
            <w:r>
              <w:rPr>
                <w:rFonts w:hint="eastAsia" w:ascii="宋体" w:hAnsi="宋体"/>
                <w:sz w:val="16"/>
                <w:lang w:eastAsia="zh-CN"/>
              </w:rPr>
              <w:t>全力</w:t>
            </w:r>
            <w:r>
              <w:rPr>
                <w:rFonts w:ascii="宋体" w:hAnsi="宋体" w:eastAsia="宋体"/>
                <w:sz w:val="16"/>
              </w:rPr>
              <w:t>推动库尔玛乡发展</w:t>
            </w:r>
            <w:r>
              <w:rPr>
                <w:rFonts w:hint="eastAsia" w:ascii="宋体" w:hAnsi="宋体"/>
                <w:sz w:val="16"/>
                <w:lang w:eastAsia="zh-CN"/>
              </w:rPr>
              <w:t>新型农村集体经济</w:t>
            </w:r>
            <w:r>
              <w:rPr>
                <w:rFonts w:ascii="宋体" w:hAnsi="宋体" w:eastAsia="宋体"/>
                <w:sz w:val="16"/>
              </w:rPr>
              <w:t>组织项目的实施。久久为功再发力，助推乡村振兴见实效。有序开展防返贫监测工作，抓好产业项目建设工作。积极探索“庭院增绿、村庄添美、农户增收”的庭院经济发展模式，引领村民利用房前屋后闲置空间，积极发展小菜园、小果园、小花园、小圈舍等庭院经济。持续开展生态环境保护。全面推行“河长制”“林长制”“路长制”。服务民生不止步，满足人民群众新期待。就业保障落地落实，落实开发式帮扶措施公益性岗位。</w:t>
            </w:r>
          </w:p>
        </w:tc>
      </w:tr>
      <w:tr w14:paraId="43A3351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CC88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B3B4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7886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FFBD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DAC5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BB1C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FEA8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DC0E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DEA34">
            <w:pPr>
              <w:jc w:val="center"/>
            </w:pPr>
            <w:r>
              <w:rPr>
                <w:rFonts w:ascii="宋体" w:hAnsi="宋体" w:eastAsia="宋体"/>
                <w:sz w:val="16"/>
              </w:rPr>
              <w:t>得分</w:t>
            </w:r>
          </w:p>
        </w:tc>
      </w:tr>
      <w:tr w14:paraId="0A6B94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46095">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686B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461E6">
            <w:pPr>
              <w:jc w:val="center"/>
            </w:pPr>
            <w:r>
              <w:rPr>
                <w:rFonts w:ascii="宋体" w:hAnsi="宋体" w:eastAsia="宋体"/>
                <w:sz w:val="16"/>
              </w:rPr>
              <w:t>宣传教育活动次数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E5F91">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97EB8">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1899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3E6F2">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47B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7B813">
            <w:pPr>
              <w:jc w:val="center"/>
            </w:pPr>
            <w:r>
              <w:rPr>
                <w:rFonts w:ascii="宋体" w:hAnsi="宋体" w:eastAsia="宋体"/>
                <w:sz w:val="16"/>
              </w:rPr>
              <w:t>18</w:t>
            </w:r>
          </w:p>
        </w:tc>
      </w:tr>
      <w:tr w14:paraId="069E8C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F0C30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99F7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21ECA">
            <w:pPr>
              <w:jc w:val="center"/>
            </w:pPr>
            <w:r>
              <w:rPr>
                <w:rFonts w:ascii="宋体" w:hAnsi="宋体" w:eastAsia="宋体"/>
                <w:sz w:val="16"/>
              </w:rPr>
              <w:t>劳动力就业率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DDA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66C0A">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0099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955DC">
            <w:pPr>
              <w:jc w:val="center"/>
            </w:pPr>
            <w:r>
              <w:rPr>
                <w:rFonts w:ascii="宋体" w:hAnsi="宋体" w:eastAsia="宋体"/>
                <w:sz w:val="16"/>
              </w:rPr>
              <w:t>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084BA">
            <w:pPr>
              <w:jc w:val="center"/>
            </w:pPr>
            <w:r>
              <w:rPr>
                <w:rFonts w:ascii="宋体" w:hAnsi="宋体" w:eastAsia="宋体"/>
                <w:sz w:val="16"/>
              </w:rPr>
              <w:t>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7DAA3">
            <w:pPr>
              <w:jc w:val="center"/>
            </w:pPr>
            <w:r>
              <w:rPr>
                <w:rFonts w:ascii="宋体" w:hAnsi="宋体" w:eastAsia="宋体"/>
                <w:sz w:val="16"/>
              </w:rPr>
              <w:t>17.88</w:t>
            </w:r>
          </w:p>
        </w:tc>
      </w:tr>
      <w:tr w14:paraId="2D99B1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222B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02DA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2B910">
            <w:pPr>
              <w:jc w:val="center"/>
            </w:pPr>
            <w:r>
              <w:rPr>
                <w:rFonts w:ascii="宋体" w:hAnsi="宋体" w:eastAsia="宋体"/>
                <w:sz w:val="16"/>
              </w:rPr>
              <w:t>群众困难诉求解决完成率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F84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10723">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F18D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CE6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935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E2200">
            <w:pPr>
              <w:jc w:val="center"/>
            </w:pPr>
            <w:r>
              <w:rPr>
                <w:rFonts w:ascii="宋体" w:hAnsi="宋体" w:eastAsia="宋体"/>
                <w:sz w:val="16"/>
              </w:rPr>
              <w:t>18</w:t>
            </w:r>
          </w:p>
        </w:tc>
      </w:tr>
      <w:tr w14:paraId="7567F7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487C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9B05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8B0A0">
            <w:pPr>
              <w:jc w:val="center"/>
            </w:pPr>
            <w:r>
              <w:rPr>
                <w:rFonts w:ascii="宋体" w:hAnsi="宋体" w:eastAsia="宋体"/>
                <w:sz w:val="16"/>
              </w:rPr>
              <w:t>防返贫监测覆盖率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0D7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40415">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C717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4ED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F63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684E3">
            <w:pPr>
              <w:jc w:val="center"/>
            </w:pPr>
            <w:r>
              <w:rPr>
                <w:rFonts w:ascii="宋体" w:hAnsi="宋体" w:eastAsia="宋体"/>
                <w:sz w:val="16"/>
              </w:rPr>
              <w:t>18</w:t>
            </w:r>
          </w:p>
        </w:tc>
      </w:tr>
      <w:tr w14:paraId="482FE8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488E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C5AF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F762B">
            <w:pPr>
              <w:jc w:val="center"/>
            </w:pPr>
            <w:r>
              <w:rPr>
                <w:rFonts w:ascii="宋体" w:hAnsi="宋体" w:eastAsia="宋体"/>
                <w:sz w:val="16"/>
              </w:rPr>
              <w:t>耕地保护覆盖率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2DB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CEA9F">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1312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096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302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E651B">
            <w:pPr>
              <w:jc w:val="center"/>
            </w:pPr>
            <w:r>
              <w:rPr>
                <w:rFonts w:ascii="宋体" w:hAnsi="宋体" w:eastAsia="宋体"/>
                <w:sz w:val="16"/>
              </w:rPr>
              <w:t>18</w:t>
            </w:r>
          </w:p>
        </w:tc>
      </w:tr>
    </w:tbl>
    <w:p w14:paraId="5F647B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AF2DBBE">
        <w:tblPrEx>
          <w:tblCellMar>
            <w:top w:w="0" w:type="dxa"/>
            <w:left w:w="108" w:type="dxa"/>
            <w:bottom w:w="0" w:type="dxa"/>
            <w:right w:w="108" w:type="dxa"/>
          </w:tblCellMar>
        </w:tblPrEx>
        <w:tc>
          <w:tcPr>
            <w:tcW w:w="8848" w:type="dxa"/>
            <w:gridSpan w:val="14"/>
            <w:vAlign w:val="center"/>
          </w:tcPr>
          <w:p w14:paraId="6ACF9AD7">
            <w:pPr>
              <w:jc w:val="center"/>
            </w:pPr>
            <w:r>
              <w:rPr>
                <w:rFonts w:ascii="宋体" w:hAnsi="宋体" w:eastAsia="宋体"/>
                <w:sz w:val="24"/>
              </w:rPr>
              <w:t>项目支出绩效自评表</w:t>
            </w:r>
          </w:p>
        </w:tc>
      </w:tr>
      <w:tr w14:paraId="3149F7FD">
        <w:tblPrEx>
          <w:tblCellMar>
            <w:top w:w="0" w:type="dxa"/>
            <w:left w:w="108" w:type="dxa"/>
            <w:bottom w:w="0" w:type="dxa"/>
            <w:right w:w="108" w:type="dxa"/>
          </w:tblCellMar>
        </w:tblPrEx>
        <w:tc>
          <w:tcPr>
            <w:tcW w:w="8848" w:type="dxa"/>
            <w:gridSpan w:val="14"/>
            <w:vAlign w:val="center"/>
          </w:tcPr>
          <w:p w14:paraId="0DACED8D">
            <w:pPr>
              <w:jc w:val="center"/>
            </w:pPr>
            <w:r>
              <w:rPr>
                <w:rFonts w:ascii="宋体" w:hAnsi="宋体" w:eastAsia="宋体"/>
                <w:sz w:val="24"/>
              </w:rPr>
              <w:t>(2024年度)</w:t>
            </w:r>
          </w:p>
        </w:tc>
      </w:tr>
      <w:tr w14:paraId="733B87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D85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E7E62D">
            <w:pPr>
              <w:jc w:val="center"/>
            </w:pPr>
            <w:r>
              <w:rPr>
                <w:rFonts w:ascii="宋体" w:hAnsi="宋体" w:eastAsia="宋体"/>
                <w:sz w:val="16"/>
              </w:rPr>
              <w:t>2024年麦盖提县库尔玛乡业务活动项目</w:t>
            </w:r>
          </w:p>
        </w:tc>
      </w:tr>
      <w:tr w14:paraId="0293A7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92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5B6DDF">
            <w:pPr>
              <w:jc w:val="center"/>
            </w:pPr>
            <w:r>
              <w:rPr>
                <w:rFonts w:ascii="宋体" w:hAnsi="宋体" w:eastAsia="宋体"/>
                <w:sz w:val="16"/>
              </w:rPr>
              <w:t>麦盖提县库尔玛乡人民政府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A5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3E1A42">
            <w:pPr>
              <w:jc w:val="center"/>
            </w:pPr>
            <w:r>
              <w:rPr>
                <w:rFonts w:ascii="宋体" w:hAnsi="宋体" w:eastAsia="宋体"/>
                <w:sz w:val="16"/>
              </w:rPr>
              <w:t>麦盖提县库尔玛乡人民政府</w:t>
            </w:r>
          </w:p>
        </w:tc>
      </w:tr>
      <w:tr w14:paraId="0DE13B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D5D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3A8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E62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64B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2F8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320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F46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682F">
            <w:pPr>
              <w:jc w:val="center"/>
            </w:pPr>
            <w:r>
              <w:rPr>
                <w:rFonts w:ascii="宋体" w:hAnsi="宋体" w:eastAsia="宋体"/>
                <w:sz w:val="16"/>
              </w:rPr>
              <w:t>得分</w:t>
            </w:r>
          </w:p>
        </w:tc>
      </w:tr>
      <w:tr w14:paraId="3A127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98B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150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490F8">
            <w:pPr>
              <w:jc w:val="center"/>
            </w:pPr>
            <w:r>
              <w:rPr>
                <w:rFonts w:ascii="宋体" w:hAnsi="宋体" w:eastAsia="宋体"/>
                <w:sz w:val="16"/>
              </w:rPr>
              <w:t>91.01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6757A">
            <w:pPr>
              <w:jc w:val="center"/>
            </w:pPr>
            <w:r>
              <w:rPr>
                <w:rFonts w:ascii="宋体" w:hAnsi="宋体" w:eastAsia="宋体"/>
                <w:sz w:val="16"/>
              </w:rPr>
              <w:t>121.34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6FD30">
            <w:pPr>
              <w:jc w:val="center"/>
            </w:pPr>
            <w:r>
              <w:rPr>
                <w:rFonts w:ascii="宋体" w:hAnsi="宋体" w:eastAsia="宋体"/>
                <w:sz w:val="16"/>
              </w:rPr>
              <w:t>121.34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D9B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670C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F60D">
            <w:pPr>
              <w:jc w:val="center"/>
            </w:pPr>
            <w:r>
              <w:rPr>
                <w:rFonts w:ascii="宋体" w:hAnsi="宋体" w:eastAsia="宋体"/>
                <w:sz w:val="16"/>
              </w:rPr>
              <w:t>10.00分</w:t>
            </w:r>
          </w:p>
        </w:tc>
      </w:tr>
      <w:tr w14:paraId="2186D4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DE5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79C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141FC">
            <w:pPr>
              <w:jc w:val="center"/>
            </w:pPr>
            <w:r>
              <w:rPr>
                <w:rFonts w:ascii="宋体" w:hAnsi="宋体" w:eastAsia="宋体"/>
                <w:sz w:val="16"/>
              </w:rPr>
              <w:t>91.01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1A5E5">
            <w:pPr>
              <w:jc w:val="center"/>
            </w:pPr>
            <w:r>
              <w:rPr>
                <w:rFonts w:ascii="宋体" w:hAnsi="宋体" w:eastAsia="宋体"/>
                <w:sz w:val="16"/>
              </w:rPr>
              <w:t>121.34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5F24E">
            <w:pPr>
              <w:jc w:val="center"/>
            </w:pPr>
            <w:r>
              <w:rPr>
                <w:rFonts w:ascii="宋体" w:hAnsi="宋体" w:eastAsia="宋体"/>
                <w:sz w:val="16"/>
              </w:rPr>
              <w:t>121.34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169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8A8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31AB">
            <w:pPr>
              <w:jc w:val="center"/>
            </w:pPr>
            <w:r>
              <w:rPr>
                <w:rFonts w:ascii="宋体" w:hAnsi="宋体" w:eastAsia="宋体"/>
                <w:sz w:val="16"/>
              </w:rPr>
              <w:t>—</w:t>
            </w:r>
          </w:p>
        </w:tc>
      </w:tr>
      <w:tr w14:paraId="4585C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4BB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5F1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86C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430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137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FFD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26F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8557">
            <w:pPr>
              <w:jc w:val="center"/>
            </w:pPr>
            <w:r>
              <w:rPr>
                <w:rFonts w:ascii="宋体" w:hAnsi="宋体" w:eastAsia="宋体"/>
                <w:sz w:val="16"/>
              </w:rPr>
              <w:t>—</w:t>
            </w:r>
          </w:p>
        </w:tc>
      </w:tr>
      <w:tr w14:paraId="73B938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30CD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854F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A7F5CD">
            <w:pPr>
              <w:jc w:val="center"/>
            </w:pPr>
            <w:r>
              <w:rPr>
                <w:rFonts w:ascii="宋体" w:hAnsi="宋体" w:eastAsia="宋体"/>
                <w:sz w:val="16"/>
              </w:rPr>
              <w:t>实际完成情况</w:t>
            </w:r>
          </w:p>
        </w:tc>
      </w:tr>
      <w:tr w14:paraId="4856D0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2A4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413741">
            <w:pPr>
              <w:jc w:val="both"/>
            </w:pPr>
            <w:r>
              <w:rPr>
                <w:rFonts w:ascii="宋体" w:hAnsi="宋体" w:eastAsia="宋体"/>
                <w:sz w:val="16"/>
              </w:rPr>
              <w:t>2024年本项目总投资121.34万元，主要用于保障</w:t>
            </w:r>
            <w:r>
              <w:rPr>
                <w:rFonts w:hint="eastAsia" w:ascii="宋体" w:hAnsi="宋体"/>
                <w:sz w:val="16"/>
                <w:lang w:eastAsia="zh-CN"/>
              </w:rPr>
              <w:t>本单位</w:t>
            </w:r>
            <w:r>
              <w:rPr>
                <w:rFonts w:ascii="宋体" w:hAnsi="宋体" w:eastAsia="宋体"/>
                <w:sz w:val="16"/>
              </w:rPr>
              <w:t>5个内设股室日常运转及2辆公务用车日常运行维护，项目的实施可有效提升社会公众服务能力，保障单位日常工作正常开展。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ADB16A">
            <w:pPr>
              <w:jc w:val="both"/>
            </w:pPr>
            <w:r>
              <w:rPr>
                <w:rFonts w:ascii="宋体" w:hAnsi="宋体" w:eastAsia="宋体"/>
                <w:sz w:val="16"/>
              </w:rPr>
              <w:t>2024年麦盖提县库尔玛乡业务活动项目，项目预算金额为121.34万元，截至绩效自评日，实际支出121.34万元，保障了</w:t>
            </w:r>
            <w:r>
              <w:rPr>
                <w:rFonts w:hint="eastAsia" w:ascii="宋体" w:hAnsi="宋体"/>
                <w:sz w:val="16"/>
                <w:lang w:eastAsia="zh-CN"/>
              </w:rPr>
              <w:t>本单位</w:t>
            </w:r>
            <w:r>
              <w:rPr>
                <w:rFonts w:ascii="宋体" w:hAnsi="宋体" w:eastAsia="宋体"/>
                <w:sz w:val="16"/>
              </w:rPr>
              <w:t>5个内设股室日常运转及2辆公务用车日常运行维护，项目的实施有效提升社会公众服务能力，保障单位日常工作正常开展。</w:t>
            </w:r>
          </w:p>
        </w:tc>
      </w:tr>
      <w:tr w14:paraId="12DDBC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3A1D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55A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97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9A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670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54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BE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A081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7D3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D2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E1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442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DA58C">
            <w:pPr>
              <w:jc w:val="center"/>
            </w:pPr>
            <w:r>
              <w:rPr>
                <w:rFonts w:ascii="宋体" w:hAnsi="宋体" w:eastAsia="宋体"/>
                <w:sz w:val="16"/>
              </w:rPr>
              <w:t>偏差原因分析及改进措施</w:t>
            </w:r>
          </w:p>
        </w:tc>
      </w:tr>
      <w:tr w14:paraId="55F822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B13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7D40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3CC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C0F3F">
            <w:pPr>
              <w:jc w:val="center"/>
            </w:pPr>
            <w:r>
              <w:rPr>
                <w:rFonts w:ascii="宋体" w:hAnsi="宋体" w:eastAsia="宋体"/>
                <w:sz w:val="16"/>
              </w:rPr>
              <w:t>保障办公室数量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E85E">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7AC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2B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7C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6D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A5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11EB6">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94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91323">
            <w:pPr>
              <w:jc w:val="center"/>
            </w:pPr>
          </w:p>
        </w:tc>
      </w:tr>
      <w:tr w14:paraId="007BC0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3AF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458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1C6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8E97">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E653">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EA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7E2E">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E44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4C6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9F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5AA5">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1B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BB2C2">
            <w:pPr>
              <w:jc w:val="center"/>
            </w:pPr>
          </w:p>
        </w:tc>
      </w:tr>
      <w:tr w14:paraId="37D3F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75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301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DE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E0F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1F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16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1F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B6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30C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C1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067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83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FFD6E">
            <w:pPr>
              <w:jc w:val="center"/>
            </w:pPr>
          </w:p>
        </w:tc>
      </w:tr>
      <w:tr w14:paraId="7D3C3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A44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99B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B6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BA23">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9AA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6A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93F4">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5C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4C5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CE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3ACA">
            <w:pPr>
              <w:jc w:val="center"/>
            </w:pPr>
            <w:r>
              <w:rPr>
                <w:rFonts w:ascii="宋体" w:hAnsi="宋体" w:eastAsia="宋体"/>
                <w:sz w:val="16"/>
              </w:rPr>
              <w:t>2024年11月6日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10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E424E">
            <w:pPr>
              <w:jc w:val="center"/>
            </w:pPr>
          </w:p>
        </w:tc>
      </w:tr>
      <w:tr w14:paraId="4DFB39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7DF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06C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A28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8C4F">
            <w:pPr>
              <w:jc w:val="center"/>
            </w:pPr>
            <w:r>
              <w:rPr>
                <w:rFonts w:ascii="宋体" w:hAnsi="宋体" w:eastAsia="宋体"/>
                <w:sz w:val="16"/>
              </w:rPr>
              <w:t>保障办公运转成本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47F0">
            <w:pPr>
              <w:jc w:val="center"/>
            </w:pPr>
            <w:r>
              <w:rPr>
                <w:rFonts w:ascii="宋体" w:hAnsi="宋体" w:eastAsia="宋体"/>
                <w:sz w:val="16"/>
              </w:rPr>
              <w:t>&lt;=87.68万元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8C3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15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274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5F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D68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04B2">
            <w:pPr>
              <w:jc w:val="center"/>
            </w:pPr>
            <w:r>
              <w:rPr>
                <w:rFonts w:ascii="宋体" w:hAnsi="宋体" w:eastAsia="宋体"/>
                <w:sz w:val="16"/>
              </w:rPr>
              <w:t>=87.68万元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635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181D8">
            <w:pPr>
              <w:jc w:val="center"/>
            </w:pPr>
          </w:p>
        </w:tc>
      </w:tr>
      <w:tr w14:paraId="5F46C2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8C7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57A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57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5769">
            <w:pPr>
              <w:jc w:val="center"/>
            </w:pPr>
            <w:r>
              <w:rPr>
                <w:rFonts w:ascii="宋体" w:hAnsi="宋体" w:eastAsia="宋体"/>
                <w:sz w:val="16"/>
              </w:rPr>
              <w:t>保障公务用车运行成本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9E00">
            <w:pPr>
              <w:jc w:val="center"/>
            </w:pPr>
            <w:r>
              <w:rPr>
                <w:rFonts w:ascii="宋体" w:hAnsi="宋体" w:eastAsia="宋体"/>
                <w:sz w:val="16"/>
              </w:rPr>
              <w:t>&lt;=3.33万元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50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D7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A83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F9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416D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1AE6">
            <w:pPr>
              <w:jc w:val="center"/>
            </w:pPr>
            <w:r>
              <w:rPr>
                <w:rFonts w:ascii="宋体" w:hAnsi="宋体" w:eastAsia="宋体"/>
                <w:sz w:val="16"/>
              </w:rPr>
              <w: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B0C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3327D">
            <w:pPr>
              <w:jc w:val="center"/>
            </w:pPr>
          </w:p>
        </w:tc>
      </w:tr>
      <w:tr w14:paraId="702A9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B30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CC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43D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DDCF7">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A62F">
            <w:pPr>
              <w:jc w:val="center"/>
            </w:pPr>
            <w:r>
              <w:rPr>
                <w:rFonts w:ascii="宋体" w:hAnsi="宋体" w:eastAsia="宋体"/>
                <w:sz w:val="16"/>
              </w:rPr>
              <w:t>&lt;=38.14万元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5E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B7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D11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01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B4F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8FC26">
            <w:pPr>
              <w:jc w:val="center"/>
            </w:pPr>
            <w:r>
              <w:rPr>
                <w:rFonts w:ascii="宋体" w:hAnsi="宋体" w:eastAsia="宋体"/>
                <w:sz w:val="16"/>
              </w:rPr>
              <w:t>=38.14万元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7DF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6EBCD">
            <w:pPr>
              <w:jc w:val="center"/>
            </w:pPr>
          </w:p>
        </w:tc>
      </w:tr>
      <w:tr w14:paraId="416B79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6D7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80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535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4F75">
            <w:pPr>
              <w:jc w:val="center"/>
            </w:pPr>
            <w:r>
              <w:rPr>
                <w:rFonts w:ascii="宋体" w:hAnsi="宋体" w:eastAsia="宋体"/>
                <w:sz w:val="16"/>
              </w:rPr>
              <w:t>保障单位日常工作正常开展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CF12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F48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0F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D1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F0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5C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9B32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D2A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55B1C">
            <w:pPr>
              <w:jc w:val="center"/>
            </w:pPr>
          </w:p>
        </w:tc>
      </w:tr>
      <w:tr w14:paraId="10B07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5A4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4F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DC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188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FB3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14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01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EF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D0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FF7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95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D41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60B52">
            <w:pPr>
              <w:jc w:val="center"/>
            </w:pPr>
          </w:p>
        </w:tc>
      </w:tr>
      <w:tr w14:paraId="455B59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9894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4AAC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FDF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EEDB8A">
            <w:pPr>
              <w:jc w:val="center"/>
            </w:pPr>
            <w:r>
              <w:rPr>
                <w:rFonts w:ascii="宋体" w:hAnsi="宋体" w:eastAsia="宋体"/>
                <w:sz w:val="16"/>
              </w:rPr>
              <w:t>100分</w:t>
            </w:r>
          </w:p>
        </w:tc>
      </w:tr>
    </w:tbl>
    <w:p w14:paraId="5F3BCEA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9A012CA">
        <w:tblPrEx>
          <w:tblCellMar>
            <w:top w:w="0" w:type="dxa"/>
            <w:left w:w="108" w:type="dxa"/>
            <w:bottom w:w="0" w:type="dxa"/>
            <w:right w:w="108" w:type="dxa"/>
          </w:tblCellMar>
        </w:tblPrEx>
        <w:tc>
          <w:tcPr>
            <w:tcW w:w="8848" w:type="dxa"/>
            <w:gridSpan w:val="14"/>
            <w:vAlign w:val="center"/>
          </w:tcPr>
          <w:p w14:paraId="0D55E6D8">
            <w:pPr>
              <w:jc w:val="center"/>
            </w:pPr>
            <w:r>
              <w:rPr>
                <w:rFonts w:ascii="宋体" w:hAnsi="宋体" w:eastAsia="宋体"/>
                <w:sz w:val="24"/>
              </w:rPr>
              <w:t>项目支出绩效自评表</w:t>
            </w:r>
          </w:p>
        </w:tc>
      </w:tr>
      <w:tr w14:paraId="3F0CAEBC">
        <w:tblPrEx>
          <w:tblCellMar>
            <w:top w:w="0" w:type="dxa"/>
            <w:left w:w="108" w:type="dxa"/>
            <w:bottom w:w="0" w:type="dxa"/>
            <w:right w:w="108" w:type="dxa"/>
          </w:tblCellMar>
        </w:tblPrEx>
        <w:tc>
          <w:tcPr>
            <w:tcW w:w="8848" w:type="dxa"/>
            <w:gridSpan w:val="14"/>
            <w:vAlign w:val="center"/>
          </w:tcPr>
          <w:p w14:paraId="27653C71">
            <w:pPr>
              <w:jc w:val="center"/>
            </w:pPr>
            <w:r>
              <w:rPr>
                <w:rFonts w:ascii="宋体" w:hAnsi="宋体" w:eastAsia="宋体"/>
                <w:sz w:val="24"/>
              </w:rPr>
              <w:t>(2024年度)</w:t>
            </w:r>
          </w:p>
        </w:tc>
      </w:tr>
      <w:tr w14:paraId="233542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1D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6DCC95">
            <w:pPr>
              <w:jc w:val="center"/>
            </w:pPr>
            <w:r>
              <w:rPr>
                <w:rFonts w:ascii="宋体" w:hAnsi="宋体" w:eastAsia="宋体"/>
                <w:sz w:val="16"/>
              </w:rPr>
              <w:t>麦盖提县库尔玛乡土地平整项目（增减挂）</w:t>
            </w:r>
          </w:p>
        </w:tc>
      </w:tr>
      <w:tr w14:paraId="6F58D2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378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DEF434">
            <w:pPr>
              <w:jc w:val="center"/>
            </w:pPr>
            <w:r>
              <w:rPr>
                <w:rFonts w:ascii="宋体" w:hAnsi="宋体" w:eastAsia="宋体"/>
                <w:sz w:val="16"/>
              </w:rPr>
              <w:t>麦盖提县库尔玛乡人民政府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2BE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75E966">
            <w:pPr>
              <w:jc w:val="center"/>
            </w:pPr>
            <w:r>
              <w:rPr>
                <w:rFonts w:ascii="宋体" w:hAnsi="宋体" w:eastAsia="宋体"/>
                <w:sz w:val="16"/>
              </w:rPr>
              <w:t>麦盖提县库尔玛乡人民政府</w:t>
            </w:r>
          </w:p>
        </w:tc>
      </w:tr>
      <w:tr w14:paraId="2069A9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5707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225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E47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89E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262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8DE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2AB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EEB4">
            <w:pPr>
              <w:jc w:val="center"/>
            </w:pPr>
            <w:r>
              <w:rPr>
                <w:rFonts w:ascii="宋体" w:hAnsi="宋体" w:eastAsia="宋体"/>
                <w:sz w:val="16"/>
              </w:rPr>
              <w:t>得分</w:t>
            </w:r>
          </w:p>
        </w:tc>
      </w:tr>
      <w:tr w14:paraId="5E9C2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909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D80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1E94A">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C1C2D">
            <w:pPr>
              <w:jc w:val="center"/>
            </w:pPr>
            <w:r>
              <w:rPr>
                <w:rFonts w:ascii="宋体" w:hAnsi="宋体" w:eastAsia="宋体"/>
                <w:sz w:val="16"/>
              </w:rPr>
              <w:t>395.51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50413">
            <w:pPr>
              <w:jc w:val="center"/>
            </w:pPr>
            <w:r>
              <w:rPr>
                <w:rFonts w:ascii="宋体" w:hAnsi="宋体" w:eastAsia="宋体"/>
                <w:sz w:val="16"/>
              </w:rPr>
              <w:t>395.51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BE1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DF69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4EDCB">
            <w:pPr>
              <w:jc w:val="center"/>
            </w:pPr>
            <w:r>
              <w:rPr>
                <w:rFonts w:ascii="宋体" w:hAnsi="宋体" w:eastAsia="宋体"/>
                <w:sz w:val="16"/>
              </w:rPr>
              <w:t>10.00分</w:t>
            </w:r>
          </w:p>
        </w:tc>
      </w:tr>
      <w:tr w14:paraId="78FDC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430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F5C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92AAB">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35E44">
            <w:pPr>
              <w:jc w:val="center"/>
            </w:pPr>
            <w:r>
              <w:rPr>
                <w:rFonts w:ascii="宋体" w:hAnsi="宋体" w:eastAsia="宋体"/>
                <w:sz w:val="16"/>
              </w:rPr>
              <w:t>395.51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1ECBD">
            <w:pPr>
              <w:jc w:val="center"/>
            </w:pPr>
            <w:r>
              <w:rPr>
                <w:rFonts w:ascii="宋体" w:hAnsi="宋体" w:eastAsia="宋体"/>
                <w:sz w:val="16"/>
              </w:rPr>
              <w:t>395.51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FC9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A60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CB9E">
            <w:pPr>
              <w:jc w:val="center"/>
            </w:pPr>
            <w:r>
              <w:rPr>
                <w:rFonts w:ascii="宋体" w:hAnsi="宋体" w:eastAsia="宋体"/>
                <w:sz w:val="16"/>
              </w:rPr>
              <w:t>—</w:t>
            </w:r>
          </w:p>
        </w:tc>
      </w:tr>
      <w:tr w14:paraId="1D44F3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3C3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1C3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23D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116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36C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DDA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63D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F130">
            <w:pPr>
              <w:jc w:val="center"/>
            </w:pPr>
            <w:r>
              <w:rPr>
                <w:rFonts w:ascii="宋体" w:hAnsi="宋体" w:eastAsia="宋体"/>
                <w:sz w:val="16"/>
              </w:rPr>
              <w:t>—</w:t>
            </w:r>
          </w:p>
        </w:tc>
      </w:tr>
      <w:tr w14:paraId="25AC96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5625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D59C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7905CD">
            <w:pPr>
              <w:jc w:val="center"/>
            </w:pPr>
            <w:r>
              <w:rPr>
                <w:rFonts w:ascii="宋体" w:hAnsi="宋体" w:eastAsia="宋体"/>
                <w:sz w:val="16"/>
              </w:rPr>
              <w:t>实际完成情况</w:t>
            </w:r>
          </w:p>
        </w:tc>
      </w:tr>
      <w:tr w14:paraId="23BABE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3C5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AC9B77">
            <w:pPr>
              <w:jc w:val="both"/>
            </w:pPr>
            <w:r>
              <w:rPr>
                <w:rFonts w:ascii="宋体" w:hAnsi="宋体" w:eastAsia="宋体"/>
                <w:sz w:val="16"/>
              </w:rPr>
              <w:t>麦盖提县库尔玛乡土地平整项目（增减挂）计划总投资395.51元，主要用于1个行政村的116亩土地平整，提高土地利用效率，促进村集体经济发展，壮大农村集体经济建设提升。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489697">
            <w:pPr>
              <w:jc w:val="both"/>
            </w:pPr>
            <w:r>
              <w:rPr>
                <w:rFonts w:ascii="宋体" w:hAnsi="宋体" w:eastAsia="宋体"/>
                <w:sz w:val="16"/>
              </w:rPr>
              <w:t>麦盖提县库尔玛乡土地平整项目（增减挂）计划总投资395.51元，截至绩效自评日，实际支出395.51万元，用于1个行政村的116亩土地平整，项目的实施提高了土地利用效率，促进村集体经济发展，壮大农村集体经济建设发展。</w:t>
            </w:r>
          </w:p>
        </w:tc>
      </w:tr>
      <w:tr w14:paraId="70C72A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9F92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42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35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E1C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AC0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9D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B0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465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2F0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4E6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EB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71F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9529B">
            <w:pPr>
              <w:jc w:val="center"/>
            </w:pPr>
            <w:r>
              <w:rPr>
                <w:rFonts w:ascii="宋体" w:hAnsi="宋体" w:eastAsia="宋体"/>
                <w:sz w:val="16"/>
              </w:rPr>
              <w:t>偏差原因分析及改进措施</w:t>
            </w:r>
          </w:p>
        </w:tc>
      </w:tr>
      <w:tr w14:paraId="772764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441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A0F4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F86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740C">
            <w:pPr>
              <w:jc w:val="center"/>
            </w:pPr>
            <w:r>
              <w:rPr>
                <w:rFonts w:ascii="宋体" w:hAnsi="宋体" w:eastAsia="宋体"/>
                <w:sz w:val="16"/>
              </w:rPr>
              <w:t>项目覆盖行政村数量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882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C8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EC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0A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2A1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D9E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7024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63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FBD04">
            <w:pPr>
              <w:jc w:val="center"/>
            </w:pPr>
          </w:p>
        </w:tc>
      </w:tr>
      <w:tr w14:paraId="4C49BF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1FC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006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AA7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E7CE">
            <w:pPr>
              <w:jc w:val="center"/>
            </w:pPr>
            <w:r>
              <w:rPr>
                <w:rFonts w:ascii="宋体" w:hAnsi="宋体" w:eastAsia="宋体"/>
                <w:sz w:val="16"/>
              </w:rPr>
              <w:t>土地平整数量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4D463">
            <w:pPr>
              <w:jc w:val="center"/>
            </w:pPr>
            <w:r>
              <w:rPr>
                <w:rFonts w:ascii="宋体" w:hAnsi="宋体" w:eastAsia="宋体"/>
                <w:sz w:val="16"/>
              </w:rPr>
              <w:t>&gt;=116亩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B1C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55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BCD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FD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432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29400">
            <w:pPr>
              <w:jc w:val="center"/>
            </w:pPr>
            <w:r>
              <w:rPr>
                <w:rFonts w:ascii="宋体" w:hAnsi="宋体" w:eastAsia="宋体"/>
                <w:sz w:val="16"/>
              </w:rPr>
              <w:t>=116亩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C1D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1826C">
            <w:pPr>
              <w:jc w:val="center"/>
            </w:pPr>
          </w:p>
        </w:tc>
      </w:tr>
      <w:tr w14:paraId="2A349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846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267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57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79B7F">
            <w:pPr>
              <w:jc w:val="center"/>
            </w:pPr>
            <w:r>
              <w:rPr>
                <w:rFonts w:ascii="宋体" w:hAnsi="宋体" w:eastAsia="宋体"/>
                <w:sz w:val="16"/>
              </w:rPr>
              <w:t>土地验收合格率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95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63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F5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29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63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6CA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39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A8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24691">
            <w:pPr>
              <w:jc w:val="center"/>
            </w:pPr>
          </w:p>
        </w:tc>
      </w:tr>
      <w:tr w14:paraId="23C07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7D5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387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7A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3D2B">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428D">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0D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3B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14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2A3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8526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1FB1">
            <w:pPr>
              <w:jc w:val="center"/>
            </w:pPr>
            <w:r>
              <w:rPr>
                <w:rFonts w:ascii="宋体" w:hAnsi="宋体" w:eastAsia="宋体"/>
                <w:sz w:val="16"/>
              </w:rPr>
              <w:t>2024年10月29日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728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CFAB2">
            <w:pPr>
              <w:jc w:val="center"/>
            </w:pPr>
          </w:p>
        </w:tc>
      </w:tr>
      <w:tr w14:paraId="07178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3B6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B97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D0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1D70">
            <w:pPr>
              <w:jc w:val="center"/>
            </w:pPr>
            <w:r>
              <w:rPr>
                <w:rFonts w:ascii="宋体" w:hAnsi="宋体" w:eastAsia="宋体"/>
                <w:sz w:val="16"/>
              </w:rPr>
              <w:t>项目投资成本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793E7">
            <w:pPr>
              <w:jc w:val="center"/>
            </w:pPr>
            <w:r>
              <w:rPr>
                <w:rFonts w:ascii="宋体" w:hAnsi="宋体" w:eastAsia="宋体"/>
                <w:sz w:val="16"/>
              </w:rPr>
              <w:t>&lt;=3.41万元/亩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D4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6F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1EA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04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12A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9682">
            <w:pPr>
              <w:jc w:val="center"/>
            </w:pPr>
            <w:r>
              <w:rPr>
                <w:rFonts w:ascii="宋体" w:hAnsi="宋体" w:eastAsia="宋体"/>
                <w:sz w:val="16"/>
              </w:rPr>
              <w:t>=3.41万元/亩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18F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3253B">
            <w:pPr>
              <w:jc w:val="center"/>
            </w:pPr>
          </w:p>
        </w:tc>
      </w:tr>
      <w:tr w14:paraId="7FAD3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609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C5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A5D4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E247">
            <w:pPr>
              <w:jc w:val="center"/>
            </w:pPr>
            <w:r>
              <w:rPr>
                <w:rFonts w:ascii="宋体" w:hAnsi="宋体" w:eastAsia="宋体"/>
                <w:sz w:val="16"/>
              </w:rPr>
              <w:t>提高土地利用效率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63E2">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3B8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B2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64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15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A5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4595">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470E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1FE74">
            <w:pPr>
              <w:jc w:val="center"/>
            </w:pPr>
          </w:p>
        </w:tc>
      </w:tr>
      <w:tr w14:paraId="7B92D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CD1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D25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D46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6C5C">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05A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15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5A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54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1E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91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4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BC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21B61">
            <w:pPr>
              <w:jc w:val="center"/>
            </w:pPr>
          </w:p>
        </w:tc>
      </w:tr>
      <w:tr w14:paraId="7C6FB8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CF5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72CC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D88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1C0194">
            <w:pPr>
              <w:jc w:val="center"/>
            </w:pPr>
            <w:r>
              <w:rPr>
                <w:rFonts w:ascii="宋体" w:hAnsi="宋体" w:eastAsia="宋体"/>
                <w:sz w:val="16"/>
              </w:rPr>
              <w:t>100分</w:t>
            </w:r>
          </w:p>
        </w:tc>
      </w:tr>
    </w:tbl>
    <w:p w14:paraId="61F33C18">
      <w:r>
        <w:br w:type="page"/>
      </w:r>
    </w:p>
    <w:p w14:paraId="4F0B3A32">
      <w:pPr>
        <w:spacing w:line="640" w:lineRule="exact"/>
        <w:ind w:firstLine="640"/>
        <w:jc w:val="both"/>
        <w:outlineLvl w:val="2"/>
      </w:pPr>
      <w:r>
        <w:rPr>
          <w:rFonts w:ascii="黑体" w:hAnsi="黑体" w:eastAsia="黑体"/>
          <w:sz w:val="32"/>
        </w:rPr>
        <w:t>十二、其他需说明的事项</w:t>
      </w:r>
    </w:p>
    <w:p w14:paraId="31561165">
      <w:pPr>
        <w:spacing w:line="580" w:lineRule="exact"/>
        <w:ind w:firstLine="640"/>
        <w:jc w:val="both"/>
      </w:pPr>
      <w:r>
        <w:rPr>
          <w:rFonts w:ascii="仿宋_GB2312" w:hAnsi="仿宋_GB2312" w:eastAsia="仿宋_GB2312"/>
          <w:b w:val="0"/>
          <w:sz w:val="32"/>
        </w:rPr>
        <w:t>本单位无其他需说明的事项。</w:t>
      </w:r>
    </w:p>
    <w:p w14:paraId="5D1497C9">
      <w:r>
        <w:br w:type="page"/>
      </w:r>
    </w:p>
    <w:p w14:paraId="1F72AC7C">
      <w:pPr>
        <w:spacing w:line="240" w:lineRule="auto"/>
        <w:jc w:val="center"/>
        <w:outlineLvl w:val="1"/>
      </w:pPr>
      <w:r>
        <w:rPr>
          <w:rFonts w:ascii="黑体" w:hAnsi="黑体" w:eastAsia="黑体"/>
          <w:sz w:val="32"/>
        </w:rPr>
        <w:t>第三部分 专业名词解释</w:t>
      </w:r>
    </w:p>
    <w:p w14:paraId="3839D7E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243F8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E573FE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FCC650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6EBF20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3772C8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38D03A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BCDE25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EA0BE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64EEA5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807EFE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15D341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E7EB1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D8AE2B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E1F97E5">
      <w:r>
        <w:br w:type="page"/>
      </w:r>
    </w:p>
    <w:p w14:paraId="3F6113B0">
      <w:pPr>
        <w:spacing w:line="240" w:lineRule="auto"/>
        <w:jc w:val="center"/>
        <w:outlineLvl w:val="1"/>
      </w:pPr>
      <w:r>
        <w:rPr>
          <w:rFonts w:ascii="黑体" w:hAnsi="黑体" w:eastAsia="黑体"/>
          <w:sz w:val="32"/>
        </w:rPr>
        <w:t>第四部分 部门决算报表（见附表）</w:t>
      </w:r>
    </w:p>
    <w:p w14:paraId="3823C317">
      <w:pPr>
        <w:spacing w:line="240" w:lineRule="auto"/>
        <w:ind w:firstLine="640"/>
        <w:jc w:val="both"/>
      </w:pPr>
      <w:r>
        <w:rPr>
          <w:rFonts w:ascii="仿宋_GB2312" w:hAnsi="仿宋_GB2312" w:eastAsia="仿宋_GB2312"/>
          <w:b w:val="0"/>
          <w:sz w:val="32"/>
        </w:rPr>
        <w:t>一、《收入支出决算总表》</w:t>
      </w:r>
    </w:p>
    <w:p w14:paraId="32B6DF48">
      <w:pPr>
        <w:spacing w:line="240" w:lineRule="auto"/>
        <w:ind w:firstLine="640"/>
        <w:jc w:val="both"/>
      </w:pPr>
      <w:r>
        <w:rPr>
          <w:rFonts w:ascii="仿宋_GB2312" w:hAnsi="仿宋_GB2312" w:eastAsia="仿宋_GB2312"/>
          <w:b w:val="0"/>
          <w:sz w:val="32"/>
        </w:rPr>
        <w:t>二、《收入决算表》</w:t>
      </w:r>
    </w:p>
    <w:p w14:paraId="3FF98211">
      <w:pPr>
        <w:spacing w:line="240" w:lineRule="auto"/>
        <w:ind w:firstLine="640"/>
        <w:jc w:val="both"/>
      </w:pPr>
      <w:r>
        <w:rPr>
          <w:rFonts w:ascii="仿宋_GB2312" w:hAnsi="仿宋_GB2312" w:eastAsia="仿宋_GB2312"/>
          <w:b w:val="0"/>
          <w:sz w:val="32"/>
        </w:rPr>
        <w:t>三、《支出决算表》</w:t>
      </w:r>
    </w:p>
    <w:p w14:paraId="5A03CC5D">
      <w:pPr>
        <w:spacing w:line="240" w:lineRule="auto"/>
        <w:ind w:firstLine="640"/>
        <w:jc w:val="both"/>
      </w:pPr>
      <w:r>
        <w:rPr>
          <w:rFonts w:ascii="仿宋_GB2312" w:hAnsi="仿宋_GB2312" w:eastAsia="仿宋_GB2312"/>
          <w:b w:val="0"/>
          <w:sz w:val="32"/>
        </w:rPr>
        <w:t>四、《财政拨款收入支出决算总表》</w:t>
      </w:r>
    </w:p>
    <w:p w14:paraId="1794C1EE">
      <w:pPr>
        <w:spacing w:line="240" w:lineRule="auto"/>
        <w:ind w:firstLine="640"/>
        <w:jc w:val="both"/>
      </w:pPr>
      <w:r>
        <w:rPr>
          <w:rFonts w:ascii="仿宋_GB2312" w:hAnsi="仿宋_GB2312" w:eastAsia="仿宋_GB2312"/>
          <w:b w:val="0"/>
          <w:sz w:val="32"/>
        </w:rPr>
        <w:t>五、《一般公共预算财政拨款支出决算表》</w:t>
      </w:r>
    </w:p>
    <w:p w14:paraId="577BAD8D">
      <w:pPr>
        <w:spacing w:line="240" w:lineRule="auto"/>
        <w:ind w:firstLine="640"/>
        <w:jc w:val="both"/>
      </w:pPr>
      <w:r>
        <w:rPr>
          <w:rFonts w:ascii="仿宋_GB2312" w:hAnsi="仿宋_GB2312" w:eastAsia="仿宋_GB2312"/>
          <w:b w:val="0"/>
          <w:sz w:val="32"/>
        </w:rPr>
        <w:t>六、《一般公共预算财政拨款基本支出决算表》</w:t>
      </w:r>
    </w:p>
    <w:p w14:paraId="11C938C6">
      <w:pPr>
        <w:spacing w:line="240" w:lineRule="auto"/>
        <w:ind w:firstLine="640"/>
        <w:jc w:val="both"/>
      </w:pPr>
      <w:r>
        <w:rPr>
          <w:rFonts w:ascii="仿宋_GB2312" w:hAnsi="仿宋_GB2312" w:eastAsia="仿宋_GB2312"/>
          <w:b w:val="0"/>
          <w:sz w:val="32"/>
        </w:rPr>
        <w:t>七、《政府性基金预算财政拨款收入支出决算表》</w:t>
      </w:r>
    </w:p>
    <w:p w14:paraId="2123D7FF">
      <w:pPr>
        <w:spacing w:line="240" w:lineRule="auto"/>
        <w:ind w:firstLine="640"/>
        <w:jc w:val="both"/>
      </w:pPr>
      <w:r>
        <w:rPr>
          <w:rFonts w:ascii="仿宋_GB2312" w:hAnsi="仿宋_GB2312" w:eastAsia="仿宋_GB2312"/>
          <w:b w:val="0"/>
          <w:sz w:val="32"/>
        </w:rPr>
        <w:t>八、《国有资本经营预算财政拨款收入支出决算表》</w:t>
      </w:r>
    </w:p>
    <w:p w14:paraId="46054774">
      <w:pPr>
        <w:spacing w:line="240" w:lineRule="auto"/>
        <w:ind w:firstLine="640"/>
        <w:jc w:val="both"/>
      </w:pPr>
      <w:r>
        <w:rPr>
          <w:rFonts w:ascii="仿宋_GB2312" w:hAnsi="仿宋_GB2312" w:eastAsia="仿宋_GB2312"/>
          <w:b w:val="0"/>
          <w:sz w:val="32"/>
        </w:rPr>
        <w:t>九、《财政拨款“三公”经费支出决算表》</w:t>
      </w:r>
    </w:p>
    <w:p w14:paraId="5DAF553E">
      <w:pPr>
        <w:spacing w:line="240" w:lineRule="auto"/>
        <w:ind w:firstLine="640"/>
        <w:jc w:val="both"/>
      </w:pPr>
    </w:p>
    <w:p w14:paraId="77628130">
      <w:pPr>
        <w:spacing w:line="240" w:lineRule="auto"/>
        <w:ind w:firstLine="640"/>
        <w:jc w:val="both"/>
      </w:pPr>
    </w:p>
    <w:p w14:paraId="1423918F">
      <w:pPr>
        <w:spacing w:line="240" w:lineRule="auto"/>
        <w:ind w:firstLine="640"/>
        <w:jc w:val="both"/>
      </w:pPr>
    </w:p>
    <w:p w14:paraId="5F2092F5">
      <w:pPr>
        <w:spacing w:line="240" w:lineRule="auto"/>
        <w:ind w:firstLine="640"/>
        <w:jc w:val="both"/>
      </w:pPr>
    </w:p>
    <w:p w14:paraId="5A13B35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8AFD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A752E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EA752E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C53EED"/>
    <w:rsid w:val="0F9811B3"/>
    <w:rsid w:val="11E15093"/>
    <w:rsid w:val="120E0809"/>
    <w:rsid w:val="18C31E3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1696C"/>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0D508C"/>
    <w:rsid w:val="4B4C0111"/>
    <w:rsid w:val="4BB23021"/>
    <w:rsid w:val="4F3F074E"/>
    <w:rsid w:val="50DB5F45"/>
    <w:rsid w:val="51887E43"/>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A5C5C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7727</Words>
  <Characters>8830</Characters>
  <Lines>0</Lines>
  <Paragraphs>0</Paragraphs>
  <TotalTime>6</TotalTime>
  <ScaleCrop>false</ScaleCrop>
  <LinksUpToDate>false</LinksUpToDate>
  <CharactersWithSpaces>8838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2025-09-01T09:12:00Z</cp:lastPrinted>
  <dcterms:modified xsi:type="dcterms:W3CDTF">2025-09-04T03:44:43Z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