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D30AE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6E19567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2DFA1A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7D5DB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B43951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0DBD85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麦盖提县库木库萨尔乡人民政府2024</w:t>
      </w:r>
      <w:r>
        <w:rPr>
          <w:rFonts w:hint="eastAsia" w:ascii="方正小标宋_GBK" w:hAnsi="宋体" w:eastAsia="方正小标宋_GBK"/>
          <w:sz w:val="44"/>
          <w:szCs w:val="44"/>
          <w:highlight w:val="none"/>
          <w:lang w:eastAsia="zh-CN"/>
        </w:rPr>
        <w:t>年度</w:t>
      </w:r>
    </w:p>
    <w:p w14:paraId="70D6946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0ADAFB3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75B876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81663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80008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E1E37E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925CE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FC94D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B0098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6A69DC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2492B5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63D0C6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D55DAE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60B779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E9F76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205A9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F859C9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12D7A71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EC7BD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92E4CC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A822EC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70CA370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4A733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D9B6CE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9D7794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B9B038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EEB114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27EE2DC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F3FCA1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26D568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25AEDE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33428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3DA9A0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2968B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B0827B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7D947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40A4817">
      <w:r>
        <w:br w:type="page"/>
      </w:r>
    </w:p>
    <w:p w14:paraId="33908D96">
      <w:pPr>
        <w:spacing w:line="640" w:lineRule="exact"/>
        <w:jc w:val="center"/>
        <w:outlineLvl w:val="1"/>
      </w:pPr>
      <w:r>
        <w:rPr>
          <w:rFonts w:ascii="黑体" w:hAnsi="黑体" w:eastAsia="黑体"/>
          <w:sz w:val="32"/>
        </w:rPr>
        <w:t>第一部分 单位概况</w:t>
      </w:r>
    </w:p>
    <w:p w14:paraId="47DF1FF6">
      <w:pPr>
        <w:spacing w:line="640" w:lineRule="exact"/>
        <w:ind w:firstLine="640"/>
        <w:jc w:val="both"/>
        <w:outlineLvl w:val="2"/>
      </w:pPr>
      <w:r>
        <w:rPr>
          <w:rFonts w:ascii="黑体" w:hAnsi="黑体" w:eastAsia="黑体"/>
          <w:sz w:val="32"/>
        </w:rPr>
        <w:t>一、主要职能</w:t>
      </w:r>
    </w:p>
    <w:p w14:paraId="5040C5E5">
      <w:pPr>
        <w:spacing w:line="580" w:lineRule="exact"/>
        <w:ind w:firstLine="640"/>
        <w:jc w:val="both"/>
      </w:pPr>
      <w:r>
        <w:rPr>
          <w:rFonts w:ascii="仿宋_GB2312" w:hAnsi="仿宋_GB2312" w:eastAsia="仿宋_GB2312"/>
          <w:sz w:val="32"/>
        </w:rPr>
        <w:t>库木库萨尔乡机关负责贯彻落实党中央关于基层工作的方针政策、决策部署和自治区党委、地委和县委的工作要求，把坚持和加强党对基层工作的集中统一领导落实到履行职责过程中。主要职责是。</w:t>
      </w:r>
    </w:p>
    <w:p w14:paraId="7A26920B">
      <w:pPr>
        <w:spacing w:line="580" w:lineRule="exact"/>
        <w:ind w:firstLine="640"/>
        <w:jc w:val="both"/>
      </w:pPr>
      <w:r>
        <w:rPr>
          <w:rFonts w:ascii="仿宋_GB2312" w:hAnsi="仿宋_GB2312" w:eastAsia="仿宋_GB2312"/>
          <w:sz w:val="32"/>
        </w:rPr>
        <w:t>（一）贯彻执行党的路线、方针、政策和国家的法律法规，落实上级党委、政府决策部署和县委、县政府相关工作安排，执行本级人民代表大会决议，在履行职责过程中坚持和加强党的集中统一领导。</w:t>
      </w:r>
    </w:p>
    <w:p w14:paraId="1165B27C">
      <w:pPr>
        <w:spacing w:line="580" w:lineRule="exact"/>
        <w:ind w:firstLine="640"/>
        <w:jc w:val="both"/>
      </w:pPr>
      <w:r>
        <w:rPr>
          <w:rFonts w:ascii="仿宋_GB2312" w:hAnsi="仿宋_GB2312" w:eastAsia="仿宋_GB2312"/>
          <w:sz w:val="32"/>
        </w:rPr>
        <w:t>（二）根据自治区党委、地委相关决策部署和县委相关工作安排，讨论和决定本行政区域内经济建设、政治建设、文化建设、社会建设、生态文明建设和党的建设以及乡村振兴中的重大问题。</w:t>
      </w:r>
    </w:p>
    <w:p w14:paraId="058B533B">
      <w:pPr>
        <w:spacing w:line="580" w:lineRule="exact"/>
        <w:ind w:firstLine="640"/>
        <w:jc w:val="both"/>
      </w:pPr>
      <w:r>
        <w:rPr>
          <w:rFonts w:ascii="仿宋_GB2312" w:hAnsi="仿宋_GB2312" w:eastAsia="仿宋_GB2312"/>
          <w:sz w:val="32"/>
        </w:rPr>
        <w:t>（三）落实基层党建工作责任制，负责党风廉政建设、宣传、意识形态、精神文明等工作；负责做好辖区各类社会组织的党建工作和发展党员工作，协调、指导辖区社会单位党组织和党员积极参加政治文化生活；负责做好人大、政协等事务工作；依法指导和规范管辖范围内的群团组织等其他各类组织。</w:t>
      </w:r>
    </w:p>
    <w:p w14:paraId="1145042B">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四</w:t>
      </w:r>
      <w:r>
        <w:rPr>
          <w:rFonts w:ascii="仿宋_GB2312" w:hAnsi="仿宋_GB2312" w:eastAsia="仿宋_GB2312"/>
          <w:sz w:val="32"/>
        </w:rPr>
        <w:t>）负责乡村振兴战略有关政策措施的贯彻落实；负责扶贫开发、产业规划发展、美丽乡村建设、生态环境、人居环境整治等工作。</w:t>
      </w:r>
    </w:p>
    <w:p w14:paraId="4E415CF4">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五</w:t>
      </w:r>
      <w:r>
        <w:rPr>
          <w:rFonts w:ascii="仿宋_GB2312" w:hAnsi="仿宋_GB2312" w:eastAsia="仿宋_GB2312"/>
          <w:sz w:val="32"/>
        </w:rPr>
        <w:t>）根据行业主管部门相关规定，协助做好农畜产品质量安全、农牧业机械维护和管理等工作；负责加强动物防疫和重大疫情的监控工作，落实动物防疫责任制和疫病的分级管理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加强辖区内林业管理；加强农田水利设施建设，改善人畜饮用水条件，开展水土保持宣传教育，普及水土保持科学知识，防止水土流失。</w:t>
      </w:r>
    </w:p>
    <w:p w14:paraId="784C9AA0">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六</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17AE27A0">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七</w:t>
      </w:r>
      <w:r>
        <w:rPr>
          <w:rFonts w:ascii="仿宋_GB2312" w:hAnsi="仿宋_GB2312" w:eastAsia="仿宋_GB2312"/>
          <w:sz w:val="32"/>
        </w:rPr>
        <w:t>）负责综合协调辖区内村容村貌、环境卫生、公共设施管理等工作。</w:t>
      </w:r>
    </w:p>
    <w:p w14:paraId="53E40D3F">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八</w:t>
      </w:r>
      <w:r>
        <w:rPr>
          <w:rFonts w:ascii="仿宋_GB2312" w:hAnsi="仿宋_GB2312" w:eastAsia="仿宋_GB2312"/>
          <w:sz w:val="32"/>
        </w:rPr>
        <w:t>）负责推进法治政府建设和网格化服务管理工作；负责管理和指导村工作；负责做好维护老年人、妇女、未成年人和残疾人的合法权益，保障适龄儿童、少年接受义务教育等工作。</w:t>
      </w:r>
    </w:p>
    <w:p w14:paraId="2627883C">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九</w:t>
      </w:r>
      <w:r>
        <w:rPr>
          <w:rFonts w:ascii="仿宋_GB2312" w:hAnsi="仿宋_GB2312" w:eastAsia="仿宋_GB2312"/>
          <w:sz w:val="32"/>
        </w:rPr>
        <w:t>）根据自治区党委、政府赋予乡镇行政权力事项清单，与县相关执法队伍和部门协调配合行使行政许可、行政确认、行政处罚等相关权力。</w:t>
      </w:r>
    </w:p>
    <w:p w14:paraId="4DCBEA54">
      <w:pPr>
        <w:spacing w:line="580" w:lineRule="exact"/>
        <w:ind w:firstLine="640"/>
        <w:jc w:val="both"/>
      </w:pPr>
      <w:r>
        <w:rPr>
          <w:rFonts w:ascii="仿宋_GB2312" w:hAnsi="仿宋_GB2312" w:eastAsia="仿宋_GB2312"/>
          <w:sz w:val="32"/>
        </w:rPr>
        <w:t>（十）完成县委、县政府交办的其他工作。</w:t>
      </w:r>
    </w:p>
    <w:p w14:paraId="11A90671">
      <w:pPr>
        <w:spacing w:line="640" w:lineRule="exact"/>
        <w:ind w:firstLine="640"/>
        <w:jc w:val="both"/>
        <w:outlineLvl w:val="2"/>
      </w:pPr>
      <w:r>
        <w:rPr>
          <w:rFonts w:ascii="黑体" w:hAnsi="黑体" w:eastAsia="黑体"/>
          <w:sz w:val="32"/>
        </w:rPr>
        <w:t>二、机构设置及人员情况</w:t>
      </w:r>
    </w:p>
    <w:p w14:paraId="5043A4DC">
      <w:pPr>
        <w:spacing w:line="580" w:lineRule="exact"/>
        <w:ind w:firstLine="640"/>
        <w:jc w:val="both"/>
      </w:pPr>
      <w:r>
        <w:rPr>
          <w:rFonts w:ascii="仿宋_GB2312" w:hAnsi="仿宋_GB2312" w:eastAsia="仿宋_GB2312"/>
          <w:sz w:val="32"/>
        </w:rPr>
        <w:t>麦盖提县库木库萨尔乡人民政府2024年度，实有人数115人，其中：在职人员96人，减少11人；离休人员0人，增加0人；退休人员19人,增加0人。</w:t>
      </w:r>
    </w:p>
    <w:p w14:paraId="5EBC7459">
      <w:pPr>
        <w:spacing w:line="580" w:lineRule="exact"/>
        <w:ind w:firstLine="640"/>
        <w:jc w:val="both"/>
      </w:pPr>
      <w:r>
        <w:rPr>
          <w:rFonts w:ascii="仿宋_GB2312" w:hAnsi="仿宋_GB2312" w:eastAsia="仿宋_GB2312"/>
          <w:sz w:val="32"/>
        </w:rPr>
        <w:t>麦盖提县库木库萨尔乡人民政府无下属预算单位，下设10个科室，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44210953">
      <w:r>
        <w:br w:type="page"/>
      </w:r>
    </w:p>
    <w:p w14:paraId="647A6049">
      <w:pPr>
        <w:spacing w:line="240" w:lineRule="auto"/>
        <w:jc w:val="center"/>
        <w:outlineLvl w:val="1"/>
      </w:pPr>
      <w:r>
        <w:rPr>
          <w:rFonts w:ascii="黑体" w:hAnsi="黑体" w:eastAsia="黑体"/>
          <w:sz w:val="32"/>
        </w:rPr>
        <w:t>第二部分 部门决算情况说明</w:t>
      </w:r>
    </w:p>
    <w:p w14:paraId="73DE5037">
      <w:pPr>
        <w:spacing w:line="640" w:lineRule="exact"/>
        <w:ind w:firstLine="640"/>
        <w:jc w:val="both"/>
        <w:outlineLvl w:val="2"/>
      </w:pPr>
      <w:r>
        <w:rPr>
          <w:rFonts w:ascii="黑体" w:hAnsi="黑体" w:eastAsia="黑体"/>
          <w:sz w:val="32"/>
        </w:rPr>
        <w:t>一、收入支出决算总体情况说明</w:t>
      </w:r>
    </w:p>
    <w:p w14:paraId="62F63124">
      <w:pPr>
        <w:spacing w:line="580" w:lineRule="exact"/>
        <w:ind w:firstLine="640"/>
        <w:jc w:val="both"/>
      </w:pPr>
      <w:r>
        <w:rPr>
          <w:rFonts w:ascii="仿宋_GB2312" w:hAnsi="仿宋_GB2312" w:eastAsia="仿宋_GB2312"/>
          <w:b/>
          <w:sz w:val="32"/>
        </w:rPr>
        <w:t>2024年度收入总计4,592.56万元，</w:t>
      </w:r>
      <w:r>
        <w:rPr>
          <w:rFonts w:ascii="仿宋_GB2312" w:hAnsi="仿宋_GB2312" w:eastAsia="仿宋_GB2312"/>
          <w:b w:val="0"/>
          <w:sz w:val="32"/>
        </w:rPr>
        <w:t>其中：本年收入合计4,203.14万元，使用非财政拨款结余（含专用结余）0.00万元，年初结转和结余389.42万元。</w:t>
      </w:r>
    </w:p>
    <w:p w14:paraId="205A72A1">
      <w:pPr>
        <w:spacing w:line="580" w:lineRule="exact"/>
        <w:ind w:firstLine="640"/>
        <w:jc w:val="both"/>
      </w:pPr>
      <w:r>
        <w:rPr>
          <w:rFonts w:ascii="仿宋_GB2312" w:hAnsi="仿宋_GB2312" w:eastAsia="仿宋_GB2312"/>
          <w:b/>
          <w:sz w:val="32"/>
        </w:rPr>
        <w:t>2024年度支出总计4,592.56万元，</w:t>
      </w:r>
      <w:r>
        <w:rPr>
          <w:rFonts w:ascii="仿宋_GB2312" w:hAnsi="仿宋_GB2312" w:eastAsia="仿宋_GB2312"/>
          <w:b w:val="0"/>
          <w:sz w:val="32"/>
        </w:rPr>
        <w:t>其中：本年支出合计4,592.56万元，结余分配0.00万元，年末结转和结余0.00万元。</w:t>
      </w:r>
    </w:p>
    <w:p w14:paraId="394337C1">
      <w:pPr>
        <w:spacing w:line="580" w:lineRule="exact"/>
        <w:ind w:firstLine="640"/>
        <w:jc w:val="both"/>
      </w:pPr>
      <w:r>
        <w:rPr>
          <w:rFonts w:ascii="仿宋_GB2312" w:hAnsi="仿宋_GB2312" w:eastAsia="仿宋_GB2312"/>
          <w:b w:val="0"/>
          <w:sz w:val="32"/>
        </w:rPr>
        <w:t>收入支出总体与上年相比，减少1,736.08万元，下降27.43%，主要原因是：本年减少麦盖提县库木库萨尔乡托万哈迪勒克村自治区重点示范村创建项目、公共文化服务体系建设项目、困难群众救助补助项目、2023年基层组织建设项目、2023年中央农村综合改革转移支付资金项目和援疆资金项目资金。</w:t>
      </w:r>
    </w:p>
    <w:p w14:paraId="454177DB">
      <w:pPr>
        <w:spacing w:line="640" w:lineRule="exact"/>
        <w:ind w:firstLine="640"/>
        <w:jc w:val="both"/>
        <w:outlineLvl w:val="2"/>
      </w:pPr>
      <w:r>
        <w:rPr>
          <w:rFonts w:ascii="黑体" w:hAnsi="黑体" w:eastAsia="黑体"/>
          <w:sz w:val="32"/>
        </w:rPr>
        <w:t>二、收入决算情况说明</w:t>
      </w:r>
    </w:p>
    <w:p w14:paraId="24C4322C">
      <w:pPr>
        <w:spacing w:line="580" w:lineRule="exact"/>
        <w:ind w:firstLine="640"/>
        <w:jc w:val="both"/>
      </w:pPr>
      <w:r>
        <w:rPr>
          <w:rFonts w:ascii="仿宋_GB2312" w:hAnsi="仿宋_GB2312" w:eastAsia="仿宋_GB2312"/>
          <w:b/>
          <w:sz w:val="32"/>
        </w:rPr>
        <w:t>本年收入4,203.14万元，</w:t>
      </w:r>
      <w:r>
        <w:rPr>
          <w:rFonts w:ascii="仿宋_GB2312" w:hAnsi="仿宋_GB2312" w:eastAsia="仿宋_GB2312"/>
          <w:b w:val="0"/>
          <w:sz w:val="32"/>
        </w:rPr>
        <w:t>其中：财政拨款收入3,122.22万元，占74.28%；上级补助收入0.00万元，占0.00%；事业收入0.00万元，占0.00%；经营收入0.00万元，占0.00%；附属单位上缴收入0.00万元，占0.00%；其他收入1,080.93万元，占25.72%。</w:t>
      </w:r>
    </w:p>
    <w:p w14:paraId="41D36DBB">
      <w:pPr>
        <w:spacing w:line="640" w:lineRule="exact"/>
        <w:ind w:firstLine="640"/>
        <w:jc w:val="both"/>
        <w:outlineLvl w:val="2"/>
      </w:pPr>
      <w:r>
        <w:rPr>
          <w:rFonts w:ascii="黑体" w:hAnsi="黑体" w:eastAsia="黑体"/>
          <w:sz w:val="32"/>
        </w:rPr>
        <w:t>三、支出决算情况说明</w:t>
      </w:r>
    </w:p>
    <w:p w14:paraId="448FE509">
      <w:pPr>
        <w:spacing w:line="580" w:lineRule="exact"/>
        <w:ind w:firstLine="640"/>
        <w:jc w:val="both"/>
      </w:pPr>
      <w:r>
        <w:rPr>
          <w:rFonts w:ascii="仿宋_GB2312" w:hAnsi="仿宋_GB2312" w:eastAsia="仿宋_GB2312"/>
          <w:b/>
          <w:sz w:val="32"/>
        </w:rPr>
        <w:t>本年支出4,592.56万元，</w:t>
      </w:r>
      <w:r>
        <w:rPr>
          <w:rFonts w:ascii="仿宋_GB2312" w:hAnsi="仿宋_GB2312" w:eastAsia="仿宋_GB2312"/>
          <w:b w:val="0"/>
          <w:sz w:val="32"/>
        </w:rPr>
        <w:t>其中：基本支出1,835.90万元，占39.98%；项目支出2,756.66万元，占60.02%；上缴上级支出0.00万元，占0.00%；经营支出0.00万元，占0.00%；对附属单位补助支出0.00万元，占0.00%。</w:t>
      </w:r>
    </w:p>
    <w:p w14:paraId="4F34A9D0">
      <w:pPr>
        <w:spacing w:line="640" w:lineRule="exact"/>
        <w:ind w:firstLine="640"/>
        <w:jc w:val="both"/>
        <w:outlineLvl w:val="2"/>
      </w:pPr>
      <w:r>
        <w:rPr>
          <w:rFonts w:ascii="黑体" w:hAnsi="黑体" w:eastAsia="黑体"/>
          <w:sz w:val="32"/>
        </w:rPr>
        <w:t>四、财政拨款收入支出决算总体情况说明</w:t>
      </w:r>
    </w:p>
    <w:p w14:paraId="6B5F595B">
      <w:pPr>
        <w:spacing w:line="580" w:lineRule="exact"/>
        <w:ind w:firstLine="640"/>
        <w:jc w:val="both"/>
      </w:pPr>
      <w:r>
        <w:rPr>
          <w:rFonts w:ascii="仿宋_GB2312" w:hAnsi="仿宋_GB2312" w:eastAsia="仿宋_GB2312"/>
          <w:b/>
          <w:sz w:val="32"/>
        </w:rPr>
        <w:t>2024年度财政拨款收入总计3,122.22万元，</w:t>
      </w:r>
      <w:r>
        <w:rPr>
          <w:rFonts w:ascii="仿宋_GB2312" w:hAnsi="仿宋_GB2312" w:eastAsia="仿宋_GB2312"/>
          <w:b w:val="0"/>
          <w:sz w:val="32"/>
        </w:rPr>
        <w:t>其中：年初财政拨款结转和结余0.00万元，本年财政拨款收入3,122.22万元。</w:t>
      </w:r>
      <w:r>
        <w:rPr>
          <w:rFonts w:ascii="仿宋_GB2312" w:hAnsi="仿宋_GB2312" w:eastAsia="仿宋_GB2312"/>
          <w:b/>
          <w:sz w:val="32"/>
        </w:rPr>
        <w:t>财政拨款支出总计3,122.22万元，</w:t>
      </w:r>
      <w:r>
        <w:rPr>
          <w:rFonts w:ascii="仿宋_GB2312" w:hAnsi="仿宋_GB2312" w:eastAsia="仿宋_GB2312"/>
          <w:b w:val="0"/>
          <w:sz w:val="32"/>
        </w:rPr>
        <w:t>其中：年末财政拨款结转和结余0.00万元，本年财政拨款支出3,122.22万元。</w:t>
      </w:r>
    </w:p>
    <w:p w14:paraId="7EBFF9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1,538.11万元，下降33.00%，主要原因是：本年减少麦盖提县库木库萨尔乡托万哈迪勒克村自治区重点示范村创建项目、公共文化服务体系建设项目、困难群众救助补助项目、2023年基层组织建设项目、2023年中央农村综合改革转移支付资金项目。</w:t>
      </w:r>
      <w:r>
        <w:rPr>
          <w:rFonts w:ascii="仿宋_GB2312" w:hAnsi="仿宋_GB2312" w:eastAsia="仿宋_GB2312"/>
          <w:b/>
          <w:sz w:val="32"/>
        </w:rPr>
        <w:t>与年初预算相比，</w:t>
      </w:r>
      <w:r>
        <w:rPr>
          <w:rFonts w:ascii="仿宋_GB2312" w:hAnsi="仿宋_GB2312" w:eastAsia="仿宋_GB2312"/>
          <w:b w:val="0"/>
          <w:sz w:val="32"/>
        </w:rPr>
        <w:t>年初预算数1,864.21万元，决算数3,122.22万元，预决算差异率67.48%，主要原因是：年中追加中央补助地方公共服务体系建设补助资金项目、麦盖提县库木库萨尔乡胡木丹买里（9）村扶持发展新型农村集体经济项目、自治区农村综合改革转移支付资金项目、麦盖提县库木库萨尔乡土地平整项目（增减挂）、麦盖提县库木库萨尔乡托万塔瓦尔克斯克（4）村砖厂安置补偿项目，导致预决算存在差异。</w:t>
      </w:r>
    </w:p>
    <w:p w14:paraId="3AE7AA29">
      <w:pPr>
        <w:spacing w:line="640" w:lineRule="exact"/>
        <w:ind w:firstLine="640"/>
        <w:jc w:val="both"/>
        <w:outlineLvl w:val="2"/>
      </w:pPr>
      <w:r>
        <w:rPr>
          <w:rFonts w:ascii="黑体" w:hAnsi="黑体" w:eastAsia="黑体"/>
          <w:sz w:val="32"/>
        </w:rPr>
        <w:t>五、一般公共预算财政拨款支出决算情况说明</w:t>
      </w:r>
    </w:p>
    <w:p w14:paraId="07BA6231">
      <w:pPr>
        <w:spacing w:line="640" w:lineRule="exact"/>
        <w:ind w:firstLine="640"/>
        <w:jc w:val="both"/>
        <w:outlineLvl w:val="3"/>
      </w:pPr>
      <w:r>
        <w:rPr>
          <w:rFonts w:ascii="楷体_GB2312" w:hAnsi="楷体_GB2312" w:eastAsia="楷体_GB2312"/>
          <w:b/>
          <w:sz w:val="32"/>
        </w:rPr>
        <w:t>（一）一般公共预算财政拨款支出决算总体情况</w:t>
      </w:r>
    </w:p>
    <w:p w14:paraId="3518F43A">
      <w:pPr>
        <w:spacing w:line="580" w:lineRule="exact"/>
        <w:ind w:firstLine="640"/>
        <w:jc w:val="both"/>
      </w:pPr>
      <w:r>
        <w:rPr>
          <w:rFonts w:ascii="仿宋_GB2312" w:hAnsi="仿宋_GB2312" w:eastAsia="仿宋_GB2312"/>
          <w:b/>
          <w:sz w:val="32"/>
        </w:rPr>
        <w:t>2024年度一般公共预算财政拨款支出3,122.22万元，</w:t>
      </w:r>
      <w:r>
        <w:rPr>
          <w:rFonts w:ascii="仿宋_GB2312" w:hAnsi="仿宋_GB2312" w:eastAsia="仿宋_GB2312"/>
          <w:b w:val="0"/>
          <w:sz w:val="32"/>
        </w:rPr>
        <w:t>占本年支出合计的67.98%。</w:t>
      </w:r>
      <w:r>
        <w:rPr>
          <w:rFonts w:ascii="仿宋_GB2312" w:hAnsi="仿宋_GB2312" w:eastAsia="仿宋_GB2312"/>
          <w:b/>
          <w:sz w:val="32"/>
        </w:rPr>
        <w:t>与上年相比，</w:t>
      </w:r>
      <w:r>
        <w:rPr>
          <w:rFonts w:ascii="仿宋_GB2312" w:hAnsi="仿宋_GB2312" w:eastAsia="仿宋_GB2312"/>
          <w:b w:val="0"/>
          <w:sz w:val="32"/>
        </w:rPr>
        <w:t>减少1,238.11万元，下降28.39%，主要原因是：本年减少麦盖提县库木库萨尔乡托万哈迪勒克村自治区重点示范村创建项目、公共文化服务体系建设项目、困难群众救助补助项目、2023年基层组织建设项目、2023年中央农村综合改革转移支付资金项目。</w:t>
      </w:r>
      <w:r>
        <w:rPr>
          <w:rFonts w:ascii="仿宋_GB2312" w:hAnsi="仿宋_GB2312" w:eastAsia="仿宋_GB2312"/>
          <w:b/>
          <w:sz w:val="32"/>
        </w:rPr>
        <w:t>与年初预算相比,</w:t>
      </w:r>
      <w:r>
        <w:rPr>
          <w:rFonts w:ascii="仿宋_GB2312" w:hAnsi="仿宋_GB2312" w:eastAsia="仿宋_GB2312"/>
          <w:b w:val="0"/>
          <w:sz w:val="32"/>
        </w:rPr>
        <w:t>年初预算数1,864.21万元，决算数3,122.22万元，预决算差异率67.48%，主要原因是：年中追加中央补助地方公共服务体系建设补助资金项目、麦盖提县库木库萨尔乡胡木丹买里（9）村扶持发展新型农村集体经济项目、自治区农村综合改革转移支付资金项目、麦盖提县库木库萨尔乡土地平整项目（增减挂）、麦盖提县库木库萨尔乡托万塔瓦尔克斯克（4）村砖厂安置补偿项目，导致预决算存在差异。</w:t>
      </w:r>
    </w:p>
    <w:p w14:paraId="6E5F6441">
      <w:pPr>
        <w:spacing w:line="640" w:lineRule="exact"/>
        <w:ind w:firstLine="640"/>
        <w:jc w:val="both"/>
        <w:outlineLvl w:val="3"/>
      </w:pPr>
      <w:r>
        <w:rPr>
          <w:rFonts w:ascii="楷体_GB2312" w:hAnsi="楷体_GB2312" w:eastAsia="楷体_GB2312"/>
          <w:b/>
          <w:sz w:val="32"/>
        </w:rPr>
        <w:t>（二）一般公共预算财政拨款支出决算结构情况</w:t>
      </w:r>
    </w:p>
    <w:p w14:paraId="53346CA2">
      <w:pPr>
        <w:spacing w:line="580" w:lineRule="exact"/>
        <w:ind w:firstLine="640"/>
        <w:jc w:val="both"/>
      </w:pPr>
      <w:r>
        <w:rPr>
          <w:rFonts w:ascii="仿宋_GB2312" w:hAnsi="仿宋_GB2312" w:eastAsia="仿宋_GB2312"/>
          <w:b w:val="0"/>
          <w:sz w:val="32"/>
        </w:rPr>
        <w:t>1.一般公共服务支出(类)1,510.37万元,占48.37%。</w:t>
      </w:r>
    </w:p>
    <w:p w14:paraId="277A6496">
      <w:pPr>
        <w:spacing w:line="580" w:lineRule="exact"/>
        <w:ind w:firstLine="640"/>
        <w:jc w:val="both"/>
      </w:pPr>
      <w:r>
        <w:rPr>
          <w:rFonts w:ascii="仿宋_GB2312" w:hAnsi="仿宋_GB2312" w:eastAsia="仿宋_GB2312"/>
          <w:b w:val="0"/>
          <w:sz w:val="32"/>
        </w:rPr>
        <w:t>2.文化旅游体育与传媒支出(类)14.84万元,占0.48%。</w:t>
      </w:r>
    </w:p>
    <w:p w14:paraId="50BED289">
      <w:pPr>
        <w:spacing w:line="580" w:lineRule="exact"/>
        <w:ind w:firstLine="640"/>
        <w:jc w:val="both"/>
      </w:pPr>
      <w:r>
        <w:rPr>
          <w:rFonts w:ascii="仿宋_GB2312" w:hAnsi="仿宋_GB2312" w:eastAsia="仿宋_GB2312"/>
          <w:b w:val="0"/>
          <w:sz w:val="32"/>
        </w:rPr>
        <w:t>3.社会保障和就业支出(类)210.87万元,占6.75%。</w:t>
      </w:r>
    </w:p>
    <w:p w14:paraId="3909EBBE">
      <w:pPr>
        <w:spacing w:line="580" w:lineRule="exact"/>
        <w:ind w:firstLine="640"/>
        <w:jc w:val="both"/>
      </w:pPr>
      <w:r>
        <w:rPr>
          <w:rFonts w:ascii="仿宋_GB2312" w:hAnsi="仿宋_GB2312" w:eastAsia="仿宋_GB2312"/>
          <w:b w:val="0"/>
          <w:sz w:val="32"/>
        </w:rPr>
        <w:t>4.卫生健康支出(类)83.70万元,占2.68%。</w:t>
      </w:r>
    </w:p>
    <w:p w14:paraId="03994EBF">
      <w:pPr>
        <w:spacing w:line="580" w:lineRule="exact"/>
        <w:ind w:firstLine="640"/>
        <w:jc w:val="both"/>
      </w:pPr>
      <w:r>
        <w:rPr>
          <w:rFonts w:ascii="仿宋_GB2312" w:hAnsi="仿宋_GB2312" w:eastAsia="仿宋_GB2312"/>
          <w:b w:val="0"/>
          <w:sz w:val="32"/>
        </w:rPr>
        <w:t>5.农林水支出(类)1,164.87万元,占37.31%。</w:t>
      </w:r>
    </w:p>
    <w:p w14:paraId="022923ED">
      <w:pPr>
        <w:spacing w:line="580" w:lineRule="exact"/>
        <w:ind w:firstLine="640"/>
        <w:jc w:val="both"/>
      </w:pPr>
      <w:r>
        <w:rPr>
          <w:rFonts w:ascii="仿宋_GB2312" w:hAnsi="仿宋_GB2312" w:eastAsia="仿宋_GB2312"/>
          <w:b w:val="0"/>
          <w:sz w:val="32"/>
        </w:rPr>
        <w:t>6.住房保障支出(类)132.96万元,占4.26%。</w:t>
      </w:r>
    </w:p>
    <w:p w14:paraId="0C9C477C">
      <w:pPr>
        <w:spacing w:line="580" w:lineRule="exact"/>
        <w:ind w:firstLine="640"/>
        <w:jc w:val="both"/>
      </w:pPr>
      <w:r>
        <w:rPr>
          <w:rFonts w:ascii="仿宋_GB2312" w:hAnsi="仿宋_GB2312" w:eastAsia="仿宋_GB2312"/>
          <w:b w:val="0"/>
          <w:sz w:val="32"/>
        </w:rPr>
        <w:t>7.其他支出(类)4.61万元,占0.15%。</w:t>
      </w:r>
    </w:p>
    <w:p w14:paraId="2729A811">
      <w:pPr>
        <w:spacing w:line="640" w:lineRule="exact"/>
        <w:ind w:firstLine="640"/>
        <w:jc w:val="both"/>
        <w:outlineLvl w:val="3"/>
      </w:pPr>
      <w:r>
        <w:rPr>
          <w:rFonts w:ascii="楷体_GB2312" w:hAnsi="楷体_GB2312" w:eastAsia="楷体_GB2312"/>
          <w:b/>
          <w:sz w:val="32"/>
        </w:rPr>
        <w:t>（三）一般公共预算财政拨款支出决算具体情况</w:t>
      </w:r>
    </w:p>
    <w:p w14:paraId="11B0B92F">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1.一般公共服务支出(类)政府办公厅（室）及相关机构事务(款)行政运行(项):支出决算数为1,426.37万元，比上年决算减少79.26万元，下降5.26%,主要原因是：本年在职人员减少，相应人员经费较上年减少。</w:t>
      </w:r>
    </w:p>
    <w:p w14:paraId="6C087ED4">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2.00万元，比上年决算增加0.50万元，增长33.33%,主要原因是：本年中央政法纪检监察转移支付资金(设备购置)项目资金较上年度增加。</w:t>
      </w:r>
    </w:p>
    <w:p w14:paraId="71607ECB">
      <w:pPr>
        <w:spacing w:line="580" w:lineRule="exact"/>
        <w:ind w:firstLine="640"/>
        <w:jc w:val="both"/>
      </w:pPr>
      <w:r>
        <w:rPr>
          <w:rFonts w:ascii="仿宋_GB2312" w:hAnsi="仿宋_GB2312" w:eastAsia="仿宋_GB2312"/>
          <w:b w:val="0"/>
          <w:sz w:val="32"/>
        </w:rPr>
        <w:t>3.一般公共服务支出(类)组织事务(款)其他组织事务支出(项):支出决算数为82.00万元，比上年决算增加6.18万元，增长8.15%,主要原因是：本年新增2024年村级组织运转经费；本年科目调整，为民办实事工作经费上年在其他支出科目列支，本年在其他组织事务支出科目列支，导致经费较上年增加。</w:t>
      </w:r>
    </w:p>
    <w:p w14:paraId="1F287CAB">
      <w:pPr>
        <w:spacing w:line="580" w:lineRule="exact"/>
        <w:ind w:firstLine="640"/>
        <w:jc w:val="both"/>
        <w:rPr>
          <w:highlight w:val="none"/>
        </w:rPr>
      </w:pPr>
      <w:r>
        <w:rPr>
          <w:rFonts w:ascii="仿宋_GB2312" w:hAnsi="仿宋_GB2312" w:eastAsia="仿宋_GB2312"/>
          <w:b w:val="0"/>
          <w:sz w:val="32"/>
        </w:rPr>
        <w:t>4.一般公共服务支出(类)统战事务(款)其他统战事务支出(项):支出决算数为0.00万元，比上年决算减少0.49万元，下降100.00%,主要原因是：</w:t>
      </w:r>
      <w:r>
        <w:rPr>
          <w:rFonts w:ascii="仿宋_GB2312" w:hAnsi="仿宋_GB2312" w:eastAsia="仿宋_GB2312"/>
          <w:b w:val="0"/>
          <w:sz w:val="32"/>
          <w:highlight w:val="none"/>
        </w:rPr>
        <w:t>本年减少</w:t>
      </w:r>
      <w:r>
        <w:rPr>
          <w:rFonts w:hint="eastAsia" w:ascii="仿宋_GB2312" w:hAnsi="仿宋_GB2312" w:eastAsia="仿宋_GB2312"/>
          <w:b w:val="0"/>
          <w:sz w:val="32"/>
          <w:highlight w:val="none"/>
          <w:lang w:val="en-US" w:eastAsia="zh-CN"/>
        </w:rPr>
        <w:t>专项</w:t>
      </w:r>
      <w:r>
        <w:rPr>
          <w:rFonts w:ascii="仿宋_GB2312" w:hAnsi="仿宋_GB2312" w:eastAsia="仿宋_GB2312"/>
          <w:b w:val="0"/>
          <w:sz w:val="32"/>
          <w:highlight w:val="none"/>
        </w:rPr>
        <w:t>工作经费。</w:t>
      </w:r>
    </w:p>
    <w:p w14:paraId="35BD62C9">
      <w:pPr>
        <w:spacing w:line="580" w:lineRule="exact"/>
        <w:ind w:firstLine="640"/>
        <w:jc w:val="both"/>
      </w:pPr>
      <w:r>
        <w:rPr>
          <w:rFonts w:ascii="仿宋_GB2312" w:hAnsi="仿宋_GB2312" w:eastAsia="仿宋_GB2312"/>
          <w:b w:val="0"/>
          <w:sz w:val="32"/>
        </w:rPr>
        <w:t>5.文化旅游体育与传媒支出(类)文化和旅游(款)群众文化(项):支出决算数为14.84万元，比上年决算增加14.84万元，增长100.00%,主要原因是：本年科目调整，中央补助地方公共文化服务体系建设补助项目经费上年在其他文化旅游体育与传媒科目列支，本年在群众文化科目列支，导致经费较上年增加。</w:t>
      </w:r>
    </w:p>
    <w:p w14:paraId="0B679ADF">
      <w:pPr>
        <w:spacing w:line="580" w:lineRule="exact"/>
        <w:ind w:firstLine="640"/>
        <w:jc w:val="both"/>
      </w:pPr>
      <w:r>
        <w:rPr>
          <w:rFonts w:ascii="仿宋_GB2312" w:hAnsi="仿宋_GB2312" w:eastAsia="仿宋_GB2312"/>
          <w:b w:val="0"/>
          <w:sz w:val="32"/>
        </w:rPr>
        <w:t>6.文化旅游体育与传媒支出(类)其他文化旅游体育与传媒支出(款)其他文化旅游体育与传媒支出(项):支出决算数为0.00万元，比上年决算减少55.00万元，下降100.00%,主要原因是：本年科目调整，中央补助地方公共文化服务体系建设补助项目经费上年在其他文化旅游体育与传媒科目列支，本年在群众文化科目列支，导致经费较上年减少。</w:t>
      </w:r>
    </w:p>
    <w:p w14:paraId="2137BC21">
      <w:pPr>
        <w:spacing w:line="580" w:lineRule="exact"/>
        <w:ind w:firstLine="640"/>
        <w:jc w:val="both"/>
      </w:pPr>
      <w:r>
        <w:rPr>
          <w:rFonts w:ascii="仿宋_GB2312" w:hAnsi="仿宋_GB2312" w:eastAsia="仿宋_GB2312"/>
          <w:b w:val="0"/>
          <w:sz w:val="32"/>
        </w:rPr>
        <w:t>7.社会保障和就业支出(类)民政管理事务(款)其他民政管理事务支出(项):支出决算数为8.00万元，比上年决算减少3.47万元，下降30.25%,主要原因是：本年幸福大院运转补助项目经费较上年减少。</w:t>
      </w:r>
    </w:p>
    <w:p w14:paraId="0864502B">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8.社会保障和就业支出(类)行政事业单位养老支出(款)行政单位离退休(项):支出决算数为25.00万元，比上年决算增加6.86万元，增长37.82%,主要原因是：本年退休人员绩效增加，导致退休费较上年增加。</w:t>
      </w:r>
    </w:p>
    <w:p w14:paraId="13EFF82B">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166.51万元，比上年决算减少2.32万元，下降1.37%,主要原因是：本年在职人员减少，单位基本养老保险缴费较上年减少。</w:t>
      </w:r>
    </w:p>
    <w:p w14:paraId="1A989C4E">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1.36万元，比上年决算减少24.96万元，下降94.83%,主要原因是：本年新增退休人员较上年减少，职业年金缴费较上年减少。</w:t>
      </w:r>
    </w:p>
    <w:p w14:paraId="7D9B5973">
      <w:pPr>
        <w:spacing w:line="580" w:lineRule="exact"/>
        <w:ind w:firstLine="640"/>
        <w:jc w:val="both"/>
      </w:pPr>
      <w:r>
        <w:rPr>
          <w:rFonts w:ascii="仿宋_GB2312" w:hAnsi="仿宋_GB2312" w:eastAsia="仿宋_GB2312"/>
          <w:b w:val="0"/>
          <w:sz w:val="32"/>
        </w:rPr>
        <w:t>11.社会保障和就业支出(类)临时救助(款)临时救助支出(项):支出决算数为10.00万元，比上年决算减少85.96万元，下降89.58%,主要原因是：本年度减少困难群众救助补助项目，减少困难群众取暖费发放，导致临时救助费减少。</w:t>
      </w:r>
    </w:p>
    <w:p w14:paraId="60F544D7">
      <w:pPr>
        <w:spacing w:line="580" w:lineRule="exact"/>
        <w:ind w:firstLine="640"/>
        <w:jc w:val="both"/>
      </w:pPr>
      <w:r>
        <w:rPr>
          <w:rFonts w:ascii="仿宋_GB2312" w:hAnsi="仿宋_GB2312" w:eastAsia="仿宋_GB2312"/>
          <w:b w:val="0"/>
          <w:sz w:val="32"/>
        </w:rPr>
        <w:t>12.卫生健康支出(类)行政事业单位医疗(款)行政单位医疗(项):支出决算数为70.77万元，比上年决算减少1.11万元，下降1.54%,主要原因是：本年在职人员减少，行政单位医疗支出较上年减少。</w:t>
      </w:r>
    </w:p>
    <w:p w14:paraId="26EA0482">
      <w:pPr>
        <w:spacing w:line="580" w:lineRule="exact"/>
        <w:ind w:firstLine="640"/>
        <w:jc w:val="both"/>
      </w:pPr>
      <w:r>
        <w:rPr>
          <w:rFonts w:ascii="仿宋_GB2312" w:hAnsi="仿宋_GB2312" w:eastAsia="仿宋_GB2312"/>
          <w:b w:val="0"/>
          <w:sz w:val="32"/>
        </w:rPr>
        <w:t>13.卫生健康支出(类)行政事业单位医疗(款)公务员医疗补助(项):支出决算数为12.94万元，比上年决算减少0.60万元，下降4.43%,主要原因是：本年在职人员减少，公务员医疗补助较上年减少。</w:t>
      </w:r>
    </w:p>
    <w:p w14:paraId="36D45124">
      <w:pPr>
        <w:spacing w:line="580" w:lineRule="exact"/>
        <w:ind w:firstLine="640"/>
        <w:jc w:val="both"/>
      </w:pPr>
      <w:r>
        <w:rPr>
          <w:rFonts w:ascii="仿宋_GB2312" w:hAnsi="仿宋_GB2312" w:eastAsia="仿宋_GB2312"/>
          <w:b w:val="0"/>
          <w:sz w:val="32"/>
        </w:rPr>
        <w:t>14.农林水支出(类)巩固脱贫攻坚成果衔接乡村振兴(款)农村基础设施建设(项):支出决算数为0.00万元，比上年决算减少1,868.00万元，下降100.00%,主要原因是：本年减少麦盖提县库木库萨尔乡托万哈迪勒克村自治区重点示范村创建项目，导致经费较上年减少。</w:t>
      </w:r>
    </w:p>
    <w:p w14:paraId="5C9887EC">
      <w:pPr>
        <w:spacing w:line="580" w:lineRule="exact"/>
        <w:ind w:firstLine="640"/>
        <w:jc w:val="both"/>
      </w:pPr>
      <w:r>
        <w:rPr>
          <w:rFonts w:ascii="仿宋_GB2312" w:hAnsi="仿宋_GB2312" w:eastAsia="仿宋_GB2312"/>
          <w:b w:val="0"/>
          <w:sz w:val="32"/>
        </w:rPr>
        <w:t>15.农林水支出(类)巩固脱贫攻坚成果衔接乡村振兴(款)生产发展(项):支出决算数为145.00万元，比上年决算增加43.00万元，增长42.16%,主要原因是：本年新增库木库萨尔乡产业（林果业）扶持以奖代补项目，导致经费较上年增加。</w:t>
      </w:r>
    </w:p>
    <w:p w14:paraId="7871E1DC">
      <w:pPr>
        <w:spacing w:line="580" w:lineRule="exact"/>
        <w:ind w:firstLine="640"/>
        <w:jc w:val="both"/>
      </w:pPr>
      <w:r>
        <w:rPr>
          <w:rFonts w:ascii="仿宋_GB2312" w:hAnsi="仿宋_GB2312" w:eastAsia="仿宋_GB2312"/>
          <w:b w:val="0"/>
          <w:sz w:val="32"/>
        </w:rPr>
        <w:t>16.农林水支出(类)农村综合改革(款)对村级公益事业建设的补助(项):支出决算数为250.00万元，比上年决算增加62.00万元，增长32.98%,主要原因是：本年新增农村综合改革转移支付（农村事业财政奖补）项目经费，导致经费较上年增加。</w:t>
      </w:r>
    </w:p>
    <w:p w14:paraId="51E8F21F">
      <w:pPr>
        <w:spacing w:line="580" w:lineRule="exact"/>
        <w:ind w:firstLine="640"/>
        <w:jc w:val="both"/>
      </w:pPr>
      <w:r>
        <w:rPr>
          <w:rFonts w:ascii="仿宋_GB2312" w:hAnsi="仿宋_GB2312" w:eastAsia="仿宋_GB2312"/>
          <w:b w:val="0"/>
          <w:sz w:val="32"/>
        </w:rPr>
        <w:t>17.农林水支出(类)其他农林水支出(款)其他农林水支出(项):支出决算数为769.87万元，比上年决算增加769.87万元，增长100.00%,主要原因是：本年新增麦盖提县库木库萨尔乡土地平整项目（增减挂）、麦盖提县2024年美丽庭院建设项目、麦盖提县库木库萨尔乡托万塔瓦尔克斯克（4）村砖厂安置补偿项目，导致经费较上年增加。</w:t>
      </w:r>
    </w:p>
    <w:p w14:paraId="5705047E">
      <w:pPr>
        <w:spacing w:line="580" w:lineRule="exact"/>
        <w:ind w:firstLine="640"/>
        <w:jc w:val="both"/>
      </w:pPr>
      <w:r>
        <w:rPr>
          <w:rFonts w:ascii="仿宋_GB2312" w:hAnsi="仿宋_GB2312" w:eastAsia="仿宋_GB2312"/>
          <w:b w:val="0"/>
          <w:sz w:val="32"/>
        </w:rPr>
        <w:t>18.住房保障支出(类)住房改革支出(款)住房公积金(项):支出决算数为132.96万元，比上年决算增加7.49万元，增长5.97%,主要原因是：本年在职人员调薪，住房公积金缴费增加。</w:t>
      </w:r>
    </w:p>
    <w:p w14:paraId="60FF02BE">
      <w:pPr>
        <w:spacing w:line="580" w:lineRule="exact"/>
        <w:ind w:firstLine="640"/>
        <w:jc w:val="both"/>
      </w:pPr>
      <w:r>
        <w:rPr>
          <w:rFonts w:ascii="仿宋_GB2312" w:hAnsi="仿宋_GB2312" w:eastAsia="仿宋_GB2312"/>
          <w:b w:val="0"/>
          <w:sz w:val="32"/>
        </w:rPr>
        <w:t>19.其他支出(类)其他支出(款)其他支出(项):支出决算数为4.61万元，比上年决算减少27.65万元，下降85.71%,主要原因是：本年科目调整，为民办实事工作经费上年在其他支出科目列支，本年在其他组织事务支出科目列支，导致经费较上年减少。</w:t>
      </w:r>
    </w:p>
    <w:p w14:paraId="26EC12EB">
      <w:pPr>
        <w:spacing w:line="640" w:lineRule="exact"/>
        <w:ind w:firstLine="640"/>
        <w:jc w:val="both"/>
        <w:outlineLvl w:val="2"/>
      </w:pPr>
      <w:r>
        <w:rPr>
          <w:rFonts w:ascii="黑体" w:hAnsi="黑体" w:eastAsia="黑体"/>
          <w:sz w:val="32"/>
        </w:rPr>
        <w:t>六、一般公共预算财政拨款基本支出决算情况说明</w:t>
      </w:r>
    </w:p>
    <w:p w14:paraId="1E5F41E0">
      <w:pPr>
        <w:spacing w:line="580" w:lineRule="exact"/>
        <w:ind w:firstLine="640"/>
        <w:jc w:val="both"/>
      </w:pPr>
      <w:r>
        <w:rPr>
          <w:rFonts w:ascii="仿宋_GB2312" w:hAnsi="仿宋_GB2312" w:eastAsia="仿宋_GB2312"/>
          <w:b w:val="0"/>
          <w:sz w:val="32"/>
        </w:rPr>
        <w:t>2024年度一般公共预算财政拨款基本支出1,835.90万元，其中：</w:t>
      </w:r>
      <w:r>
        <w:rPr>
          <w:rFonts w:ascii="仿宋_GB2312" w:hAnsi="仿宋_GB2312" w:eastAsia="仿宋_GB2312"/>
          <w:b/>
          <w:sz w:val="32"/>
        </w:rPr>
        <w:t>人员经费1,716.38万元，</w:t>
      </w:r>
      <w:r>
        <w:rPr>
          <w:rFonts w:ascii="仿宋_GB2312" w:hAnsi="仿宋_GB2312" w:eastAsia="仿宋_GB2312"/>
          <w:b w:val="0"/>
          <w:sz w:val="32"/>
        </w:rPr>
        <w:t>包括：基本工资、津贴补贴、奖金、伙食补助费、机关事业单位基本养老保险缴费、职业年金缴费、职工基本医疗保险缴费、公务员医疗补助缴费、住房公积金、退休费、生活补助。</w:t>
      </w:r>
    </w:p>
    <w:p w14:paraId="4E5E25BA">
      <w:pPr>
        <w:spacing w:line="580" w:lineRule="exact"/>
        <w:ind w:firstLine="640"/>
        <w:jc w:val="both"/>
      </w:pPr>
      <w:r>
        <w:rPr>
          <w:rFonts w:ascii="仿宋_GB2312" w:hAnsi="仿宋_GB2312" w:eastAsia="仿宋_GB2312"/>
          <w:b/>
          <w:sz w:val="32"/>
        </w:rPr>
        <w:t>公用经费119.53万元，</w:t>
      </w:r>
      <w:r>
        <w:rPr>
          <w:rFonts w:ascii="仿宋_GB2312" w:hAnsi="仿宋_GB2312" w:eastAsia="仿宋_GB2312"/>
          <w:b w:val="0"/>
          <w:sz w:val="32"/>
        </w:rPr>
        <w:t>包括：办公费、水费、电费、邮电费、取暖费、差旅费、维修（护）费、劳务费、公务用车运行维护费、其他交通费用、其他商品和服务支出。</w:t>
      </w:r>
    </w:p>
    <w:p w14:paraId="6415105B">
      <w:pPr>
        <w:spacing w:line="640" w:lineRule="exact"/>
        <w:ind w:firstLine="640"/>
        <w:jc w:val="both"/>
        <w:outlineLvl w:val="2"/>
      </w:pPr>
      <w:r>
        <w:rPr>
          <w:rFonts w:ascii="黑体" w:hAnsi="黑体" w:eastAsia="黑体"/>
          <w:sz w:val="32"/>
        </w:rPr>
        <w:t>七、政府性基金预算财政拨款收入支出决算情况说明</w:t>
      </w:r>
    </w:p>
    <w:p w14:paraId="7E55AA62">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0AF693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减少300.00万元，下降100.00%，主要原因是：本年减少2023年砖厂补偿款项目，导致本年经费减少。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年初预算数0.00万元，决算数0.00万元，预决算差异率0.00%，主要原因是：本单位无政府性基金预算财政拨款。</w:t>
      </w:r>
    </w:p>
    <w:p w14:paraId="164A9B5F">
      <w:pPr>
        <w:spacing w:line="580" w:lineRule="exact"/>
        <w:ind w:firstLine="640"/>
        <w:jc w:val="both"/>
      </w:pPr>
      <w:r>
        <w:rPr>
          <w:rFonts w:ascii="仿宋_GB2312" w:hAnsi="仿宋_GB2312" w:eastAsia="仿宋_GB2312"/>
          <w:b w:val="0"/>
          <w:sz w:val="32"/>
        </w:rPr>
        <w:t>政府性基金预算财政拨款支出0.00万元。</w:t>
      </w:r>
    </w:p>
    <w:p w14:paraId="5C18BEB7">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300.00万元，下降100.00%,主要原因是：本年减少2023年砖厂补偿款项目，导致本年经费减少。</w:t>
      </w:r>
    </w:p>
    <w:p w14:paraId="17E9B31F">
      <w:pPr>
        <w:spacing w:line="640" w:lineRule="exact"/>
        <w:ind w:firstLine="640"/>
        <w:jc w:val="both"/>
        <w:outlineLvl w:val="2"/>
      </w:pPr>
      <w:r>
        <w:rPr>
          <w:rFonts w:ascii="黑体" w:hAnsi="黑体" w:eastAsia="黑体"/>
          <w:sz w:val="32"/>
        </w:rPr>
        <w:t>八、国有资本经营预算财政拨款收入支出决算情况说明</w:t>
      </w:r>
    </w:p>
    <w:p w14:paraId="48978E4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D3A823">
      <w:pPr>
        <w:spacing w:line="640" w:lineRule="exact"/>
        <w:ind w:firstLine="640"/>
        <w:jc w:val="both"/>
        <w:outlineLvl w:val="2"/>
      </w:pPr>
      <w:r>
        <w:rPr>
          <w:rFonts w:ascii="黑体" w:hAnsi="黑体" w:eastAsia="黑体"/>
          <w:sz w:val="32"/>
        </w:rPr>
        <w:t>九、财政拨款“三公”经费支出决算情况说明</w:t>
      </w:r>
    </w:p>
    <w:p w14:paraId="5E524784">
      <w:pPr>
        <w:spacing w:line="580" w:lineRule="exact"/>
        <w:ind w:firstLine="640"/>
        <w:jc w:val="both"/>
      </w:pPr>
      <w:r>
        <w:rPr>
          <w:rFonts w:ascii="仿宋_GB2312" w:hAnsi="仿宋_GB2312" w:eastAsia="仿宋_GB2312"/>
          <w:b/>
          <w:sz w:val="32"/>
        </w:rPr>
        <w:t>2024年度财政拨款“三公”经费支出12.98万元，</w:t>
      </w:r>
      <w:r>
        <w:rPr>
          <w:rFonts w:ascii="仿宋_GB2312" w:hAnsi="仿宋_GB2312" w:eastAsia="仿宋_GB2312"/>
          <w:b w:val="0"/>
          <w:sz w:val="32"/>
        </w:rPr>
        <w:t>比上年减少1.47万元，下降10.17%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12.98万元，占100.00%，比上年减少1.47万元，下降10.17%，主要原因是：严格落实中央八项规定精神，厉行节约，减少公务用车运行维护费。公务接待费支出0.00万元，占0.00%，比上年增加0.00万元，增长0.00%，主要原因是：2023年与2024年均未安排公务接待费支出。</w:t>
      </w:r>
    </w:p>
    <w:p w14:paraId="6782BA87">
      <w:pPr>
        <w:spacing w:line="580" w:lineRule="exact"/>
        <w:ind w:firstLine="640"/>
        <w:jc w:val="both"/>
      </w:pPr>
      <w:r>
        <w:rPr>
          <w:rFonts w:ascii="仿宋_GB2312" w:hAnsi="仿宋_GB2312" w:eastAsia="仿宋_GB2312"/>
          <w:b/>
          <w:sz w:val="32"/>
        </w:rPr>
        <w:t>具体情况如下：</w:t>
      </w:r>
    </w:p>
    <w:p w14:paraId="54B7379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B786C55">
      <w:pPr>
        <w:spacing w:line="580" w:lineRule="exact"/>
        <w:ind w:firstLine="640"/>
        <w:jc w:val="both"/>
      </w:pPr>
      <w:r>
        <w:rPr>
          <w:rFonts w:ascii="仿宋_GB2312" w:hAnsi="仿宋_GB2312" w:eastAsia="仿宋_GB2312"/>
          <w:b w:val="0"/>
          <w:sz w:val="32"/>
        </w:rPr>
        <w:t>公务用车购置及运行维护费12.98万元，其中：公务用车购置费0.00万元，公务用车运行维护费12.98万元。公务用车运行维护费开支内容包括车辆加油费、维修费。公务用车购置数0辆，公务用车保有量10辆。国有资产占用情况中固定资产车辆10辆，与公务用车保有量差异原因是：本单位固定资产车辆与公务用车保有量一致无差异。</w:t>
      </w:r>
    </w:p>
    <w:p w14:paraId="7F01F17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63B93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12.98万元，决算数12.98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12.98万元，决算数12.98万元，预决算差异率0.00%，主要原因是：严格按照预算执行，预决算无差异。公务接待费全年预算数0.00万元，决算数0.00万元，预决算差异率0.00%，主要原因是：本单位无公务接待费。</w:t>
      </w:r>
    </w:p>
    <w:p w14:paraId="40B7D781">
      <w:pPr>
        <w:spacing w:line="640" w:lineRule="exact"/>
        <w:ind w:firstLine="640"/>
        <w:jc w:val="both"/>
        <w:outlineLvl w:val="2"/>
      </w:pPr>
      <w:r>
        <w:rPr>
          <w:rFonts w:ascii="黑体" w:hAnsi="黑体" w:eastAsia="黑体"/>
          <w:sz w:val="32"/>
        </w:rPr>
        <w:t>十、其他重要事项的情况说明</w:t>
      </w:r>
    </w:p>
    <w:p w14:paraId="6CAD0784">
      <w:pPr>
        <w:spacing w:line="640" w:lineRule="exact"/>
        <w:ind w:firstLine="640"/>
        <w:jc w:val="both"/>
        <w:outlineLvl w:val="3"/>
      </w:pPr>
      <w:r>
        <w:rPr>
          <w:rFonts w:ascii="楷体_GB2312" w:hAnsi="楷体_GB2312" w:eastAsia="楷体_GB2312"/>
          <w:b/>
          <w:sz w:val="32"/>
        </w:rPr>
        <w:t>（一）机关运行经费及公用经费支出情况</w:t>
      </w:r>
    </w:p>
    <w:p w14:paraId="6C3F6580">
      <w:pPr>
        <w:spacing w:line="580" w:lineRule="exact"/>
        <w:ind w:firstLine="640"/>
        <w:jc w:val="both"/>
      </w:pPr>
      <w:r>
        <w:rPr>
          <w:rFonts w:ascii="仿宋_GB2312" w:hAnsi="仿宋_GB2312" w:eastAsia="仿宋_GB2312"/>
          <w:b w:val="0"/>
          <w:sz w:val="32"/>
        </w:rPr>
        <w:t>2024年度麦盖提县库木库萨尔乡人民政府（行政单位和参照公务员法管理事业单位）机关运行经费支出119.53万元，比上年减少11.19万元，下降8.56%，主要原因是：严格控制公用经费，合理节约办公用品，办公费用减少，导致机关运行经费较上年减少。</w:t>
      </w:r>
    </w:p>
    <w:p w14:paraId="2BACB907">
      <w:pPr>
        <w:spacing w:line="640" w:lineRule="exact"/>
        <w:ind w:firstLine="640"/>
        <w:jc w:val="both"/>
        <w:outlineLvl w:val="3"/>
      </w:pPr>
      <w:r>
        <w:rPr>
          <w:rFonts w:ascii="楷体_GB2312" w:hAnsi="楷体_GB2312" w:eastAsia="楷体_GB2312"/>
          <w:b/>
          <w:sz w:val="32"/>
        </w:rPr>
        <w:t>（二）政府采购情况</w:t>
      </w:r>
    </w:p>
    <w:p w14:paraId="3B7BE8ED">
      <w:pPr>
        <w:spacing w:line="580" w:lineRule="exact"/>
        <w:ind w:firstLine="640"/>
        <w:jc w:val="both"/>
      </w:pPr>
      <w:r>
        <w:rPr>
          <w:rFonts w:ascii="仿宋_GB2312" w:hAnsi="仿宋_GB2312" w:eastAsia="仿宋_GB2312"/>
          <w:b w:val="0"/>
          <w:sz w:val="32"/>
        </w:rPr>
        <w:t>2024年度政府采购支出总额383.74万元，其中：政府采购货物支出222.71万元、政府采购工程支出161.02万元、政府采购服务支出0.00万元。</w:t>
      </w:r>
    </w:p>
    <w:p w14:paraId="01FAD75F">
      <w:pPr>
        <w:spacing w:line="580" w:lineRule="exact"/>
        <w:ind w:firstLine="640"/>
        <w:jc w:val="both"/>
      </w:pPr>
      <w:r>
        <w:rPr>
          <w:rFonts w:ascii="仿宋_GB2312" w:hAnsi="仿宋_GB2312" w:eastAsia="仿宋_GB2312"/>
          <w:b w:val="0"/>
          <w:sz w:val="32"/>
        </w:rPr>
        <w:t>授予中小企业合同金额376.81万元，占政府采购支出总额的98.19%，其中：授予小微企业合同金额370.75万元，占政府采购支出总额的96.61%。</w:t>
      </w:r>
    </w:p>
    <w:p w14:paraId="1AB87D0A">
      <w:pPr>
        <w:spacing w:line="640" w:lineRule="exact"/>
        <w:ind w:firstLine="640"/>
        <w:jc w:val="both"/>
        <w:outlineLvl w:val="3"/>
      </w:pPr>
      <w:r>
        <w:rPr>
          <w:rFonts w:ascii="楷体_GB2312" w:hAnsi="楷体_GB2312" w:eastAsia="楷体_GB2312"/>
          <w:b/>
          <w:sz w:val="32"/>
        </w:rPr>
        <w:t>（三）国有资产占用情况说明</w:t>
      </w:r>
    </w:p>
    <w:p w14:paraId="2034C982">
      <w:pPr>
        <w:spacing w:line="580" w:lineRule="exact"/>
        <w:ind w:firstLine="640"/>
        <w:jc w:val="both"/>
      </w:pPr>
      <w:r>
        <w:rPr>
          <w:rFonts w:ascii="仿宋_GB2312" w:hAnsi="仿宋_GB2312" w:eastAsia="仿宋_GB2312"/>
          <w:b w:val="0"/>
          <w:sz w:val="32"/>
        </w:rPr>
        <w:t>截至2024年12月31日，房屋13,055.97平方米，价值4,306.19万元。车辆10辆，价值130.50万元，其中：副部（省）级及以上领导用车0辆、主要负责人用车0辆、机要通信用车0辆、应急保障用车0辆、执法执勤用车0辆、特种专业技术用车0辆、离退休干部服务用车0辆、其他用车10辆，其他用车主要是：一般公务用车。单价100万元（含）以上设备（不含车辆）2台（套）。</w:t>
      </w:r>
    </w:p>
    <w:p w14:paraId="0C9B5987">
      <w:pPr>
        <w:spacing w:line="640" w:lineRule="exact"/>
        <w:ind w:firstLine="640"/>
        <w:jc w:val="both"/>
        <w:outlineLvl w:val="2"/>
      </w:pPr>
      <w:r>
        <w:rPr>
          <w:rFonts w:ascii="黑体" w:hAnsi="黑体" w:eastAsia="黑体"/>
          <w:sz w:val="32"/>
        </w:rPr>
        <w:t>十一、预算绩效的情况说明</w:t>
      </w:r>
    </w:p>
    <w:p w14:paraId="772BA70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4,595.98万元，实际执行总额4,592.56万元；预算绩效评价项目2个，全年预算数682.28万元，全年执行数682.28万元。预算绩效管理取得的成效：一是预算绩效管理制度建设不断完善。围绕建立“全方位、全过程、全覆盖”的预算绩效管理体系目标，强化制度设计，建立健全制度办法和工作机制，涵盖了事前绩效评估、绩效目标管理、绩效运行监控、绩效评价及结果应用等各环节，为推动预算绩效管理工作奠定了坚实的制度基础。二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积极发挥考核“指挥棒”作用，把部门绩效管理工作纳入年底工作考核。发现的问题及原因：一是“全方位、全过程、全覆盖”预算绩效管理闭环体系需要完善。新增项目支出事前绩效评估规定落实有差距，事前绩效约束作用不明显；整体预算绩效科学化、规范化水平不高，针对性不强。二是单位承担预算绩效管理主体责任不够。参与预算绩效管理的主动性和积极性不高。单位财务、业务部门存在责任不清、被动应付的情况。绩效自评打分结果普遍虚高，对项目本身存在的预算执行率低、绩效指标偏差大等核心问题避而不谈。三是预算绩效管理质量、效益有待提升。对建立健全预算绩效管理体系研究不系统、不深入，把握重点能力不足，一定程度上还存在流于形式的情况，没有发挥出绩效辅助提高预算管理质量的核心作用。四是预算绩效评价结果的激励约束作用需要进一步加强。“花钱必问效、无效必问责”的绩效要求还没有完全落实不到位，对绩效奖惩力度不够，评价结果的应用没有触及痛点。以上问题，需要在今后的工作中认真研究解决。下一步改进措施：一是压实预算绩效责任落实。按照中央、自治区全面实施预算绩效管理要求，进一步压实部门单位和资金使用部门的预算绩效管理主体责任，逐步细化优化自治区绩效考核涉及预算绩效管理考评体系，强化“花钱必问效、无效必问责”的绩效管理约束。认真落实财政部门预算绩效监督管理责任，推动提高部门和单位整体绩效水平。二是研究制定事前绩效评估操作规范。强化新增财政项目支出的事前评估，在现有管理制度下进一步研究提出部门单位开展事前绩效评估的具体操作规范，重点论证立项必要性、投入经济性、绩效目标合理性、实施方案可行性、筹资合规性等，评估结果作为科学安排预算的重要依据。三是强化“全过程”预算绩效管理结果应用。严格落实《关于加强和规范自治区本级项目支出“全过程”预算绩效管理结果应用的通知》（新财预〔2022〕57号）规定，建立健全财政项目支出“全覆盖”绩效管理结果应用清单，逐项跟踪绩效结果应用，接受财政监管。四是推动部门单位整体收支预算绩效管理。围绕部门单位职责、发展规划，以预算管理为主线，统筹考虑资产和业务活动，研究提出部门单位整体收支预算绩效管理的目标、监控、评价框架，整合衡量部门单位履职及核心业务实施成效。具体附整体支出绩效自评表，项目支出绩效自评表和评价报告。</w:t>
      </w:r>
    </w:p>
    <w:p w14:paraId="195E061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61DA73">
        <w:tblPrEx>
          <w:tblCellMar>
            <w:top w:w="0" w:type="dxa"/>
            <w:left w:w="108" w:type="dxa"/>
            <w:bottom w:w="0" w:type="dxa"/>
            <w:right w:w="108" w:type="dxa"/>
          </w:tblCellMar>
        </w:tblPrEx>
        <w:tc>
          <w:tcPr>
            <w:tcW w:w="8847" w:type="dxa"/>
            <w:gridSpan w:val="9"/>
            <w:vAlign w:val="center"/>
          </w:tcPr>
          <w:p w14:paraId="2B57412B">
            <w:pPr>
              <w:jc w:val="center"/>
            </w:pPr>
            <w:r>
              <w:rPr>
                <w:rFonts w:ascii="宋体" w:hAnsi="宋体" w:eastAsia="宋体"/>
                <w:sz w:val="24"/>
              </w:rPr>
              <w:t>单位整体支出绩效自评表</w:t>
            </w:r>
          </w:p>
        </w:tc>
      </w:tr>
      <w:tr w14:paraId="120EC75D">
        <w:tblPrEx>
          <w:tblCellMar>
            <w:top w:w="0" w:type="dxa"/>
            <w:left w:w="108" w:type="dxa"/>
            <w:bottom w:w="0" w:type="dxa"/>
            <w:right w:w="108" w:type="dxa"/>
          </w:tblCellMar>
        </w:tblPrEx>
        <w:tc>
          <w:tcPr>
            <w:tcW w:w="8847" w:type="dxa"/>
            <w:gridSpan w:val="9"/>
            <w:vAlign w:val="center"/>
          </w:tcPr>
          <w:p w14:paraId="442C7D98">
            <w:pPr>
              <w:jc w:val="center"/>
            </w:pPr>
            <w:r>
              <w:rPr>
                <w:rFonts w:ascii="宋体" w:hAnsi="宋体" w:eastAsia="宋体"/>
                <w:sz w:val="24"/>
              </w:rPr>
              <w:t>（2024年度）</w:t>
            </w:r>
          </w:p>
        </w:tc>
      </w:tr>
      <w:tr w14:paraId="329375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D811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1731A6">
            <w:pPr>
              <w:jc w:val="center"/>
            </w:pPr>
            <w:r>
              <w:rPr>
                <w:rFonts w:ascii="宋体" w:hAnsi="宋体" w:eastAsia="宋体"/>
                <w:sz w:val="16"/>
              </w:rPr>
              <w:t>麦盖提县库木库萨尔乡人民政府</w:t>
            </w:r>
          </w:p>
        </w:tc>
      </w:tr>
      <w:tr w14:paraId="74B58D8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952F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CA35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86D3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447C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D4E2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14CA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2994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261BC">
            <w:pPr>
              <w:jc w:val="center"/>
            </w:pPr>
            <w:r>
              <w:rPr>
                <w:rFonts w:ascii="宋体" w:hAnsi="宋体" w:eastAsia="宋体"/>
                <w:sz w:val="16"/>
              </w:rPr>
              <w:t>得分</w:t>
            </w:r>
          </w:p>
        </w:tc>
      </w:tr>
      <w:tr w14:paraId="15281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43E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BA5D6">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94BF0">
            <w:pPr>
              <w:jc w:val="center"/>
            </w:pPr>
            <w:r>
              <w:rPr>
                <w:rFonts w:ascii="宋体" w:hAnsi="宋体" w:eastAsia="宋体"/>
                <w:sz w:val="16"/>
              </w:rPr>
              <w:t>1,864.23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18125">
            <w:pPr>
              <w:jc w:val="center"/>
            </w:pPr>
            <w:r>
              <w:rPr>
                <w:rFonts w:ascii="宋体" w:hAnsi="宋体" w:eastAsia="宋体"/>
                <w:sz w:val="16"/>
              </w:rPr>
              <w:t>4,595.98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5E4B9">
            <w:pPr>
              <w:jc w:val="center"/>
            </w:pPr>
            <w:r>
              <w:rPr>
                <w:rFonts w:ascii="宋体" w:hAnsi="宋体" w:eastAsia="宋体"/>
                <w:sz w:val="16"/>
              </w:rPr>
              <w:t>4,592.56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B3B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ED629">
            <w:pPr>
              <w:jc w:val="center"/>
            </w:pPr>
            <w:r>
              <w:rPr>
                <w:rFonts w:ascii="宋体" w:hAnsi="宋体" w:eastAsia="宋体"/>
                <w:sz w:val="16"/>
              </w:rPr>
              <w:t>99.93%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BD69">
            <w:pPr>
              <w:jc w:val="center"/>
            </w:pPr>
            <w:r>
              <w:rPr>
                <w:rFonts w:ascii="宋体" w:hAnsi="宋体" w:eastAsia="宋体"/>
                <w:sz w:val="16"/>
              </w:rPr>
              <w:t>9.99</w:t>
            </w:r>
          </w:p>
        </w:tc>
      </w:tr>
      <w:tr w14:paraId="511094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440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EDAD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DC08E">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F5760">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2BCA5">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855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EC96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D7E5">
            <w:pPr>
              <w:jc w:val="center"/>
            </w:pPr>
            <w:r>
              <w:rPr>
                <w:rFonts w:ascii="宋体" w:hAnsi="宋体" w:eastAsia="宋体"/>
                <w:sz w:val="16"/>
              </w:rPr>
              <w:t>—</w:t>
            </w:r>
          </w:p>
        </w:tc>
      </w:tr>
      <w:tr w14:paraId="3EA189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D8BC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3961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9BD0A">
            <w:pPr>
              <w:jc w:val="center"/>
            </w:pPr>
            <w:r>
              <w:rPr>
                <w:rFonts w:ascii="宋体" w:hAnsi="宋体" w:eastAsia="宋体"/>
                <w:sz w:val="16"/>
              </w:rPr>
              <w:t>1,814.23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7BF8">
            <w:pPr>
              <w:jc w:val="center"/>
            </w:pPr>
            <w:r>
              <w:rPr>
                <w:rFonts w:ascii="宋体" w:hAnsi="宋体" w:eastAsia="宋体"/>
                <w:sz w:val="16"/>
              </w:rPr>
              <w:t>3,075.63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5CFE3">
            <w:pPr>
              <w:jc w:val="center"/>
            </w:pPr>
            <w:r>
              <w:rPr>
                <w:rFonts w:ascii="宋体" w:hAnsi="宋体" w:eastAsia="宋体"/>
                <w:sz w:val="16"/>
              </w:rPr>
              <w:t>3,072.21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624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30BF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7D7E">
            <w:pPr>
              <w:jc w:val="center"/>
            </w:pPr>
            <w:r>
              <w:rPr>
                <w:rFonts w:ascii="宋体" w:hAnsi="宋体" w:eastAsia="宋体"/>
                <w:sz w:val="16"/>
              </w:rPr>
              <w:t>—</w:t>
            </w:r>
          </w:p>
        </w:tc>
      </w:tr>
      <w:tr w14:paraId="4B0331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13C7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3B6F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E91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56F59">
            <w:pPr>
              <w:jc w:val="center"/>
            </w:pPr>
            <w:r>
              <w:rPr>
                <w:rFonts w:ascii="宋体" w:hAnsi="宋体" w:eastAsia="宋体"/>
                <w:sz w:val="16"/>
              </w:rPr>
              <w:t>1,470.35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80983">
            <w:pPr>
              <w:jc w:val="center"/>
            </w:pPr>
            <w:r>
              <w:rPr>
                <w:rFonts w:ascii="宋体" w:hAnsi="宋体" w:eastAsia="宋体"/>
                <w:sz w:val="16"/>
              </w:rPr>
              <w:t>1,470.35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B1E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B642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6EFC">
            <w:pPr>
              <w:jc w:val="center"/>
            </w:pPr>
            <w:r>
              <w:rPr>
                <w:rFonts w:ascii="宋体" w:hAnsi="宋体" w:eastAsia="宋体"/>
                <w:sz w:val="16"/>
              </w:rPr>
              <w:t>—</w:t>
            </w:r>
          </w:p>
        </w:tc>
      </w:tr>
      <w:tr w14:paraId="6AD823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EF82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92072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A33165">
            <w:pPr>
              <w:jc w:val="center"/>
              <w:rPr>
                <w:rFonts w:hint="eastAsia" w:eastAsia="宋体"/>
                <w:lang w:eastAsia="zh-CN"/>
              </w:rPr>
            </w:pPr>
            <w:r>
              <w:rPr>
                <w:rFonts w:hint="eastAsia" w:ascii="宋体" w:hAnsi="宋体"/>
                <w:sz w:val="16"/>
                <w:lang w:eastAsia="zh-CN"/>
              </w:rPr>
              <w:t>实际完成情况</w:t>
            </w:r>
          </w:p>
        </w:tc>
      </w:tr>
      <w:tr w14:paraId="0E144A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1F50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A5F9FA">
            <w:pPr>
              <w:jc w:val="both"/>
            </w:pPr>
            <w:r>
              <w:rPr>
                <w:rFonts w:hint="eastAsia" w:ascii="宋体" w:hAnsi="宋体"/>
                <w:sz w:val="16"/>
                <w:lang w:eastAsia="zh-CN"/>
              </w:rPr>
              <w:t>1.</w:t>
            </w:r>
            <w:r>
              <w:rPr>
                <w:rFonts w:ascii="宋体" w:hAnsi="宋体" w:eastAsia="宋体"/>
                <w:sz w:val="16"/>
              </w:rPr>
              <w:t>管理本乡内的经济、教育、科技、文化、卫生、体育事业和财政、民政、治安、人民调解、安全生产监督管理等行政工作；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3、完成</w:t>
            </w:r>
            <w:r>
              <w:rPr>
                <w:rFonts w:hint="eastAsia" w:ascii="宋体" w:hAnsi="宋体"/>
                <w:sz w:val="16"/>
                <w:lang w:eastAsia="zh-CN"/>
              </w:rPr>
              <w:t>县委、县政府</w:t>
            </w:r>
            <w:r>
              <w:rPr>
                <w:rFonts w:ascii="宋体" w:hAnsi="宋体" w:eastAsia="宋体"/>
                <w:sz w:val="16"/>
              </w:rPr>
              <w:t>及上级主管部门交办的其他任务。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3C064A">
            <w:pPr>
              <w:jc w:val="both"/>
            </w:pPr>
            <w:r>
              <w:rPr>
                <w:rFonts w:hint="eastAsia" w:ascii="宋体" w:hAnsi="宋体"/>
                <w:sz w:val="16"/>
                <w:lang w:eastAsia="zh-CN"/>
              </w:rPr>
              <w:t>截至</w:t>
            </w:r>
            <w:r>
              <w:rPr>
                <w:rFonts w:ascii="宋体" w:hAnsi="宋体" w:eastAsia="宋体"/>
                <w:sz w:val="16"/>
              </w:rPr>
              <w:t>绩效自评日，我单位已完成以下任务：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1、管理本乡内的经济、教育、科技、文化、卫生、体育事业和财政、民政、治安、人民调解、安全生产监督管理等行政工作，本年内群众困难诉求已全部解决，耕地保护覆盖率达到100%；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2、保护社会主义的全民财产和劳动群体集体所有财产，保护公民私人的合法所有财产，维护社会秩序，保障公民的</w:t>
            </w:r>
            <w:r>
              <w:rPr>
                <w:rFonts w:hint="eastAsia" w:ascii="宋体" w:hAnsi="宋体"/>
                <w:sz w:val="16"/>
                <w:lang w:eastAsia="zh-CN"/>
              </w:rPr>
              <w:t>人身权利</w:t>
            </w:r>
            <w:r>
              <w:rPr>
                <w:rFonts w:ascii="宋体" w:hAnsi="宋体" w:eastAsia="宋体"/>
                <w:sz w:val="16"/>
              </w:rPr>
              <w:t>、民主权利和其他权利，防返贫监测全覆盖；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3、已完成宣传教育活动12次，劳动力就业率达到100%。</w:t>
            </w:r>
          </w:p>
        </w:tc>
      </w:tr>
      <w:tr w14:paraId="4BEE4A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B383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9E4E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21EA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451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A482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6569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8103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D43A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84345">
            <w:pPr>
              <w:jc w:val="center"/>
            </w:pPr>
            <w:r>
              <w:rPr>
                <w:rFonts w:ascii="宋体" w:hAnsi="宋体" w:eastAsia="宋体"/>
                <w:sz w:val="16"/>
              </w:rPr>
              <w:t>得分</w:t>
            </w:r>
          </w:p>
        </w:tc>
      </w:tr>
      <w:tr w14:paraId="09E054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B8B7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492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E1B1B">
            <w:pPr>
              <w:jc w:val="center"/>
            </w:pPr>
            <w:r>
              <w:rPr>
                <w:rFonts w:ascii="宋体" w:hAnsi="宋体" w:eastAsia="宋体"/>
                <w:sz w:val="16"/>
              </w:rPr>
              <w:t>宣传教育活动次数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DBC82">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09DB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7A9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24D03">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ABF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7EA8C">
            <w:pPr>
              <w:jc w:val="center"/>
            </w:pPr>
            <w:r>
              <w:rPr>
                <w:rFonts w:ascii="宋体" w:hAnsi="宋体" w:eastAsia="宋体"/>
                <w:sz w:val="16"/>
              </w:rPr>
              <w:t>18</w:t>
            </w:r>
          </w:p>
        </w:tc>
      </w:tr>
      <w:tr w14:paraId="563A14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5D84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86D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00D54">
            <w:pPr>
              <w:jc w:val="center"/>
            </w:pPr>
            <w:r>
              <w:rPr>
                <w:rFonts w:ascii="宋体" w:hAnsi="宋体" w:eastAsia="宋体"/>
                <w:sz w:val="16"/>
              </w:rPr>
              <w:t>劳动力就业率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6E5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1FB40">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4439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F0A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CC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868E1">
            <w:pPr>
              <w:jc w:val="center"/>
            </w:pPr>
            <w:r>
              <w:rPr>
                <w:rFonts w:ascii="宋体" w:hAnsi="宋体" w:eastAsia="宋体"/>
                <w:sz w:val="16"/>
              </w:rPr>
              <w:t>18</w:t>
            </w:r>
          </w:p>
        </w:tc>
      </w:tr>
      <w:tr w14:paraId="7A3129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0DD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632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04E55">
            <w:pPr>
              <w:jc w:val="center"/>
            </w:pPr>
            <w:r>
              <w:rPr>
                <w:rFonts w:ascii="宋体" w:hAnsi="宋体" w:eastAsia="宋体"/>
                <w:sz w:val="16"/>
              </w:rPr>
              <w:t>群众困难诉求解决完成率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275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8CFE5">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7F36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81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CCD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5F257">
            <w:pPr>
              <w:jc w:val="center"/>
            </w:pPr>
            <w:r>
              <w:rPr>
                <w:rFonts w:ascii="宋体" w:hAnsi="宋体" w:eastAsia="宋体"/>
                <w:sz w:val="16"/>
              </w:rPr>
              <w:t>18</w:t>
            </w:r>
          </w:p>
        </w:tc>
      </w:tr>
      <w:tr w14:paraId="007B18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332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9EA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150EC">
            <w:pPr>
              <w:jc w:val="center"/>
            </w:pPr>
            <w:r>
              <w:rPr>
                <w:rFonts w:ascii="宋体" w:hAnsi="宋体" w:eastAsia="宋体"/>
                <w:sz w:val="16"/>
              </w:rPr>
              <w:t>防返贫监测覆盖率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5AE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CE1EB">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B8034">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D0C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052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FE2ED">
            <w:pPr>
              <w:jc w:val="center"/>
            </w:pPr>
            <w:r>
              <w:rPr>
                <w:rFonts w:ascii="宋体" w:hAnsi="宋体" w:eastAsia="宋体"/>
                <w:sz w:val="16"/>
              </w:rPr>
              <w:t>18</w:t>
            </w:r>
          </w:p>
        </w:tc>
      </w:tr>
      <w:tr w14:paraId="5E76DD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590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E1B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D809B">
            <w:pPr>
              <w:jc w:val="center"/>
            </w:pPr>
            <w:r>
              <w:rPr>
                <w:rFonts w:ascii="宋体" w:hAnsi="宋体" w:eastAsia="宋体"/>
                <w:sz w:val="16"/>
              </w:rPr>
              <w:t>耕地保护覆盖率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BB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0C117">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A469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AA0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2EA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8CCC1">
            <w:pPr>
              <w:jc w:val="center"/>
            </w:pPr>
            <w:r>
              <w:rPr>
                <w:rFonts w:ascii="宋体" w:hAnsi="宋体" w:eastAsia="宋体"/>
                <w:sz w:val="16"/>
              </w:rPr>
              <w:t>18</w:t>
            </w:r>
          </w:p>
        </w:tc>
      </w:tr>
    </w:tbl>
    <w:p w14:paraId="23C0E8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9C7FECB">
        <w:tblPrEx>
          <w:tblCellMar>
            <w:top w:w="0" w:type="dxa"/>
            <w:left w:w="108" w:type="dxa"/>
            <w:bottom w:w="0" w:type="dxa"/>
            <w:right w:w="108" w:type="dxa"/>
          </w:tblCellMar>
        </w:tblPrEx>
        <w:tc>
          <w:tcPr>
            <w:tcW w:w="8848" w:type="dxa"/>
            <w:gridSpan w:val="14"/>
            <w:vAlign w:val="center"/>
          </w:tcPr>
          <w:p w14:paraId="5E09856F">
            <w:pPr>
              <w:jc w:val="center"/>
            </w:pPr>
            <w:r>
              <w:rPr>
                <w:rFonts w:ascii="宋体" w:hAnsi="宋体" w:eastAsia="宋体"/>
                <w:sz w:val="24"/>
              </w:rPr>
              <w:t>项目支出绩效自评表</w:t>
            </w:r>
          </w:p>
        </w:tc>
      </w:tr>
      <w:tr w14:paraId="61F83AC8">
        <w:tblPrEx>
          <w:tblCellMar>
            <w:top w:w="0" w:type="dxa"/>
            <w:left w:w="108" w:type="dxa"/>
            <w:bottom w:w="0" w:type="dxa"/>
            <w:right w:w="108" w:type="dxa"/>
          </w:tblCellMar>
        </w:tblPrEx>
        <w:tc>
          <w:tcPr>
            <w:tcW w:w="8848" w:type="dxa"/>
            <w:gridSpan w:val="14"/>
            <w:vAlign w:val="center"/>
          </w:tcPr>
          <w:p w14:paraId="20C5FE28">
            <w:pPr>
              <w:jc w:val="center"/>
            </w:pPr>
            <w:r>
              <w:rPr>
                <w:rFonts w:ascii="宋体" w:hAnsi="宋体" w:eastAsia="宋体"/>
                <w:sz w:val="24"/>
              </w:rPr>
              <w:t>(2024年度)</w:t>
            </w:r>
          </w:p>
        </w:tc>
      </w:tr>
      <w:tr w14:paraId="595F76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68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6B18C1">
            <w:pPr>
              <w:jc w:val="center"/>
            </w:pPr>
            <w:r>
              <w:rPr>
                <w:rFonts w:ascii="宋体" w:hAnsi="宋体" w:eastAsia="宋体"/>
                <w:sz w:val="16"/>
              </w:rPr>
              <w:t>2024年麦盖提县库木库萨尔乡业务活动项目</w:t>
            </w:r>
          </w:p>
        </w:tc>
      </w:tr>
      <w:tr w14:paraId="6FFD99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82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4D105">
            <w:pPr>
              <w:jc w:val="center"/>
            </w:pPr>
            <w:r>
              <w:rPr>
                <w:rFonts w:ascii="宋体" w:hAnsi="宋体" w:eastAsia="宋体"/>
                <w:sz w:val="16"/>
              </w:rPr>
              <w:t>麦盖提县库木库萨尔乡人民政府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69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74383">
            <w:pPr>
              <w:jc w:val="center"/>
            </w:pPr>
            <w:r>
              <w:rPr>
                <w:rFonts w:ascii="宋体" w:hAnsi="宋体" w:eastAsia="宋体"/>
                <w:sz w:val="16"/>
              </w:rPr>
              <w:t>麦盖提县库木库萨尔乡人民政府</w:t>
            </w:r>
          </w:p>
        </w:tc>
      </w:tr>
      <w:tr w14:paraId="440C94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877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5E2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06F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8E8F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E44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072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BE1F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F54B">
            <w:pPr>
              <w:jc w:val="center"/>
            </w:pPr>
            <w:r>
              <w:rPr>
                <w:rFonts w:ascii="宋体" w:hAnsi="宋体" w:eastAsia="宋体"/>
                <w:sz w:val="16"/>
              </w:rPr>
              <w:t>得分</w:t>
            </w:r>
          </w:p>
        </w:tc>
      </w:tr>
      <w:tr w14:paraId="56BF1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ED6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1A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6DCC8">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06ED8">
            <w:pPr>
              <w:jc w:val="center"/>
            </w:pPr>
            <w:r>
              <w:rPr>
                <w:rFonts w:ascii="宋体" w:hAnsi="宋体" w:eastAsia="宋体"/>
                <w:sz w:val="16"/>
              </w:rPr>
              <w:t>76.09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363CC">
            <w:pPr>
              <w:jc w:val="center"/>
            </w:pPr>
            <w:r>
              <w:rPr>
                <w:rFonts w:ascii="宋体" w:hAnsi="宋体" w:eastAsia="宋体"/>
                <w:sz w:val="16"/>
              </w:rPr>
              <w:t>76.09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2A0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24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03C0">
            <w:pPr>
              <w:jc w:val="center"/>
            </w:pPr>
            <w:r>
              <w:rPr>
                <w:rFonts w:ascii="宋体" w:hAnsi="宋体" w:eastAsia="宋体"/>
                <w:sz w:val="16"/>
              </w:rPr>
              <w:t>10.00分</w:t>
            </w:r>
          </w:p>
        </w:tc>
      </w:tr>
      <w:tr w14:paraId="69D29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1EF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A74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BA3D2">
            <w:pPr>
              <w:jc w:val="center"/>
            </w:pPr>
            <w:r>
              <w:rPr>
                <w:rFonts w:ascii="宋体" w:hAnsi="宋体" w:eastAsia="宋体"/>
                <w:sz w:val="16"/>
              </w:rPr>
              <w:t>10.08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E6C31">
            <w:pPr>
              <w:jc w:val="center"/>
            </w:pPr>
            <w:r>
              <w:rPr>
                <w:rFonts w:ascii="宋体" w:hAnsi="宋体" w:eastAsia="宋体"/>
                <w:sz w:val="16"/>
              </w:rPr>
              <w:t>76.09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8324">
            <w:pPr>
              <w:jc w:val="center"/>
            </w:pPr>
            <w:r>
              <w:rPr>
                <w:rFonts w:ascii="宋体" w:hAnsi="宋体" w:eastAsia="宋体"/>
                <w:sz w:val="16"/>
              </w:rPr>
              <w:t>76.09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50A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AFD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C92B">
            <w:pPr>
              <w:jc w:val="center"/>
            </w:pPr>
            <w:r>
              <w:rPr>
                <w:rFonts w:ascii="宋体" w:hAnsi="宋体" w:eastAsia="宋体"/>
                <w:sz w:val="16"/>
              </w:rPr>
              <w:t>—</w:t>
            </w:r>
          </w:p>
        </w:tc>
      </w:tr>
      <w:tr w14:paraId="74BFA3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41D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080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E5D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B7D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F75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581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A98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886F">
            <w:pPr>
              <w:jc w:val="center"/>
            </w:pPr>
            <w:r>
              <w:rPr>
                <w:rFonts w:ascii="宋体" w:hAnsi="宋体" w:eastAsia="宋体"/>
                <w:sz w:val="16"/>
              </w:rPr>
              <w:t>—</w:t>
            </w:r>
          </w:p>
        </w:tc>
      </w:tr>
      <w:tr w14:paraId="585FB1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F03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2127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378343">
            <w:pPr>
              <w:jc w:val="center"/>
            </w:pPr>
            <w:r>
              <w:rPr>
                <w:rFonts w:ascii="宋体" w:hAnsi="宋体" w:eastAsia="宋体"/>
                <w:sz w:val="16"/>
              </w:rPr>
              <w:t>实际完成情况</w:t>
            </w:r>
          </w:p>
        </w:tc>
      </w:tr>
      <w:tr w14:paraId="04884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748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8E6469">
            <w:pPr>
              <w:jc w:val="both"/>
            </w:pPr>
            <w:r>
              <w:rPr>
                <w:rFonts w:ascii="宋体" w:hAnsi="宋体" w:eastAsia="宋体"/>
                <w:sz w:val="16"/>
              </w:rPr>
              <w:t>2024年本项目投资76.086万元，主要用于保障我单位5个内设股室日常运转及7辆公务用车日常运行维护，项目的实施有效提升社会公众服务能力，保障单位日常工作正常开展。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64677">
            <w:pPr>
              <w:jc w:val="both"/>
            </w:pPr>
            <w:r>
              <w:rPr>
                <w:rFonts w:ascii="宋体" w:hAnsi="宋体" w:eastAsia="宋体"/>
                <w:sz w:val="16"/>
              </w:rPr>
              <w:t>截止自评日，本项目已支出76.086万元，已保障我单位1-12月5个内设股室日常运转及7辆公务用车日常运行维护，项目的实施有效提升了社会公众服务能力，保障了单位日常工作正常开展。</w:t>
            </w:r>
          </w:p>
        </w:tc>
      </w:tr>
      <w:tr w14:paraId="073855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E6A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07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26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29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D84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C1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87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36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A9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D1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43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3E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1DDF4">
            <w:pPr>
              <w:jc w:val="center"/>
            </w:pPr>
            <w:r>
              <w:rPr>
                <w:rFonts w:ascii="宋体" w:hAnsi="宋体" w:eastAsia="宋体"/>
                <w:sz w:val="16"/>
              </w:rPr>
              <w:t>偏差原因分析及改进措施</w:t>
            </w:r>
          </w:p>
        </w:tc>
      </w:tr>
      <w:tr w14:paraId="6D846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C2CA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95C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CAC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9C92">
            <w:pPr>
              <w:jc w:val="center"/>
            </w:pPr>
            <w:r>
              <w:rPr>
                <w:rFonts w:ascii="宋体" w:hAnsi="宋体" w:eastAsia="宋体"/>
                <w:sz w:val="16"/>
              </w:rPr>
              <w:t>保障办公室数量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FA49">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C0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A8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54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2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FAE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58E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DA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6B012">
            <w:pPr>
              <w:jc w:val="center"/>
            </w:pPr>
          </w:p>
        </w:tc>
      </w:tr>
      <w:tr w14:paraId="66982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0C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6F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D16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BB9C">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C530">
            <w:pPr>
              <w:jc w:val="center"/>
            </w:pPr>
            <w:r>
              <w:rPr>
                <w:rFonts w:ascii="宋体" w:hAnsi="宋体" w:eastAsia="宋体"/>
                <w:sz w:val="16"/>
              </w:rPr>
              <w:t>&gt;=7辆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4D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09E8">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1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F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8A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F40B">
            <w:pPr>
              <w:jc w:val="center"/>
            </w:pPr>
            <w:r>
              <w:rPr>
                <w:rFonts w:ascii="宋体" w:hAnsi="宋体" w:eastAsia="宋体"/>
                <w:sz w:val="16"/>
              </w:rPr>
              <w:t>=7辆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64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AACF">
            <w:pPr>
              <w:jc w:val="center"/>
            </w:pPr>
          </w:p>
        </w:tc>
      </w:tr>
      <w:tr w14:paraId="4D9840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E74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1A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2CE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578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D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A6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34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16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E1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E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AC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3D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FBFFC">
            <w:pPr>
              <w:jc w:val="center"/>
            </w:pPr>
          </w:p>
        </w:tc>
      </w:tr>
      <w:tr w14:paraId="3FF34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57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F18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71C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5951">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C68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62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D52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DE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44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51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63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60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0653">
            <w:pPr>
              <w:jc w:val="center"/>
            </w:pPr>
          </w:p>
        </w:tc>
      </w:tr>
      <w:tr w14:paraId="1A836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02E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EF1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1D9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F3AC">
            <w:pPr>
              <w:jc w:val="center"/>
            </w:pPr>
            <w:r>
              <w:rPr>
                <w:rFonts w:ascii="宋体" w:hAnsi="宋体" w:eastAsia="宋体"/>
                <w:sz w:val="16"/>
              </w:rPr>
              <w:t>保障办公运转成本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613C">
            <w:pPr>
              <w:jc w:val="center"/>
            </w:pPr>
            <w:r>
              <w:rPr>
                <w:rFonts w:ascii="宋体" w:hAnsi="宋体" w:eastAsia="宋体"/>
                <w:sz w:val="16"/>
              </w:rPr>
              <w:t>&lt;=56.84万元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A2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46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83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19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248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CB58">
            <w:pPr>
              <w:jc w:val="center"/>
            </w:pPr>
            <w:r>
              <w:rPr>
                <w:rFonts w:ascii="宋体" w:hAnsi="宋体" w:eastAsia="宋体"/>
                <w:sz w:val="16"/>
              </w:rPr>
              <w:t>=56.84万元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AB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197A4">
            <w:pPr>
              <w:jc w:val="center"/>
            </w:pPr>
          </w:p>
        </w:tc>
      </w:tr>
      <w:tr w14:paraId="434C7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DE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20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A80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4F0BA">
            <w:pPr>
              <w:jc w:val="center"/>
            </w:pPr>
            <w:r>
              <w:rPr>
                <w:rFonts w:ascii="宋体" w:hAnsi="宋体" w:eastAsia="宋体"/>
                <w:sz w:val="16"/>
              </w:rPr>
              <w:t>保障公务用车运行成本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1290">
            <w:pPr>
              <w:jc w:val="center"/>
            </w:pPr>
            <w:r>
              <w:rPr>
                <w:rFonts w:ascii="宋体" w:hAnsi="宋体" w:eastAsia="宋体"/>
                <w:sz w:val="16"/>
              </w:rPr>
              <w:t>&lt;=19.25万元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0B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08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5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B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5DC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44FF">
            <w:pPr>
              <w:jc w:val="center"/>
            </w:pPr>
            <w:r>
              <w:rPr>
                <w:rFonts w:ascii="宋体" w:hAnsi="宋体" w:eastAsia="宋体"/>
                <w:sz w:val="16"/>
              </w:rPr>
              <w:t>=19.25万元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C46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502E9">
            <w:pPr>
              <w:jc w:val="center"/>
            </w:pPr>
          </w:p>
        </w:tc>
      </w:tr>
      <w:tr w14:paraId="62943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098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16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3F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6CF8">
            <w:pPr>
              <w:jc w:val="center"/>
            </w:pPr>
            <w:r>
              <w:rPr>
                <w:rFonts w:ascii="宋体" w:hAnsi="宋体" w:eastAsia="宋体"/>
                <w:sz w:val="16"/>
              </w:rPr>
              <w:t>提升社会公众服务能力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FFF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BE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D6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3B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D7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7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896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051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18C11">
            <w:pPr>
              <w:jc w:val="center"/>
            </w:pPr>
          </w:p>
        </w:tc>
      </w:tr>
      <w:tr w14:paraId="577D5F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F2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7D3D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6D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9DF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9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7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A4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F5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06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5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F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46D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015EB">
            <w:pPr>
              <w:jc w:val="center"/>
            </w:pPr>
          </w:p>
        </w:tc>
      </w:tr>
      <w:tr w14:paraId="0907CE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66D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4D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563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136A20">
            <w:pPr>
              <w:jc w:val="center"/>
            </w:pPr>
            <w:r>
              <w:rPr>
                <w:rFonts w:ascii="宋体" w:hAnsi="宋体" w:eastAsia="宋体"/>
                <w:sz w:val="16"/>
              </w:rPr>
              <w:t>100分</w:t>
            </w:r>
          </w:p>
        </w:tc>
      </w:tr>
    </w:tbl>
    <w:p w14:paraId="56024081">
      <w:r>
        <w:br w:type="page"/>
      </w:r>
    </w:p>
    <w:tbl>
      <w:tblPr>
        <w:tblStyle w:val="9"/>
        <w:tblW w:w="0" w:type="auto"/>
        <w:tblInd w:w="0" w:type="dxa"/>
        <w:tblLayout w:type="autofit"/>
        <w:tblCellMar>
          <w:top w:w="0" w:type="dxa"/>
          <w:left w:w="108" w:type="dxa"/>
          <w:bottom w:w="0" w:type="dxa"/>
          <w:right w:w="108" w:type="dxa"/>
        </w:tblCellMar>
      </w:tblPr>
      <w:tblGrid>
        <w:gridCol w:w="625"/>
        <w:gridCol w:w="616"/>
        <w:gridCol w:w="616"/>
        <w:gridCol w:w="626"/>
        <w:gridCol w:w="856"/>
        <w:gridCol w:w="616"/>
        <w:gridCol w:w="616"/>
        <w:gridCol w:w="616"/>
        <w:gridCol w:w="616"/>
        <w:gridCol w:w="621"/>
        <w:gridCol w:w="776"/>
        <w:gridCol w:w="631"/>
        <w:gridCol w:w="598"/>
        <w:gridCol w:w="631"/>
      </w:tblGrid>
      <w:tr w14:paraId="224F153F">
        <w:tblPrEx>
          <w:tblCellMar>
            <w:top w:w="0" w:type="dxa"/>
            <w:left w:w="108" w:type="dxa"/>
            <w:bottom w:w="0" w:type="dxa"/>
            <w:right w:w="108" w:type="dxa"/>
          </w:tblCellMar>
        </w:tblPrEx>
        <w:tc>
          <w:tcPr>
            <w:tcW w:w="8848" w:type="dxa"/>
            <w:gridSpan w:val="14"/>
            <w:vAlign w:val="center"/>
          </w:tcPr>
          <w:p w14:paraId="74E3D530">
            <w:pPr>
              <w:jc w:val="center"/>
            </w:pPr>
            <w:r>
              <w:rPr>
                <w:rFonts w:ascii="宋体" w:hAnsi="宋体" w:eastAsia="宋体"/>
                <w:sz w:val="24"/>
              </w:rPr>
              <w:t>项目支出绩效自评表</w:t>
            </w:r>
          </w:p>
        </w:tc>
      </w:tr>
      <w:tr w14:paraId="3BBC3367">
        <w:tblPrEx>
          <w:tblCellMar>
            <w:top w:w="0" w:type="dxa"/>
            <w:left w:w="108" w:type="dxa"/>
            <w:bottom w:w="0" w:type="dxa"/>
            <w:right w:w="108" w:type="dxa"/>
          </w:tblCellMar>
        </w:tblPrEx>
        <w:tc>
          <w:tcPr>
            <w:tcW w:w="8848" w:type="dxa"/>
            <w:gridSpan w:val="14"/>
            <w:vAlign w:val="center"/>
          </w:tcPr>
          <w:p w14:paraId="4A87B518">
            <w:pPr>
              <w:jc w:val="center"/>
            </w:pPr>
            <w:r>
              <w:rPr>
                <w:rFonts w:ascii="宋体" w:hAnsi="宋体" w:eastAsia="宋体"/>
                <w:sz w:val="24"/>
              </w:rPr>
              <w:t>(2024年度)</w:t>
            </w:r>
          </w:p>
        </w:tc>
      </w:tr>
      <w:tr w14:paraId="44A07C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7C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2823A0">
            <w:pPr>
              <w:jc w:val="center"/>
            </w:pPr>
            <w:r>
              <w:rPr>
                <w:rFonts w:ascii="宋体" w:hAnsi="宋体" w:eastAsia="宋体"/>
                <w:sz w:val="16"/>
              </w:rPr>
              <w:t>麦盖提县库木库萨尔乡土地平整项目（增减挂）</w:t>
            </w:r>
          </w:p>
        </w:tc>
      </w:tr>
      <w:tr w14:paraId="708F39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645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E907A">
            <w:pPr>
              <w:jc w:val="center"/>
            </w:pPr>
            <w:r>
              <w:rPr>
                <w:rFonts w:ascii="宋体" w:hAnsi="宋体" w:eastAsia="宋体"/>
                <w:sz w:val="16"/>
              </w:rPr>
              <w:t>麦盖提县库木库萨尔乡人民政府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60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CF6D4F">
            <w:pPr>
              <w:jc w:val="center"/>
            </w:pPr>
            <w:r>
              <w:rPr>
                <w:rFonts w:ascii="宋体" w:hAnsi="宋体" w:eastAsia="宋体"/>
                <w:sz w:val="16"/>
              </w:rPr>
              <w:t>麦盖提县库木库萨尔乡人民政府</w:t>
            </w:r>
          </w:p>
        </w:tc>
      </w:tr>
      <w:tr w14:paraId="5AEC70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27B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1633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183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E6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089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B8E8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EC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1706">
            <w:pPr>
              <w:jc w:val="center"/>
            </w:pPr>
            <w:r>
              <w:rPr>
                <w:rFonts w:ascii="宋体" w:hAnsi="宋体" w:eastAsia="宋体"/>
                <w:sz w:val="16"/>
              </w:rPr>
              <w:t>得分</w:t>
            </w:r>
          </w:p>
        </w:tc>
      </w:tr>
      <w:tr w14:paraId="544CF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2CA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3F50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E1670">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1C22D">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8188D">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2DF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CC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8D25">
            <w:pPr>
              <w:jc w:val="center"/>
            </w:pPr>
            <w:r>
              <w:rPr>
                <w:rFonts w:ascii="宋体" w:hAnsi="宋体" w:eastAsia="宋体"/>
                <w:sz w:val="16"/>
              </w:rPr>
              <w:t>10.00分</w:t>
            </w:r>
          </w:p>
        </w:tc>
      </w:tr>
      <w:tr w14:paraId="544E18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92B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B3A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C84E">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72ED">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7984">
            <w:pPr>
              <w:jc w:val="center"/>
            </w:pPr>
            <w:r>
              <w:rPr>
                <w:rFonts w:ascii="宋体" w:hAnsi="宋体" w:eastAsia="宋体"/>
                <w:sz w:val="16"/>
              </w:rPr>
              <w:t>606.19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92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4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1D49">
            <w:pPr>
              <w:jc w:val="center"/>
            </w:pPr>
            <w:r>
              <w:rPr>
                <w:rFonts w:ascii="宋体" w:hAnsi="宋体" w:eastAsia="宋体"/>
                <w:sz w:val="16"/>
              </w:rPr>
              <w:t>—</w:t>
            </w:r>
          </w:p>
        </w:tc>
      </w:tr>
      <w:tr w14:paraId="75B697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B67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E9D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954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5D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950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D1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2A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E8AF">
            <w:pPr>
              <w:jc w:val="center"/>
            </w:pPr>
            <w:r>
              <w:rPr>
                <w:rFonts w:ascii="宋体" w:hAnsi="宋体" w:eastAsia="宋体"/>
                <w:sz w:val="16"/>
              </w:rPr>
              <w:t>—</w:t>
            </w:r>
          </w:p>
        </w:tc>
      </w:tr>
      <w:tr w14:paraId="2A3265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BBC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6F72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C155E">
            <w:pPr>
              <w:jc w:val="center"/>
            </w:pPr>
            <w:r>
              <w:rPr>
                <w:rFonts w:ascii="宋体" w:hAnsi="宋体" w:eastAsia="宋体"/>
                <w:sz w:val="16"/>
              </w:rPr>
              <w:t>实际完成情况</w:t>
            </w:r>
          </w:p>
        </w:tc>
      </w:tr>
      <w:tr w14:paraId="5991DB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CDE7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B4C72">
            <w:pPr>
              <w:jc w:val="both"/>
            </w:pPr>
            <w:r>
              <w:rPr>
                <w:rFonts w:ascii="宋体" w:hAnsi="宋体" w:eastAsia="宋体"/>
                <w:sz w:val="16"/>
              </w:rPr>
              <w:t>本项目总投资为606.19万元，主要用于库木库萨尔乡实施房屋拆除及建筑垃圾清运、土地平整、土壤改良、灌溉与排水、农田防护与生态环境保持工程和其他工程，涉及土地平整改良面积为322.28亩。项目实施后充分利用现有的土地资源，改善农业生产、生活条件，为当地人民造福，对调整地区</w:t>
            </w:r>
            <w:r>
              <w:rPr>
                <w:rFonts w:hint="eastAsia" w:ascii="宋体" w:hAnsi="宋体"/>
                <w:sz w:val="16"/>
                <w:lang w:eastAsia="zh-CN"/>
              </w:rPr>
              <w:t>生产</w:t>
            </w:r>
            <w:r>
              <w:rPr>
                <w:rFonts w:ascii="宋体" w:hAnsi="宋体" w:eastAsia="宋体"/>
                <w:sz w:val="16"/>
              </w:rPr>
              <w:t>结构、繁荣经济、增加牧民收入、改善生活条件都有极大的促进作用， 并有利于民族团结和政治稳定。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7B1F1">
            <w:pPr>
              <w:jc w:val="both"/>
            </w:pPr>
            <w:r>
              <w:rPr>
                <w:rFonts w:ascii="宋体" w:hAnsi="宋体" w:eastAsia="宋体"/>
                <w:sz w:val="16"/>
              </w:rPr>
              <w:t>截止自评日，本项目总支出为606.19万元，已完成土地平整改良面积为322.28亩，包括房屋拆除及建筑垃圾清运、土地平整、土壤改良、灌溉与排水、农田防护与生态环境保持工程和其他工程。项目实施后充分利用了现有的土地资源，改善了农业生产、生活条件，为当地人民造福，对调整地区产生了结构、繁荣经济、增加了牧民收入、改善了生活条件，有利于民族团结和政治稳定。</w:t>
            </w:r>
          </w:p>
        </w:tc>
      </w:tr>
      <w:tr w14:paraId="0661A8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0514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0FB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2A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117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63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EC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E438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9B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0D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A9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D1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18A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829EB">
            <w:pPr>
              <w:jc w:val="center"/>
            </w:pPr>
            <w:r>
              <w:rPr>
                <w:rFonts w:ascii="宋体" w:hAnsi="宋体" w:eastAsia="宋体"/>
                <w:sz w:val="16"/>
              </w:rPr>
              <w:t>偏差原因分析及改进措施</w:t>
            </w:r>
          </w:p>
        </w:tc>
      </w:tr>
      <w:tr w14:paraId="3B3648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083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DC3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0B9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7402E">
            <w:pPr>
              <w:jc w:val="center"/>
            </w:pPr>
            <w:r>
              <w:rPr>
                <w:rFonts w:ascii="宋体" w:hAnsi="宋体" w:eastAsia="宋体"/>
                <w:sz w:val="16"/>
              </w:rPr>
              <w:t>土地平整改良面积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A47E">
            <w:pPr>
              <w:jc w:val="center"/>
            </w:pPr>
            <w:r>
              <w:rPr>
                <w:rFonts w:ascii="宋体" w:hAnsi="宋体" w:eastAsia="宋体"/>
                <w:sz w:val="16"/>
              </w:rPr>
              <w:t>&gt;=322.28亩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51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92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F3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FD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68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298B">
            <w:pPr>
              <w:jc w:val="center"/>
            </w:pPr>
            <w:r>
              <w:rPr>
                <w:rFonts w:ascii="宋体" w:hAnsi="宋体" w:eastAsia="宋体"/>
                <w:sz w:val="16"/>
              </w:rPr>
              <w:t>=322.28亩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E02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ADB76">
            <w:pPr>
              <w:jc w:val="center"/>
            </w:pPr>
          </w:p>
        </w:tc>
      </w:tr>
      <w:tr w14:paraId="094A3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107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A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B0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094D">
            <w:pPr>
              <w:jc w:val="center"/>
            </w:pPr>
            <w:r>
              <w:rPr>
                <w:rFonts w:ascii="宋体" w:hAnsi="宋体" w:eastAsia="宋体"/>
                <w:sz w:val="16"/>
              </w:rPr>
              <w:t>涉及村数量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EDC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AC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83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7FA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A5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5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FAD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F0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3B3AC">
            <w:pPr>
              <w:jc w:val="center"/>
            </w:pPr>
          </w:p>
        </w:tc>
      </w:tr>
      <w:tr w14:paraId="41CED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A5E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C8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07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9852">
            <w:pPr>
              <w:jc w:val="center"/>
            </w:pPr>
            <w:r>
              <w:rPr>
                <w:rFonts w:ascii="宋体" w:hAnsi="宋体" w:eastAsia="宋体"/>
                <w:sz w:val="16"/>
              </w:rPr>
              <w:t>项目（工程）验收合格率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2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9A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2D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FA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1A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0F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4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C8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006F">
            <w:pPr>
              <w:jc w:val="center"/>
            </w:pPr>
          </w:p>
        </w:tc>
      </w:tr>
      <w:tr w14:paraId="2A101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D0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394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34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5E0D">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FAE3">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B9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DB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A7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B58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5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A5E5C">
            <w:pPr>
              <w:jc w:val="center"/>
            </w:pPr>
            <w:r>
              <w:rPr>
                <w:rFonts w:ascii="宋体" w:hAnsi="宋体" w:eastAsia="宋体"/>
                <w:sz w:val="16"/>
              </w:rPr>
              <w:t>=2024年8月3日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A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7064F">
            <w:pPr>
              <w:jc w:val="center"/>
            </w:pPr>
          </w:p>
        </w:tc>
      </w:tr>
      <w:tr w14:paraId="4809A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267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9C0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1A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01C90">
            <w:pPr>
              <w:jc w:val="center"/>
            </w:pPr>
            <w:r>
              <w:rPr>
                <w:rFonts w:ascii="宋体" w:hAnsi="宋体" w:eastAsia="宋体"/>
                <w:sz w:val="16"/>
              </w:rPr>
              <w:t>平均每亩土地平整改良成本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790E">
            <w:pPr>
              <w:jc w:val="center"/>
            </w:pPr>
            <w:r>
              <w:rPr>
                <w:rFonts w:ascii="宋体" w:hAnsi="宋体" w:eastAsia="宋体"/>
                <w:sz w:val="16"/>
              </w:rPr>
              <w:t>&lt;=1.88万元/亩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09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533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585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C1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390F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1E57A">
            <w:pPr>
              <w:jc w:val="center"/>
            </w:pPr>
            <w:r>
              <w:rPr>
                <w:rFonts w:ascii="宋体" w:hAnsi="宋体" w:eastAsia="宋体"/>
                <w:sz w:val="16"/>
              </w:rPr>
              <w:t>=1.88万元/亩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122B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A2626">
            <w:pPr>
              <w:jc w:val="center"/>
            </w:pPr>
          </w:p>
        </w:tc>
      </w:tr>
      <w:tr w14:paraId="6768D4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84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DD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FA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B9AB">
            <w:pPr>
              <w:jc w:val="center"/>
            </w:pPr>
            <w:r>
              <w:rPr>
                <w:rFonts w:ascii="宋体" w:hAnsi="宋体" w:eastAsia="宋体"/>
                <w:sz w:val="16"/>
              </w:rPr>
              <w:t>改善农业生产、生活条件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72A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FF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7D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D7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E7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4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0353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A7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4EFF6">
            <w:pPr>
              <w:jc w:val="center"/>
            </w:pPr>
          </w:p>
        </w:tc>
      </w:tr>
      <w:tr w14:paraId="04C90F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F08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7C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48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F7B0">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3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D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E4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08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BD1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2F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F4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64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654AD">
            <w:pPr>
              <w:jc w:val="center"/>
            </w:pPr>
          </w:p>
        </w:tc>
      </w:tr>
      <w:tr w14:paraId="49414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E097">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DA8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19C4">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F48F69">
            <w:pPr>
              <w:jc w:val="center"/>
            </w:pPr>
            <w:r>
              <w:rPr>
                <w:rFonts w:ascii="宋体" w:hAnsi="宋体" w:eastAsia="宋体"/>
                <w:sz w:val="16"/>
              </w:rPr>
              <w:t>100分</w:t>
            </w:r>
          </w:p>
        </w:tc>
      </w:tr>
    </w:tbl>
    <w:p w14:paraId="5E4C9F50">
      <w:r>
        <w:br w:type="page"/>
      </w:r>
    </w:p>
    <w:p w14:paraId="1D847207">
      <w:pPr>
        <w:spacing w:line="640" w:lineRule="exact"/>
        <w:ind w:firstLine="640"/>
        <w:jc w:val="both"/>
        <w:outlineLvl w:val="2"/>
      </w:pPr>
      <w:r>
        <w:rPr>
          <w:rFonts w:ascii="黑体" w:hAnsi="黑体" w:eastAsia="黑体"/>
          <w:sz w:val="32"/>
        </w:rPr>
        <w:t>十二、其他需说明的事项</w:t>
      </w:r>
    </w:p>
    <w:p w14:paraId="709D3F57">
      <w:pPr>
        <w:spacing w:line="580" w:lineRule="exact"/>
        <w:ind w:firstLine="640"/>
        <w:jc w:val="both"/>
      </w:pPr>
      <w:r>
        <w:rPr>
          <w:rFonts w:ascii="仿宋_GB2312" w:hAnsi="仿宋_GB2312" w:eastAsia="仿宋_GB2312"/>
          <w:b w:val="0"/>
          <w:sz w:val="32"/>
        </w:rPr>
        <w:t>本单位无其他需说明的事项。</w:t>
      </w:r>
    </w:p>
    <w:p w14:paraId="775540ED">
      <w:r>
        <w:br w:type="page"/>
      </w:r>
    </w:p>
    <w:p w14:paraId="0613AA86">
      <w:pPr>
        <w:spacing w:line="240" w:lineRule="auto"/>
        <w:jc w:val="center"/>
        <w:outlineLvl w:val="1"/>
      </w:pPr>
      <w:r>
        <w:rPr>
          <w:rFonts w:ascii="黑体" w:hAnsi="黑体" w:eastAsia="黑体"/>
          <w:sz w:val="32"/>
        </w:rPr>
        <w:t>第三部分 专业名词解释</w:t>
      </w:r>
    </w:p>
    <w:p w14:paraId="04906E6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82B59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0B85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4C2C8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4F8ACA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742CAA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6DED8D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9FD8B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B5A99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A53BC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8F49EB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CCB1EE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452C91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B216D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37F12A8">
      <w:r>
        <w:br w:type="page"/>
      </w:r>
    </w:p>
    <w:p w14:paraId="6AB4B855">
      <w:pPr>
        <w:spacing w:line="240" w:lineRule="auto"/>
        <w:jc w:val="center"/>
        <w:outlineLvl w:val="1"/>
      </w:pPr>
      <w:r>
        <w:rPr>
          <w:rFonts w:ascii="黑体" w:hAnsi="黑体" w:eastAsia="黑体"/>
          <w:sz w:val="32"/>
        </w:rPr>
        <w:t>第四部分 部门决算报表（见附表）</w:t>
      </w:r>
    </w:p>
    <w:p w14:paraId="2F2D4A95">
      <w:pPr>
        <w:spacing w:line="240" w:lineRule="auto"/>
        <w:ind w:firstLine="640"/>
        <w:jc w:val="both"/>
      </w:pPr>
      <w:r>
        <w:rPr>
          <w:rFonts w:ascii="仿宋_GB2312" w:hAnsi="仿宋_GB2312" w:eastAsia="仿宋_GB2312"/>
          <w:b w:val="0"/>
          <w:sz w:val="32"/>
        </w:rPr>
        <w:t>一、《收入支出决算总表》</w:t>
      </w:r>
    </w:p>
    <w:p w14:paraId="3FB67ACB">
      <w:pPr>
        <w:spacing w:line="240" w:lineRule="auto"/>
        <w:ind w:firstLine="640"/>
        <w:jc w:val="both"/>
      </w:pPr>
      <w:r>
        <w:rPr>
          <w:rFonts w:ascii="仿宋_GB2312" w:hAnsi="仿宋_GB2312" w:eastAsia="仿宋_GB2312"/>
          <w:b w:val="0"/>
          <w:sz w:val="32"/>
        </w:rPr>
        <w:t>二、《收入决算表》</w:t>
      </w:r>
    </w:p>
    <w:p w14:paraId="5205B5C1">
      <w:pPr>
        <w:spacing w:line="240" w:lineRule="auto"/>
        <w:ind w:firstLine="640"/>
        <w:jc w:val="both"/>
      </w:pPr>
      <w:r>
        <w:rPr>
          <w:rFonts w:ascii="仿宋_GB2312" w:hAnsi="仿宋_GB2312" w:eastAsia="仿宋_GB2312"/>
          <w:b w:val="0"/>
          <w:sz w:val="32"/>
        </w:rPr>
        <w:t>三、《支出决算表》</w:t>
      </w:r>
    </w:p>
    <w:p w14:paraId="22BD040E">
      <w:pPr>
        <w:spacing w:line="240" w:lineRule="auto"/>
        <w:ind w:firstLine="640"/>
        <w:jc w:val="both"/>
      </w:pPr>
      <w:r>
        <w:rPr>
          <w:rFonts w:ascii="仿宋_GB2312" w:hAnsi="仿宋_GB2312" w:eastAsia="仿宋_GB2312"/>
          <w:b w:val="0"/>
          <w:sz w:val="32"/>
        </w:rPr>
        <w:t>四、《财政拨款收入支出决算总表》</w:t>
      </w:r>
    </w:p>
    <w:p w14:paraId="214C85D2">
      <w:pPr>
        <w:spacing w:line="240" w:lineRule="auto"/>
        <w:ind w:firstLine="640"/>
        <w:jc w:val="both"/>
      </w:pPr>
      <w:r>
        <w:rPr>
          <w:rFonts w:ascii="仿宋_GB2312" w:hAnsi="仿宋_GB2312" w:eastAsia="仿宋_GB2312"/>
          <w:b w:val="0"/>
          <w:sz w:val="32"/>
        </w:rPr>
        <w:t>五、《一般公共预算财政拨款支出决算表》</w:t>
      </w:r>
    </w:p>
    <w:p w14:paraId="55A01D72">
      <w:pPr>
        <w:spacing w:line="240" w:lineRule="auto"/>
        <w:ind w:firstLine="640"/>
        <w:jc w:val="both"/>
      </w:pPr>
      <w:r>
        <w:rPr>
          <w:rFonts w:ascii="仿宋_GB2312" w:hAnsi="仿宋_GB2312" w:eastAsia="仿宋_GB2312"/>
          <w:b w:val="0"/>
          <w:sz w:val="32"/>
        </w:rPr>
        <w:t>六、《一般公共预算财政拨款基本支出决算表》</w:t>
      </w:r>
    </w:p>
    <w:p w14:paraId="09CF1D8D">
      <w:pPr>
        <w:spacing w:line="240" w:lineRule="auto"/>
        <w:ind w:firstLine="640"/>
        <w:jc w:val="both"/>
      </w:pPr>
      <w:r>
        <w:rPr>
          <w:rFonts w:ascii="仿宋_GB2312" w:hAnsi="仿宋_GB2312" w:eastAsia="仿宋_GB2312"/>
          <w:b w:val="0"/>
          <w:sz w:val="32"/>
        </w:rPr>
        <w:t>七、《政府性基金预算财政拨款收入支出决算表》</w:t>
      </w:r>
    </w:p>
    <w:p w14:paraId="048D7A76">
      <w:pPr>
        <w:spacing w:line="240" w:lineRule="auto"/>
        <w:ind w:firstLine="640"/>
        <w:jc w:val="both"/>
      </w:pPr>
      <w:r>
        <w:rPr>
          <w:rFonts w:ascii="仿宋_GB2312" w:hAnsi="仿宋_GB2312" w:eastAsia="仿宋_GB2312"/>
          <w:b w:val="0"/>
          <w:sz w:val="32"/>
        </w:rPr>
        <w:t>八、《国有资本经营预算财政拨款收入支出决算表》</w:t>
      </w:r>
    </w:p>
    <w:p w14:paraId="4EE411C9">
      <w:pPr>
        <w:spacing w:line="240" w:lineRule="auto"/>
        <w:ind w:firstLine="640"/>
        <w:jc w:val="both"/>
      </w:pPr>
      <w:r>
        <w:rPr>
          <w:rFonts w:ascii="仿宋_GB2312" w:hAnsi="仿宋_GB2312" w:eastAsia="仿宋_GB2312"/>
          <w:b w:val="0"/>
          <w:sz w:val="32"/>
        </w:rPr>
        <w:t>九、《财政拨款“三公”经费支出决算表》</w:t>
      </w:r>
    </w:p>
    <w:p w14:paraId="0026604F">
      <w:pPr>
        <w:spacing w:line="240" w:lineRule="auto"/>
        <w:ind w:firstLine="640"/>
        <w:jc w:val="both"/>
      </w:pPr>
    </w:p>
    <w:p w14:paraId="7EB3AC1B">
      <w:pPr>
        <w:spacing w:line="240" w:lineRule="auto"/>
        <w:ind w:firstLine="640"/>
        <w:jc w:val="both"/>
      </w:pPr>
    </w:p>
    <w:p w14:paraId="3D61C328">
      <w:pPr>
        <w:spacing w:line="240" w:lineRule="auto"/>
        <w:ind w:firstLine="640"/>
        <w:jc w:val="both"/>
      </w:pPr>
    </w:p>
    <w:p w14:paraId="5DE604D5">
      <w:pPr>
        <w:spacing w:line="240" w:lineRule="auto"/>
        <w:ind w:firstLine="640"/>
        <w:jc w:val="both"/>
      </w:pPr>
    </w:p>
    <w:p w14:paraId="3C8E609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26EC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4BD37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E4BD378">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A026B3"/>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33A10"/>
    <w:rsid w:val="7A0D3BC7"/>
    <w:rsid w:val="7A3A3CDB"/>
    <w:rsid w:val="7BBF79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8537</Words>
  <Characters>9647</Characters>
  <Lines>0</Lines>
  <Paragraphs>0</Paragraphs>
  <TotalTime>6</TotalTime>
  <ScaleCrop>false</ScaleCrop>
  <LinksUpToDate>false</LinksUpToDate>
  <CharactersWithSpaces>9655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eyJoZGlkIjoiZjZjY2YzNDY3YWM4YThjNjdkZTk2MDAwYjE2OGQzNDQiLCJ1c2VySWQiOiIyNTk4NTcxMjUifQ==</vt:lpwstr>
  </property>
</Properties>
</file>