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855CD9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麦盖提县昂格特勒克乡人民政府2024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A8CF84">
      <w:r>
        <w:br w:type="page"/>
      </w:r>
    </w:p>
    <w:p w14:paraId="2ED41C14">
      <w:pPr>
        <w:spacing w:line="640" w:lineRule="exact"/>
        <w:jc w:val="center"/>
        <w:outlineLvl w:val="1"/>
      </w:pPr>
      <w:r>
        <w:rPr>
          <w:rFonts w:ascii="黑体" w:hAnsi="黑体" w:eastAsia="黑体"/>
          <w:sz w:val="32"/>
        </w:rPr>
        <w:t>第一部分 单位概况</w:t>
      </w:r>
    </w:p>
    <w:p w14:paraId="58A459F2">
      <w:pPr>
        <w:spacing w:line="640" w:lineRule="exact"/>
        <w:ind w:firstLine="640"/>
        <w:jc w:val="both"/>
        <w:outlineLvl w:val="2"/>
      </w:pPr>
      <w:r>
        <w:rPr>
          <w:rFonts w:ascii="黑体" w:hAnsi="黑体" w:eastAsia="黑体"/>
          <w:sz w:val="32"/>
        </w:rPr>
        <w:t>一、主要职能</w:t>
      </w:r>
    </w:p>
    <w:p w14:paraId="6016EBFB">
      <w:pPr>
        <w:spacing w:line="580" w:lineRule="exact"/>
        <w:ind w:firstLine="640"/>
        <w:jc w:val="both"/>
      </w:pPr>
      <w:r>
        <w:rPr>
          <w:rFonts w:ascii="仿宋_GB2312" w:hAnsi="仿宋_GB2312" w:eastAsia="仿宋_GB2312"/>
          <w:sz w:val="32"/>
        </w:rPr>
        <w:t>（一）贯彻执行党的路线、方针、政策和国家的法律法规，落实上级党委、政府决策部署和县委、县政府相关工作安排，执行本级人民代表大会决议，在履行职责过程中坚持和加强党的集中统一领导。</w:t>
      </w:r>
    </w:p>
    <w:p w14:paraId="5F82F91C">
      <w:pPr>
        <w:spacing w:line="580" w:lineRule="exact"/>
        <w:ind w:firstLine="640"/>
        <w:jc w:val="both"/>
      </w:pPr>
      <w:r>
        <w:rPr>
          <w:rFonts w:ascii="仿宋_GB2312" w:hAnsi="仿宋_GB2312" w:eastAsia="仿宋_GB2312"/>
          <w:sz w:val="32"/>
        </w:rPr>
        <w:t>（二）根据自治区党委、地委相关决策部署和县委相关工作安排，讨论和决定本行政区域内经济建设、政治建设、文化建设、社会建设、生态文明建设和党的建设以及乡村振兴中的重大问题。</w:t>
      </w:r>
    </w:p>
    <w:p w14:paraId="704111FE">
      <w:pPr>
        <w:spacing w:line="580" w:lineRule="exact"/>
        <w:ind w:firstLine="640"/>
        <w:jc w:val="both"/>
      </w:pPr>
      <w:r>
        <w:rPr>
          <w:rFonts w:ascii="仿宋_GB2312" w:hAnsi="仿宋_GB2312" w:eastAsia="仿宋_GB2312"/>
          <w:sz w:val="32"/>
        </w:rPr>
        <w:t>（三）落实基层党建工作责任制，负责党风廉政建设、宣传、意识形态、精神文明等工作；负责做好辖区各类社会组织的党建工作和发展党员工作，协调、指导辖区社会单位党组织和党员积极参加政治文化生活；负责做好人大、政协等事务工作；依法指导和规范管辖范围内的群团组织等其他各类组织。</w:t>
      </w:r>
    </w:p>
    <w:p w14:paraId="6D3D4A09">
      <w:pPr>
        <w:spacing w:line="580" w:lineRule="exact"/>
        <w:ind w:firstLine="640"/>
        <w:jc w:val="both"/>
      </w:pPr>
      <w:r>
        <w:rPr>
          <w:rFonts w:ascii="仿宋_GB2312" w:hAnsi="仿宋_GB2312" w:eastAsia="仿宋_GB2312"/>
          <w:sz w:val="32"/>
        </w:rPr>
        <w:t>（四）负责社会治安、综合治理、扫黑除恶等工作。落实社会矛盾纠纷排查调处机制，实施社会治安综合治理，依法严厉打击黑恶势力、宗族恶势力、</w:t>
      </w:r>
      <w:r>
        <w:rPr>
          <w:rFonts w:hint="eastAsia" w:ascii="仿宋_GB2312" w:hAnsi="仿宋_GB2312" w:eastAsia="仿宋_GB2312"/>
          <w:sz w:val="32"/>
          <w:lang w:eastAsia="zh-CN"/>
        </w:rPr>
        <w:t>ZJ</w:t>
      </w:r>
      <w:r>
        <w:rPr>
          <w:rFonts w:ascii="仿宋_GB2312" w:hAnsi="仿宋_GB2312" w:eastAsia="仿宋_GB2312"/>
          <w:sz w:val="32"/>
        </w:rPr>
        <w:t>极端势力、“村霸”，严防其侵蚀基层干部和基层政权。</w:t>
      </w:r>
    </w:p>
    <w:p w14:paraId="778257B2">
      <w:pPr>
        <w:spacing w:line="580" w:lineRule="exact"/>
        <w:ind w:firstLine="640"/>
        <w:jc w:val="both"/>
      </w:pPr>
      <w:r>
        <w:rPr>
          <w:rFonts w:ascii="仿宋_GB2312" w:hAnsi="仿宋_GB2312" w:eastAsia="仿宋_GB2312"/>
          <w:sz w:val="32"/>
        </w:rPr>
        <w:t>（五）根据相关规定，负责组织实施与群众生活密切相关的各项公共服务，负责做好民政、社会保障、教育体育、科技文化、卫生健康、劳动就业、</w:t>
      </w:r>
      <w:r>
        <w:rPr>
          <w:rFonts w:hint="eastAsia" w:ascii="仿宋_GB2312" w:hAnsi="仿宋_GB2312" w:eastAsia="仿宋_GB2312"/>
          <w:sz w:val="32"/>
          <w:lang w:eastAsia="zh-CN"/>
        </w:rPr>
        <w:t>JHSY</w:t>
      </w:r>
      <w:r>
        <w:rPr>
          <w:rFonts w:ascii="仿宋_GB2312" w:hAnsi="仿宋_GB2312" w:eastAsia="仿宋_GB2312"/>
          <w:sz w:val="32"/>
        </w:rPr>
        <w:t>、拥军优属、助残、统计等方面工作。以“最多跑一次”改革为引导，强化基层便民服务。</w:t>
      </w:r>
    </w:p>
    <w:p w14:paraId="343F426F">
      <w:pPr>
        <w:spacing w:line="580" w:lineRule="exact"/>
        <w:ind w:firstLine="640"/>
        <w:jc w:val="both"/>
      </w:pPr>
      <w:r>
        <w:rPr>
          <w:rFonts w:ascii="仿宋_GB2312" w:hAnsi="仿宋_GB2312" w:eastAsia="仿宋_GB2312"/>
          <w:sz w:val="32"/>
        </w:rPr>
        <w:t>（六）负责做好统一战线、民族</w:t>
      </w:r>
      <w:r>
        <w:rPr>
          <w:rFonts w:hint="eastAsia" w:ascii="仿宋_GB2312" w:hAnsi="仿宋_GB2312" w:eastAsia="仿宋_GB2312"/>
          <w:sz w:val="32"/>
          <w:lang w:eastAsia="zh-CN"/>
        </w:rPr>
        <w:t>ZJ</w:t>
      </w:r>
      <w:r>
        <w:rPr>
          <w:rFonts w:ascii="仿宋_GB2312" w:hAnsi="仿宋_GB2312" w:eastAsia="仿宋_GB2312"/>
          <w:sz w:val="32"/>
        </w:rPr>
        <w:t>等工作；管理好</w:t>
      </w:r>
      <w:r>
        <w:rPr>
          <w:rFonts w:hint="eastAsia" w:ascii="仿宋_GB2312" w:hAnsi="仿宋_GB2312" w:eastAsia="仿宋_GB2312"/>
          <w:sz w:val="32"/>
          <w:lang w:eastAsia="zh-CN"/>
        </w:rPr>
        <w:t>ZJ</w:t>
      </w:r>
      <w:r>
        <w:rPr>
          <w:rFonts w:ascii="仿宋_GB2312" w:hAnsi="仿宋_GB2312" w:eastAsia="仿宋_GB2312"/>
          <w:sz w:val="32"/>
        </w:rPr>
        <w:t>活动场所，依法制止利用</w:t>
      </w:r>
      <w:r>
        <w:rPr>
          <w:rFonts w:hint="eastAsia" w:ascii="仿宋_GB2312" w:hAnsi="仿宋_GB2312" w:eastAsia="仿宋_GB2312"/>
          <w:sz w:val="32"/>
          <w:lang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eastAsia="zh-CN"/>
        </w:rPr>
        <w:t>ZJ</w:t>
      </w:r>
      <w:r>
        <w:rPr>
          <w:rFonts w:ascii="仿宋_GB2312" w:hAnsi="仿宋_GB2312" w:eastAsia="仿宋_GB2312"/>
          <w:sz w:val="32"/>
        </w:rPr>
        <w:t>活动和境外渗透活动。</w:t>
      </w:r>
    </w:p>
    <w:p w14:paraId="3FBBE03D">
      <w:pPr>
        <w:spacing w:line="580" w:lineRule="exact"/>
        <w:ind w:firstLine="640"/>
        <w:jc w:val="both"/>
      </w:pPr>
      <w:r>
        <w:rPr>
          <w:rFonts w:ascii="仿宋_GB2312" w:hAnsi="仿宋_GB2312" w:eastAsia="仿宋_GB2312"/>
          <w:sz w:val="32"/>
        </w:rPr>
        <w:t>（七）负责乡村振兴战略有关政策措施的贯彻落实；负责扶贫开发、产业规划发展、美丽乡村建设、生态环境、人居环境整治等工作。</w:t>
      </w:r>
    </w:p>
    <w:p w14:paraId="28754409">
      <w:pPr>
        <w:spacing w:line="580" w:lineRule="exact"/>
        <w:ind w:firstLine="640"/>
        <w:jc w:val="both"/>
      </w:pPr>
      <w:r>
        <w:rPr>
          <w:rFonts w:ascii="仿宋_GB2312" w:hAnsi="仿宋_GB2312" w:eastAsia="仿宋_GB2312"/>
          <w:sz w:val="32"/>
        </w:rPr>
        <w:t>（八）根据行业主管部门相关规定，协助做好农畜产品质量安全、农牧业机械维护和管理等工作；负责加强动物防疫和重大疫情的监控工作，落实动物防疫责任制和疫病的分级管理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加强辖区内林业管理；加强农田水利设施建设，改善人畜饮用水条件，开展水土保持宣传教育，普及水土保持科学知识，防止水土流失。</w:t>
      </w:r>
    </w:p>
    <w:p w14:paraId="46842456">
      <w:pPr>
        <w:spacing w:line="580" w:lineRule="exact"/>
        <w:ind w:firstLine="640"/>
        <w:jc w:val="both"/>
      </w:pPr>
      <w:r>
        <w:rPr>
          <w:rFonts w:ascii="仿宋_GB2312" w:hAnsi="仿宋_GB2312" w:eastAsia="仿宋_GB2312"/>
          <w:sz w:val="32"/>
        </w:rPr>
        <w:t>（九）负责辖区公共安全及安全生产监管，构建公共安全防控体系，建立应对突发紧急事件的处理预案，做好安全生产、防汛、防火、防疫等灾害防御及食品药品安全等应急管理工作。</w:t>
      </w:r>
    </w:p>
    <w:p w14:paraId="50447A91">
      <w:pPr>
        <w:spacing w:line="580" w:lineRule="exact"/>
        <w:ind w:firstLine="640"/>
        <w:jc w:val="both"/>
      </w:pPr>
      <w:r>
        <w:rPr>
          <w:rFonts w:ascii="仿宋_GB2312" w:hAnsi="仿宋_GB2312" w:eastAsia="仿宋_GB2312"/>
          <w:sz w:val="32"/>
        </w:rPr>
        <w:t>（十）负责综合协调辖区内村容村貌、环境卫生、公共设施管理等工作。</w:t>
      </w:r>
    </w:p>
    <w:p w14:paraId="06B802AB">
      <w:pPr>
        <w:spacing w:line="580" w:lineRule="exact"/>
        <w:ind w:firstLine="640"/>
        <w:jc w:val="both"/>
      </w:pPr>
      <w:r>
        <w:rPr>
          <w:rFonts w:ascii="仿宋_GB2312" w:hAnsi="仿宋_GB2312" w:eastAsia="仿宋_GB2312"/>
          <w:sz w:val="32"/>
        </w:rPr>
        <w:t>（十一）负责推进法治政府建设和网格化服务管理工作；负责管理和指导村工作；负责做好维护老年人、妇女、未成年人和残疾人的合法权益，保障适龄儿童、少年接受义务教育等工作。</w:t>
      </w:r>
    </w:p>
    <w:p w14:paraId="30ECD9A2">
      <w:pPr>
        <w:spacing w:line="580" w:lineRule="exact"/>
        <w:ind w:firstLine="640"/>
        <w:jc w:val="both"/>
      </w:pPr>
      <w:r>
        <w:rPr>
          <w:rFonts w:ascii="仿宋_GB2312" w:hAnsi="仿宋_GB2312" w:eastAsia="仿宋_GB2312"/>
          <w:sz w:val="32"/>
        </w:rPr>
        <w:t>（十二）根据自治区党委、政府赋予乡镇行政权力事项清单，与县相关执法队伍和部门协调配合行使行政许可、行政确认、行政处罚等相关权力。</w:t>
      </w:r>
    </w:p>
    <w:p w14:paraId="275A8826">
      <w:pPr>
        <w:spacing w:line="580" w:lineRule="exact"/>
        <w:ind w:firstLine="640"/>
        <w:jc w:val="both"/>
      </w:pPr>
      <w:r>
        <w:rPr>
          <w:rFonts w:ascii="仿宋_GB2312" w:hAnsi="仿宋_GB2312" w:eastAsia="仿宋_GB2312"/>
          <w:sz w:val="32"/>
        </w:rPr>
        <w:t>（十三）负责本辖区社会领域、生态环境领域、党的建设领域等重大风险的防范、排查、化解，机要保密、意识形态、信访等工作。</w:t>
      </w:r>
    </w:p>
    <w:p w14:paraId="029AC465">
      <w:pPr>
        <w:spacing w:line="640" w:lineRule="exact"/>
        <w:ind w:firstLine="640"/>
        <w:jc w:val="both"/>
        <w:outlineLvl w:val="2"/>
      </w:pPr>
      <w:r>
        <w:rPr>
          <w:rFonts w:ascii="黑体" w:hAnsi="黑体" w:eastAsia="黑体"/>
          <w:sz w:val="32"/>
        </w:rPr>
        <w:t>二、机构设置及人员情况</w:t>
      </w:r>
    </w:p>
    <w:p w14:paraId="5E0B581E">
      <w:pPr>
        <w:spacing w:line="580" w:lineRule="exact"/>
        <w:ind w:firstLine="640"/>
        <w:jc w:val="both"/>
      </w:pPr>
      <w:r>
        <w:rPr>
          <w:rFonts w:ascii="仿宋_GB2312" w:hAnsi="仿宋_GB2312" w:eastAsia="仿宋_GB2312"/>
          <w:sz w:val="32"/>
        </w:rPr>
        <w:t>麦盖提县昂格特勒克乡人民政府2024年度，实有人数82人，其中：在职人员65人，减少11人；离休人员0人，增加0人；退休人员17人,增加2人。</w:t>
      </w:r>
    </w:p>
    <w:p w14:paraId="33D968EA">
      <w:pPr>
        <w:spacing w:line="580" w:lineRule="exact"/>
        <w:ind w:firstLine="640"/>
        <w:jc w:val="both"/>
      </w:pPr>
      <w:r>
        <w:rPr>
          <w:rFonts w:ascii="仿宋_GB2312" w:hAnsi="仿宋_GB2312" w:eastAsia="仿宋_GB2312"/>
          <w:sz w:val="32"/>
        </w:rPr>
        <w:t>麦盖提县昂格特勒克乡人民政府无下属预算单位，下设5个科室，分别是：党政综合办公室、党建工作办公室、经济发展和财政办公室、社会事务办公室（退役军人服务站）、综合执法办公室。</w:t>
      </w:r>
    </w:p>
    <w:p w14:paraId="118D967F">
      <w:r>
        <w:br w:type="page"/>
      </w:r>
    </w:p>
    <w:p w14:paraId="478D3651">
      <w:pPr>
        <w:spacing w:line="240" w:lineRule="auto"/>
        <w:jc w:val="center"/>
        <w:outlineLvl w:val="1"/>
      </w:pPr>
      <w:r>
        <w:rPr>
          <w:rFonts w:ascii="黑体" w:hAnsi="黑体" w:eastAsia="黑体"/>
          <w:sz w:val="32"/>
        </w:rPr>
        <w:t>第二部分 部门决算情况说明</w:t>
      </w:r>
    </w:p>
    <w:p w14:paraId="06A7E77A">
      <w:pPr>
        <w:spacing w:line="640" w:lineRule="exact"/>
        <w:ind w:firstLine="640"/>
        <w:jc w:val="both"/>
        <w:outlineLvl w:val="2"/>
      </w:pPr>
      <w:r>
        <w:rPr>
          <w:rFonts w:ascii="黑体" w:hAnsi="黑体" w:eastAsia="黑体"/>
          <w:sz w:val="32"/>
        </w:rPr>
        <w:t>一、收入支出决算总体情况说明</w:t>
      </w:r>
    </w:p>
    <w:p w14:paraId="77488773">
      <w:pPr>
        <w:spacing w:line="580" w:lineRule="exact"/>
        <w:ind w:firstLine="640"/>
        <w:jc w:val="both"/>
      </w:pPr>
      <w:r>
        <w:rPr>
          <w:rFonts w:ascii="仿宋_GB2312" w:hAnsi="仿宋_GB2312" w:eastAsia="仿宋_GB2312"/>
          <w:b/>
          <w:sz w:val="32"/>
        </w:rPr>
        <w:t>2024年度收入总计1,669.53万元，</w:t>
      </w:r>
      <w:r>
        <w:rPr>
          <w:rFonts w:ascii="仿宋_GB2312" w:hAnsi="仿宋_GB2312" w:eastAsia="仿宋_GB2312"/>
          <w:b w:val="0"/>
          <w:sz w:val="32"/>
        </w:rPr>
        <w:t>其中：本年收入合计1,661.01万元，使用非财政拨款结余（含专用结余）0.00万元，年初结转和结余8.51万元。</w:t>
      </w:r>
    </w:p>
    <w:p w14:paraId="4D1A2E1D">
      <w:pPr>
        <w:spacing w:line="580" w:lineRule="exact"/>
        <w:ind w:firstLine="640"/>
        <w:jc w:val="both"/>
      </w:pPr>
      <w:r>
        <w:rPr>
          <w:rFonts w:ascii="仿宋_GB2312" w:hAnsi="仿宋_GB2312" w:eastAsia="仿宋_GB2312"/>
          <w:b/>
          <w:sz w:val="32"/>
        </w:rPr>
        <w:t>2024年度支出总计1,669.53万元，</w:t>
      </w:r>
      <w:r>
        <w:rPr>
          <w:rFonts w:ascii="仿宋_GB2312" w:hAnsi="仿宋_GB2312" w:eastAsia="仿宋_GB2312"/>
          <w:b w:val="0"/>
          <w:sz w:val="32"/>
        </w:rPr>
        <w:t>其中：本年支出合计1,661.01万元，结余分配0.00万元，年末结转和结余8.51万元。</w:t>
      </w:r>
    </w:p>
    <w:p w14:paraId="208715D3">
      <w:pPr>
        <w:spacing w:line="580" w:lineRule="exact"/>
        <w:ind w:firstLine="640"/>
        <w:jc w:val="both"/>
      </w:pPr>
      <w:r>
        <w:rPr>
          <w:rFonts w:ascii="仿宋_GB2312" w:hAnsi="仿宋_GB2312" w:eastAsia="仿宋_GB2312"/>
          <w:b w:val="0"/>
          <w:sz w:val="32"/>
        </w:rPr>
        <w:t>收入支出总体与上年相比，增加9.71万元，增长0.59%，主要原因是：本年在职人员增加，在职人员工资调增、社保、公积金基数调增，人员经费增加。</w:t>
      </w:r>
    </w:p>
    <w:p w14:paraId="4F0FB5F4">
      <w:pPr>
        <w:spacing w:line="640" w:lineRule="exact"/>
        <w:ind w:firstLine="640"/>
        <w:jc w:val="both"/>
        <w:outlineLvl w:val="2"/>
      </w:pPr>
      <w:r>
        <w:rPr>
          <w:rFonts w:ascii="黑体" w:hAnsi="黑体" w:eastAsia="黑体"/>
          <w:sz w:val="32"/>
        </w:rPr>
        <w:t>二、收入决算情况说明</w:t>
      </w:r>
    </w:p>
    <w:p w14:paraId="3CCBAC6A">
      <w:pPr>
        <w:spacing w:line="580" w:lineRule="exact"/>
        <w:ind w:firstLine="640"/>
        <w:jc w:val="both"/>
      </w:pPr>
      <w:r>
        <w:rPr>
          <w:rFonts w:ascii="仿宋_GB2312" w:hAnsi="仿宋_GB2312" w:eastAsia="仿宋_GB2312"/>
          <w:b/>
          <w:sz w:val="32"/>
        </w:rPr>
        <w:t>本年收入1,661.01万元，</w:t>
      </w:r>
      <w:r>
        <w:rPr>
          <w:rFonts w:ascii="仿宋_GB2312" w:hAnsi="仿宋_GB2312" w:eastAsia="仿宋_GB2312"/>
          <w:b w:val="0"/>
          <w:sz w:val="32"/>
        </w:rPr>
        <w:t>其中：财政拨款收入1,602.52万元，占96.48%；上级补助收入0.00万元，占0.00%；事业收入0.00万元，占0.00%；经营收入0.00万元，占0.00%；附属单位上缴收入0.00万元，占0.00%；其他收入58.50万元，占3.52%。</w:t>
      </w:r>
    </w:p>
    <w:p w14:paraId="69C2C188">
      <w:pPr>
        <w:spacing w:line="640" w:lineRule="exact"/>
        <w:ind w:firstLine="640"/>
        <w:jc w:val="both"/>
        <w:outlineLvl w:val="2"/>
      </w:pPr>
      <w:r>
        <w:rPr>
          <w:rFonts w:ascii="黑体" w:hAnsi="黑体" w:eastAsia="黑体"/>
          <w:sz w:val="32"/>
        </w:rPr>
        <w:t>三、支出决算情况说明</w:t>
      </w:r>
    </w:p>
    <w:p w14:paraId="7E406C3D">
      <w:pPr>
        <w:spacing w:line="580" w:lineRule="exact"/>
        <w:ind w:firstLine="640"/>
        <w:jc w:val="both"/>
      </w:pPr>
      <w:r>
        <w:rPr>
          <w:rFonts w:ascii="仿宋_GB2312" w:hAnsi="仿宋_GB2312" w:eastAsia="仿宋_GB2312"/>
          <w:b/>
          <w:sz w:val="32"/>
        </w:rPr>
        <w:t>本年支出1,661.01万元，</w:t>
      </w:r>
      <w:r>
        <w:rPr>
          <w:rFonts w:ascii="仿宋_GB2312" w:hAnsi="仿宋_GB2312" w:eastAsia="仿宋_GB2312"/>
          <w:b w:val="0"/>
          <w:sz w:val="32"/>
        </w:rPr>
        <w:t>其中：基本支出1,397.93万元，占84.16%；项目支出263.08万元，占15.84%；上缴上级支出0.00万元，占0.00%；经营支出0.00万元，占0.00%；对附属单位补助支出0.00万元，占0.00%。</w:t>
      </w:r>
    </w:p>
    <w:p w14:paraId="0E4EE209">
      <w:pPr>
        <w:spacing w:line="640" w:lineRule="exact"/>
        <w:ind w:firstLine="640"/>
        <w:jc w:val="both"/>
        <w:outlineLvl w:val="2"/>
      </w:pPr>
      <w:r>
        <w:rPr>
          <w:rFonts w:ascii="黑体" w:hAnsi="黑体" w:eastAsia="黑体"/>
          <w:sz w:val="32"/>
        </w:rPr>
        <w:t>四、财政拨款收入支出决算总体情况说明</w:t>
      </w:r>
    </w:p>
    <w:p w14:paraId="37BD4FDC">
      <w:pPr>
        <w:spacing w:line="580" w:lineRule="exact"/>
        <w:ind w:firstLine="640"/>
        <w:jc w:val="both"/>
      </w:pPr>
      <w:r>
        <w:rPr>
          <w:rFonts w:ascii="仿宋_GB2312" w:hAnsi="仿宋_GB2312" w:eastAsia="仿宋_GB2312"/>
          <w:b/>
          <w:sz w:val="32"/>
        </w:rPr>
        <w:t>2024年度财政拨款收入总计1,602.52万元，</w:t>
      </w:r>
      <w:r>
        <w:rPr>
          <w:rFonts w:ascii="仿宋_GB2312" w:hAnsi="仿宋_GB2312" w:eastAsia="仿宋_GB2312"/>
          <w:b w:val="0"/>
          <w:sz w:val="32"/>
        </w:rPr>
        <w:t>其中：年初财政拨款结转和结余0.00万元，本年财政拨款收入1,602.52万元。</w:t>
      </w:r>
      <w:r>
        <w:rPr>
          <w:rFonts w:ascii="仿宋_GB2312" w:hAnsi="仿宋_GB2312" w:eastAsia="仿宋_GB2312"/>
          <w:b/>
          <w:sz w:val="32"/>
        </w:rPr>
        <w:t>财政拨款支出总计1,602.52万元，</w:t>
      </w:r>
      <w:r>
        <w:rPr>
          <w:rFonts w:ascii="仿宋_GB2312" w:hAnsi="仿宋_GB2312" w:eastAsia="仿宋_GB2312"/>
          <w:b w:val="0"/>
          <w:sz w:val="32"/>
        </w:rPr>
        <w:t>其中：年末财政拨款结转和结余0.00万元，本年财政拨款支出1,602.52万元。</w:t>
      </w:r>
    </w:p>
    <w:p w14:paraId="68AD852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增加28.48万元，增长1.81%，主要原因是：本年在职人员工资调增，社保、公积金基数调增，人员经费增加。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年初预算数1,388.46万元，决算数1,602.52万元，预决算差异率15.42%，主要原因是：年中追加人员工资、社保、公积金基数调增部分资金，导致预决算存在差异。</w:t>
      </w:r>
    </w:p>
    <w:p w14:paraId="4AC84654">
      <w:pPr>
        <w:spacing w:line="640" w:lineRule="exact"/>
        <w:ind w:firstLine="640"/>
        <w:jc w:val="both"/>
        <w:outlineLvl w:val="2"/>
      </w:pPr>
      <w:r>
        <w:rPr>
          <w:rFonts w:ascii="黑体" w:hAnsi="黑体" w:eastAsia="黑体"/>
          <w:sz w:val="32"/>
        </w:rPr>
        <w:t>五、一般公共预算财政拨款支出决算情况说明</w:t>
      </w:r>
    </w:p>
    <w:p w14:paraId="22EDD000">
      <w:pPr>
        <w:spacing w:line="640" w:lineRule="exact"/>
        <w:ind w:firstLine="640"/>
        <w:jc w:val="both"/>
        <w:outlineLvl w:val="3"/>
      </w:pPr>
      <w:r>
        <w:rPr>
          <w:rFonts w:ascii="楷体_GB2312" w:hAnsi="楷体_GB2312" w:eastAsia="楷体_GB2312"/>
          <w:b/>
          <w:sz w:val="32"/>
        </w:rPr>
        <w:t>（一）一般公共预算财政拨款支出决算总体情况</w:t>
      </w:r>
    </w:p>
    <w:p w14:paraId="48D44B8F">
      <w:pPr>
        <w:spacing w:line="580" w:lineRule="exact"/>
        <w:ind w:firstLine="640"/>
        <w:jc w:val="both"/>
      </w:pPr>
      <w:r>
        <w:rPr>
          <w:rFonts w:ascii="仿宋_GB2312" w:hAnsi="仿宋_GB2312" w:eastAsia="仿宋_GB2312"/>
          <w:b/>
          <w:sz w:val="32"/>
        </w:rPr>
        <w:t>2024年度一般公共预算财政拨款支出1,602.52万元，</w:t>
      </w:r>
      <w:r>
        <w:rPr>
          <w:rFonts w:ascii="仿宋_GB2312" w:hAnsi="仿宋_GB2312" w:eastAsia="仿宋_GB2312"/>
          <w:b w:val="0"/>
          <w:sz w:val="32"/>
        </w:rPr>
        <w:t>占本年支出合计的96.48%。</w:t>
      </w:r>
      <w:r>
        <w:rPr>
          <w:rFonts w:ascii="仿宋_GB2312" w:hAnsi="仿宋_GB2312" w:eastAsia="仿宋_GB2312"/>
          <w:b/>
          <w:sz w:val="32"/>
        </w:rPr>
        <w:t>与上年相比，</w:t>
      </w:r>
      <w:r>
        <w:rPr>
          <w:rFonts w:ascii="仿宋_GB2312" w:hAnsi="仿宋_GB2312" w:eastAsia="仿宋_GB2312"/>
          <w:b w:val="0"/>
          <w:sz w:val="32"/>
        </w:rPr>
        <w:t>增加28.48万元，增长1.81%，主要原因是：本年在职人员工资调增，社保、公积金基数调增，人员经费增加。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年初预算数1,388.46万元，决算数1,602.52万元，预决算差异率15.42%，主要原因是：年中追加人员工资、社保、公积金基数调增部分资金，导致预决算存在差异。</w:t>
      </w:r>
    </w:p>
    <w:p w14:paraId="2C691340">
      <w:pPr>
        <w:spacing w:line="640" w:lineRule="exact"/>
        <w:ind w:firstLine="640"/>
        <w:jc w:val="both"/>
        <w:outlineLvl w:val="3"/>
      </w:pPr>
      <w:r>
        <w:rPr>
          <w:rFonts w:ascii="楷体_GB2312" w:hAnsi="楷体_GB2312" w:eastAsia="楷体_GB2312"/>
          <w:b/>
          <w:sz w:val="32"/>
        </w:rPr>
        <w:t>（二）一般公共预算财政拨款支出决算结构情况</w:t>
      </w:r>
    </w:p>
    <w:p w14:paraId="2380AE00">
      <w:pPr>
        <w:spacing w:line="580" w:lineRule="exact"/>
        <w:ind w:firstLine="640"/>
        <w:jc w:val="both"/>
      </w:pPr>
      <w:r>
        <w:rPr>
          <w:rFonts w:ascii="仿宋_GB2312" w:hAnsi="仿宋_GB2312" w:eastAsia="仿宋_GB2312"/>
          <w:b w:val="0"/>
          <w:sz w:val="32"/>
        </w:rPr>
        <w:t>1.一般公共服务支出(类)1,148.35万元,占71.66%。</w:t>
      </w:r>
    </w:p>
    <w:p w14:paraId="640BEC90">
      <w:pPr>
        <w:spacing w:line="580" w:lineRule="exact"/>
        <w:ind w:firstLine="640"/>
        <w:jc w:val="both"/>
      </w:pPr>
      <w:r>
        <w:rPr>
          <w:rFonts w:ascii="仿宋_GB2312" w:hAnsi="仿宋_GB2312" w:eastAsia="仿宋_GB2312"/>
          <w:b w:val="0"/>
          <w:sz w:val="32"/>
        </w:rPr>
        <w:t>2.文化旅游体育与传媒支出(类)25.48万元,占1.59%。</w:t>
      </w:r>
    </w:p>
    <w:p w14:paraId="57D5089C">
      <w:pPr>
        <w:spacing w:line="580" w:lineRule="exact"/>
        <w:ind w:firstLine="640"/>
        <w:jc w:val="both"/>
      </w:pPr>
      <w:r>
        <w:rPr>
          <w:rFonts w:ascii="仿宋_GB2312" w:hAnsi="仿宋_GB2312" w:eastAsia="仿宋_GB2312"/>
          <w:b w:val="0"/>
          <w:sz w:val="32"/>
        </w:rPr>
        <w:t>3.社会保障和就业支出(类)166.16万元,占10.37%。</w:t>
      </w:r>
    </w:p>
    <w:p w14:paraId="179C398F">
      <w:pPr>
        <w:spacing w:line="580" w:lineRule="exact"/>
        <w:ind w:firstLine="640"/>
        <w:jc w:val="both"/>
      </w:pPr>
      <w:r>
        <w:rPr>
          <w:rFonts w:ascii="仿宋_GB2312" w:hAnsi="仿宋_GB2312" w:eastAsia="仿宋_GB2312"/>
          <w:b w:val="0"/>
          <w:sz w:val="32"/>
        </w:rPr>
        <w:t>4.卫生健康支出(类)59.70万元,占3.73%。</w:t>
      </w:r>
    </w:p>
    <w:p w14:paraId="3671978B">
      <w:pPr>
        <w:spacing w:line="580" w:lineRule="exact"/>
        <w:ind w:firstLine="640"/>
        <w:jc w:val="both"/>
      </w:pPr>
      <w:r>
        <w:rPr>
          <w:rFonts w:ascii="仿宋_GB2312" w:hAnsi="仿宋_GB2312" w:eastAsia="仿宋_GB2312"/>
          <w:b w:val="0"/>
          <w:sz w:val="32"/>
        </w:rPr>
        <w:t>5.节能环保支出(类)4.02万元,占0.25%。</w:t>
      </w:r>
    </w:p>
    <w:p w14:paraId="5E245647">
      <w:pPr>
        <w:spacing w:line="580" w:lineRule="exact"/>
        <w:ind w:firstLine="640"/>
        <w:jc w:val="both"/>
      </w:pPr>
      <w:r>
        <w:rPr>
          <w:rFonts w:ascii="仿宋_GB2312" w:hAnsi="仿宋_GB2312" w:eastAsia="仿宋_GB2312"/>
          <w:b w:val="0"/>
          <w:sz w:val="32"/>
        </w:rPr>
        <w:t>6.农林水支出(类)102.51万元,占6.40%。</w:t>
      </w:r>
    </w:p>
    <w:p w14:paraId="0DEAFA0C">
      <w:pPr>
        <w:spacing w:line="580" w:lineRule="exact"/>
        <w:ind w:firstLine="640"/>
        <w:jc w:val="both"/>
      </w:pPr>
      <w:r>
        <w:rPr>
          <w:rFonts w:ascii="仿宋_GB2312" w:hAnsi="仿宋_GB2312" w:eastAsia="仿宋_GB2312"/>
          <w:b w:val="0"/>
          <w:sz w:val="32"/>
        </w:rPr>
        <w:t>7.住房保障支出(类)94.23万元,占5.88%。</w:t>
      </w:r>
    </w:p>
    <w:p w14:paraId="5E6128E4">
      <w:pPr>
        <w:spacing w:line="580" w:lineRule="exact"/>
        <w:ind w:firstLine="640"/>
        <w:jc w:val="both"/>
      </w:pPr>
      <w:r>
        <w:rPr>
          <w:rFonts w:ascii="仿宋_GB2312" w:hAnsi="仿宋_GB2312" w:eastAsia="仿宋_GB2312"/>
          <w:b w:val="0"/>
          <w:sz w:val="32"/>
        </w:rPr>
        <w:t>8.其他支出(类)2.07万元,占0.13%。</w:t>
      </w:r>
    </w:p>
    <w:p w14:paraId="2C99AA46">
      <w:pPr>
        <w:spacing w:line="640" w:lineRule="exact"/>
        <w:ind w:firstLine="640"/>
        <w:jc w:val="both"/>
        <w:outlineLvl w:val="3"/>
      </w:pPr>
      <w:r>
        <w:rPr>
          <w:rFonts w:ascii="楷体_GB2312" w:hAnsi="楷体_GB2312" w:eastAsia="楷体_GB2312"/>
          <w:b/>
          <w:sz w:val="32"/>
        </w:rPr>
        <w:t>（三）一般公共预算财政拨款支出决算具体情况</w:t>
      </w:r>
    </w:p>
    <w:p w14:paraId="6BF91CE4">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1,089.85万元，比上年决算增加18.92万元，增长1.77%,主要原因是：本年在职人员工资调增，导致相关人员经费较上年有所增加。</w:t>
      </w:r>
    </w:p>
    <w:p w14:paraId="3D6A331E">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度纪检办公室办案经费增加，办公费用增加，造成纪检监察事务款增加。</w:t>
      </w:r>
    </w:p>
    <w:p w14:paraId="4ECA85FE">
      <w:pPr>
        <w:spacing w:line="580" w:lineRule="exact"/>
        <w:ind w:firstLine="640"/>
        <w:jc w:val="both"/>
      </w:pPr>
      <w:r>
        <w:rPr>
          <w:rFonts w:ascii="仿宋_GB2312" w:hAnsi="仿宋_GB2312" w:eastAsia="仿宋_GB2312"/>
          <w:b w:val="0"/>
          <w:sz w:val="32"/>
        </w:rPr>
        <w:t>3.一般公共服务支出(类)组织事务(款)其他组织事务支出(项):支出决算数为56.50万元，比上年决算增加39.32万元，增长228.87%,主要原因是：本年功能科目调整，</w:t>
      </w:r>
      <w:r>
        <w:rPr>
          <w:rFonts w:hint="eastAsia" w:ascii="仿宋_GB2312" w:hAnsi="仿宋_GB2312" w:eastAsia="仿宋_GB2312"/>
          <w:b w:val="0"/>
          <w:sz w:val="32"/>
          <w:lang w:eastAsia="zh-CN"/>
        </w:rPr>
        <w:t>为民办实事</w:t>
      </w:r>
      <w:r>
        <w:rPr>
          <w:rFonts w:ascii="仿宋_GB2312" w:hAnsi="仿宋_GB2312" w:eastAsia="仿宋_GB2312"/>
          <w:b w:val="0"/>
          <w:sz w:val="32"/>
        </w:rPr>
        <w:t>工作经费上年在其他支出科目列支，本年在其他组织事务支出科目列支，导致经费较上年增加。</w:t>
      </w:r>
    </w:p>
    <w:p w14:paraId="70F51382">
      <w:pPr>
        <w:spacing w:line="580" w:lineRule="exact"/>
        <w:ind w:firstLine="640"/>
        <w:jc w:val="both"/>
      </w:pPr>
      <w:r>
        <w:rPr>
          <w:rFonts w:ascii="仿宋_GB2312" w:hAnsi="仿宋_GB2312" w:eastAsia="仿宋_GB2312"/>
          <w:b w:val="0"/>
          <w:sz w:val="32"/>
        </w:rPr>
        <w:t>4.文化旅游体育与传媒支出(类)文化和旅游(款)群众文化(项):支出决算数为25.48万元，比上年决算增加25.48万元，增长100.00%,主要原因是：本年增加中央补助地方公共文化服务体系建设补助资金项目，导致经费较上年增加。</w:t>
      </w:r>
    </w:p>
    <w:p w14:paraId="37DFC927">
      <w:pPr>
        <w:spacing w:line="580" w:lineRule="exact"/>
        <w:ind w:firstLine="640"/>
        <w:jc w:val="both"/>
      </w:pPr>
      <w:r>
        <w:rPr>
          <w:rFonts w:ascii="仿宋_GB2312" w:hAnsi="仿宋_GB2312" w:eastAsia="仿宋_GB2312"/>
          <w:b w:val="0"/>
          <w:sz w:val="32"/>
        </w:rPr>
        <w:t>5.社会保障和就业支出(类)民政管理事务(款)其他民政管理事务支出(项):支出决算数为7.00万元，比上年决算减少1.00万元，下降12.50%,主要原因是：本年度减少幸福大院冬季取暖电费项目1万元。</w:t>
      </w:r>
    </w:p>
    <w:p w14:paraId="5D7A731E">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6.社会保障和就业支出(类)行政事业单位养老支出(款)行政单位离退休(项):支出决算数为19.97万元，比上年决算增加5.64万元，增长39.36%,主要原因是：本年增加退休人员基础绩效奖，退休费支出增加。</w:t>
      </w:r>
    </w:p>
    <w:p w14:paraId="1F85C1F4">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118.91万元，比上年决算减少1.20万元，下降1.00%,主要原因是：本年在职人员减少，单位基本养老保险缴费较上年减少。</w:t>
      </w:r>
    </w:p>
    <w:p w14:paraId="7EE17758">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15.28万元，比上年决算减少1.80万元，下降10.54%,主要原因是：本年新增退休人员较上年减少，职业年金缴费较上年减少。</w:t>
      </w:r>
    </w:p>
    <w:p w14:paraId="4C817D9D">
      <w:pPr>
        <w:spacing w:line="580" w:lineRule="exact"/>
        <w:ind w:firstLine="640"/>
        <w:jc w:val="both"/>
      </w:pPr>
      <w:r>
        <w:rPr>
          <w:rFonts w:ascii="仿宋_GB2312" w:hAnsi="仿宋_GB2312" w:eastAsia="仿宋_GB2312"/>
          <w:b w:val="0"/>
          <w:sz w:val="32"/>
        </w:rPr>
        <w:t>9.社会保障和就业支出(类)临时救助(款)临时救助支出(项):支出决算数为5.00万元，比上年决算减少33.98万元，下降87.17%,主要原因是：本年度临时救助项目调整到民政局支出，造成乡镇临时救助支出减少。</w:t>
      </w:r>
    </w:p>
    <w:p w14:paraId="143D468D">
      <w:pPr>
        <w:spacing w:line="580" w:lineRule="exact"/>
        <w:ind w:firstLine="640"/>
        <w:jc w:val="both"/>
      </w:pPr>
      <w:r>
        <w:rPr>
          <w:rFonts w:ascii="仿宋_GB2312" w:hAnsi="仿宋_GB2312" w:eastAsia="仿宋_GB2312"/>
          <w:b w:val="0"/>
          <w:sz w:val="32"/>
        </w:rPr>
        <w:t>10.卫生健康支出(类)行政事业单位医疗(款)行政单位医疗(项):支出决算数为50.54万元，比上年决算减少1.27万元，下降2.45%,主要原因是：本年在职人员减少，行政单位医疗支出较上年减少。</w:t>
      </w:r>
    </w:p>
    <w:p w14:paraId="62C76389">
      <w:pPr>
        <w:spacing w:line="580" w:lineRule="exact"/>
        <w:ind w:firstLine="640"/>
        <w:jc w:val="both"/>
      </w:pPr>
      <w:r>
        <w:rPr>
          <w:rFonts w:ascii="仿宋_GB2312" w:hAnsi="仿宋_GB2312" w:eastAsia="仿宋_GB2312"/>
          <w:b w:val="0"/>
          <w:sz w:val="32"/>
        </w:rPr>
        <w:t>11.卫生健康支出(类)行政事业单位医疗(款)公务员医疗补助(项):支出决算数为9.16万元，比上年决算减少0.37万元，下降3.88%,主要原因是：本年在职人员减少，公务员医疗补助较上年减少。</w:t>
      </w:r>
    </w:p>
    <w:p w14:paraId="478FBA0D">
      <w:pPr>
        <w:spacing w:line="580" w:lineRule="exact"/>
        <w:ind w:firstLine="640"/>
        <w:jc w:val="both"/>
      </w:pPr>
      <w:r>
        <w:rPr>
          <w:rFonts w:ascii="仿宋_GB2312" w:hAnsi="仿宋_GB2312" w:eastAsia="仿宋_GB2312"/>
          <w:b w:val="0"/>
          <w:sz w:val="32"/>
        </w:rPr>
        <w:t>12.节能环保支出(类)能源管理事务(款)能源行业管理(项):支出决算数为4.02万元，比上年决算增加4.02万元，增长100.00%,主要原因是：本年度新增煤改电项目前期费用项目，导致较上年增加。</w:t>
      </w:r>
    </w:p>
    <w:p w14:paraId="326E2A5A">
      <w:pPr>
        <w:spacing w:line="580" w:lineRule="exact"/>
        <w:ind w:firstLine="640"/>
        <w:jc w:val="both"/>
      </w:pPr>
      <w:r>
        <w:rPr>
          <w:rFonts w:ascii="仿宋_GB2312" w:hAnsi="仿宋_GB2312" w:eastAsia="仿宋_GB2312"/>
          <w:b w:val="0"/>
          <w:sz w:val="32"/>
        </w:rPr>
        <w:t>13.农林水支出(类)林业和草原(款)其他林业和草原支出(项):支出决算数为19.40万元，比上年决算增加19.40万元，增长100.00%,主要原因是：本年度新增2024年乡村绿化美化项目，导致较上年增加。</w:t>
      </w:r>
    </w:p>
    <w:p w14:paraId="133CD050">
      <w:pPr>
        <w:spacing w:line="580" w:lineRule="exact"/>
        <w:ind w:firstLine="640"/>
        <w:jc w:val="both"/>
      </w:pPr>
      <w:r>
        <w:rPr>
          <w:rFonts w:ascii="仿宋_GB2312" w:hAnsi="仿宋_GB2312" w:eastAsia="仿宋_GB2312"/>
          <w:b w:val="0"/>
          <w:sz w:val="32"/>
        </w:rPr>
        <w:t>14.农林水支出(类)巩固脱贫攻坚成果衔接乡村振兴(款)生产发展(项):支出决算数为0.00万元，比上年决算减少102.00万元，下降100.00%,主要原因是：本年度无巩固脱贫攻坚成果衔接乡村振兴相关资金项目，导致较上年减少。</w:t>
      </w:r>
    </w:p>
    <w:p w14:paraId="4B6307BB">
      <w:pPr>
        <w:spacing w:line="580" w:lineRule="exact"/>
        <w:ind w:firstLine="640"/>
        <w:jc w:val="both"/>
      </w:pPr>
      <w:r>
        <w:rPr>
          <w:rFonts w:ascii="仿宋_GB2312" w:hAnsi="仿宋_GB2312" w:eastAsia="仿宋_GB2312"/>
          <w:b w:val="0"/>
          <w:sz w:val="32"/>
        </w:rPr>
        <w:t>15.农林水支出(类)农村综合改革(款)对村级公益事业建设的补助(项):支出决算数为50.00万元，比上年决算增加50.00万元，增长100.00%,主要原因是：本年度新增中央综合改革转移支付资金项目。</w:t>
      </w:r>
    </w:p>
    <w:p w14:paraId="1FBE7BB6">
      <w:pPr>
        <w:spacing w:line="580" w:lineRule="exact"/>
        <w:ind w:firstLine="640"/>
        <w:jc w:val="both"/>
      </w:pPr>
      <w:r>
        <w:rPr>
          <w:rFonts w:ascii="仿宋_GB2312" w:hAnsi="仿宋_GB2312" w:eastAsia="仿宋_GB2312"/>
          <w:b w:val="0"/>
          <w:sz w:val="32"/>
        </w:rPr>
        <w:t>16.农林水支出(类)其他农林水支出(款)其他农林水支出(项):支出决算数为33.11万元，比上年决算增加33.11万元，增长100.00%,主要原因是：本年度新增麦盖提县2024年美丽庭院建设项目，导致较上年增加。</w:t>
      </w:r>
    </w:p>
    <w:p w14:paraId="3F86E180">
      <w:pPr>
        <w:spacing w:line="580" w:lineRule="exact"/>
        <w:ind w:firstLine="640"/>
        <w:jc w:val="both"/>
      </w:pPr>
      <w:r>
        <w:rPr>
          <w:rFonts w:ascii="仿宋_GB2312" w:hAnsi="仿宋_GB2312" w:eastAsia="仿宋_GB2312"/>
          <w:b w:val="0"/>
          <w:sz w:val="32"/>
        </w:rPr>
        <w:t>17.住房保障支出(类)住房改革支出(款)住房公积金(项):支出决算数为94.23万元，比上年决算增加8.68万元，增长10.15%,主要原因是：本年在职人员工资基数调增，公积金缴费基数上涨，相应支出增加。</w:t>
      </w:r>
    </w:p>
    <w:p w14:paraId="7923387A">
      <w:pPr>
        <w:spacing w:line="580" w:lineRule="exact"/>
        <w:ind w:firstLine="640"/>
        <w:jc w:val="both"/>
      </w:pPr>
      <w:r>
        <w:rPr>
          <w:rFonts w:ascii="仿宋_GB2312" w:hAnsi="仿宋_GB2312" w:eastAsia="仿宋_GB2312"/>
          <w:b w:val="0"/>
          <w:sz w:val="32"/>
        </w:rPr>
        <w:t>18.其他支出(类)其他支出(款)其他支出(项):支出决算数为2.07万元，比上年决算减少34.96万元，下降94.41%,主要原因是：本年功能科目调整，</w:t>
      </w:r>
      <w:r>
        <w:rPr>
          <w:rFonts w:hint="eastAsia" w:ascii="仿宋_GB2312" w:hAnsi="仿宋_GB2312" w:eastAsia="仿宋_GB2312"/>
          <w:b w:val="0"/>
          <w:sz w:val="32"/>
          <w:lang w:eastAsia="zh-CN"/>
        </w:rPr>
        <w:t>为民办实事</w:t>
      </w:r>
      <w:r>
        <w:rPr>
          <w:rFonts w:ascii="仿宋_GB2312" w:hAnsi="仿宋_GB2312" w:eastAsia="仿宋_GB2312"/>
          <w:b w:val="0"/>
          <w:sz w:val="32"/>
        </w:rPr>
        <w:t>工作经费上年在其他支出科目列支，本年在其他组织事务支出科目列支，导致经费较上年减少。</w:t>
      </w:r>
    </w:p>
    <w:p w14:paraId="02115505">
      <w:pPr>
        <w:spacing w:line="640" w:lineRule="exact"/>
        <w:ind w:firstLine="640"/>
        <w:jc w:val="both"/>
        <w:outlineLvl w:val="2"/>
      </w:pPr>
      <w:r>
        <w:rPr>
          <w:rFonts w:ascii="黑体" w:hAnsi="黑体" w:eastAsia="黑体"/>
          <w:sz w:val="32"/>
        </w:rPr>
        <w:t>六、一般公共预算财政拨款基本支出决算情况说明</w:t>
      </w:r>
    </w:p>
    <w:p w14:paraId="2DB77F17">
      <w:pPr>
        <w:spacing w:line="580" w:lineRule="exact"/>
        <w:ind w:firstLine="640"/>
        <w:jc w:val="both"/>
      </w:pPr>
      <w:r>
        <w:rPr>
          <w:rFonts w:ascii="仿宋_GB2312" w:hAnsi="仿宋_GB2312" w:eastAsia="仿宋_GB2312"/>
          <w:b w:val="0"/>
          <w:sz w:val="32"/>
        </w:rPr>
        <w:t>2024年度一般公共预算财政拨款基本支出1,397.93万元，其中：</w:t>
      </w:r>
      <w:r>
        <w:rPr>
          <w:rFonts w:ascii="仿宋_GB2312" w:hAnsi="仿宋_GB2312" w:eastAsia="仿宋_GB2312"/>
          <w:b/>
          <w:sz w:val="32"/>
        </w:rPr>
        <w:t>人员经费1,288.11万元，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190C3E7E">
      <w:pPr>
        <w:spacing w:line="580" w:lineRule="exact"/>
        <w:ind w:firstLine="640"/>
        <w:jc w:val="both"/>
      </w:pPr>
      <w:r>
        <w:rPr>
          <w:rFonts w:ascii="仿宋_GB2312" w:hAnsi="仿宋_GB2312" w:eastAsia="仿宋_GB2312"/>
          <w:b/>
          <w:sz w:val="32"/>
        </w:rPr>
        <w:t>公用经费109.82万元，</w:t>
      </w:r>
      <w:r>
        <w:rPr>
          <w:rFonts w:ascii="仿宋_GB2312" w:hAnsi="仿宋_GB2312" w:eastAsia="仿宋_GB2312"/>
          <w:b w:val="0"/>
          <w:sz w:val="32"/>
        </w:rPr>
        <w:t>包括：办公费、印刷费、水费、电费、邮电费、取暖费、差旅费、维修（护）费、专用材料费、委托业务费、公务用车运行维护费、其他商品和服务支出、信息网络及软件购置更新。</w:t>
      </w:r>
    </w:p>
    <w:p w14:paraId="76A88A6F">
      <w:pPr>
        <w:spacing w:line="640" w:lineRule="exact"/>
        <w:ind w:firstLine="640"/>
        <w:jc w:val="both"/>
        <w:outlineLvl w:val="2"/>
      </w:pPr>
      <w:r>
        <w:rPr>
          <w:rFonts w:ascii="黑体" w:hAnsi="黑体" w:eastAsia="黑体"/>
          <w:sz w:val="32"/>
        </w:rPr>
        <w:t>七、政府性基金预算财政拨款收入支出决算情况说明</w:t>
      </w:r>
    </w:p>
    <w:p w14:paraId="7847034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8D36FEE">
      <w:pPr>
        <w:spacing w:line="640" w:lineRule="exact"/>
        <w:ind w:firstLine="640"/>
        <w:jc w:val="both"/>
        <w:outlineLvl w:val="2"/>
      </w:pPr>
      <w:r>
        <w:rPr>
          <w:rFonts w:ascii="黑体" w:hAnsi="黑体" w:eastAsia="黑体"/>
          <w:sz w:val="32"/>
        </w:rPr>
        <w:t>八、国有资本经营预算财政拨款收入支出决算情况说明</w:t>
      </w:r>
    </w:p>
    <w:p w14:paraId="5AE0D8C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056668">
      <w:pPr>
        <w:spacing w:line="640" w:lineRule="exact"/>
        <w:ind w:firstLine="640"/>
        <w:jc w:val="both"/>
        <w:outlineLvl w:val="2"/>
      </w:pPr>
      <w:r>
        <w:rPr>
          <w:rFonts w:ascii="黑体" w:hAnsi="黑体" w:eastAsia="黑体"/>
          <w:sz w:val="32"/>
        </w:rPr>
        <w:t>九、财政拨款“三公”经费支出决算情况说明</w:t>
      </w:r>
    </w:p>
    <w:p w14:paraId="437189FF">
      <w:pPr>
        <w:spacing w:line="580" w:lineRule="exact"/>
        <w:ind w:firstLine="640"/>
        <w:jc w:val="both"/>
      </w:pPr>
      <w:r>
        <w:rPr>
          <w:rFonts w:ascii="仿宋_GB2312" w:hAnsi="仿宋_GB2312" w:eastAsia="仿宋_GB2312"/>
          <w:b/>
          <w:sz w:val="32"/>
        </w:rPr>
        <w:t>2024年度财政拨款“三公”经费支出10.51万元，</w:t>
      </w:r>
      <w:r>
        <w:rPr>
          <w:rFonts w:ascii="仿宋_GB2312" w:hAnsi="仿宋_GB2312" w:eastAsia="仿宋_GB2312"/>
          <w:b w:val="0"/>
          <w:sz w:val="32"/>
        </w:rPr>
        <w:t>比上年增加3.91万元，增长59.24%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10.51万元，占100.00%，比上年增加3.91万元，增长59.24%，主要原因是：本年因业务需求，用车次数增加，燃油费增加，导致公务用车运行维护费较上年增加。公务接待费支出0.00万元，占0.00%，比上年增加0.00万元，增长0.00%，主要原因是：2023年与2024年均未安排公务接待费支出。</w:t>
      </w:r>
    </w:p>
    <w:p w14:paraId="09DB7AEE">
      <w:pPr>
        <w:spacing w:line="580" w:lineRule="exact"/>
        <w:ind w:firstLine="640"/>
        <w:jc w:val="both"/>
      </w:pPr>
      <w:r>
        <w:rPr>
          <w:rFonts w:ascii="仿宋_GB2312" w:hAnsi="仿宋_GB2312" w:eastAsia="仿宋_GB2312"/>
          <w:b/>
          <w:sz w:val="32"/>
        </w:rPr>
        <w:t>具体情况如下：</w:t>
      </w:r>
    </w:p>
    <w:p w14:paraId="249A4AD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552734">
      <w:pPr>
        <w:spacing w:line="580" w:lineRule="exact"/>
        <w:ind w:firstLine="640"/>
        <w:jc w:val="both"/>
      </w:pPr>
      <w:r>
        <w:rPr>
          <w:rFonts w:ascii="仿宋_GB2312" w:hAnsi="仿宋_GB2312" w:eastAsia="仿宋_GB2312"/>
          <w:b w:val="0"/>
          <w:sz w:val="32"/>
        </w:rPr>
        <w:t>公务用车购置及运行维护费10.51万元，其中：公务用车购置费0.00万元，公务用车运行维护费10.51万元。公务用车运行维护费开支内容包括车辆燃油费、保险费、维修维护费。公务用车购置数0辆，公务用车保有量3辆。国有资产占用情况中固定资产车辆6辆，与公务用车保有量差异原因是：差异车辆为我乡巡逻车、纪检公务用车、特殊作业车辆，当年未投入使用。</w:t>
      </w:r>
    </w:p>
    <w:p w14:paraId="5DB258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EB75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10.51万元，决算数10.51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10.51万元，决算数10.51万元，预决算差异率0.00%，主要原因是：严格按照预算执行，预决算无差异。公务接待费全年预算数0.00万元，决算数0.00万元，预决算差异率0.00%，主要原因是：本单位无公务接待费。</w:t>
      </w:r>
    </w:p>
    <w:p w14:paraId="2AA552DB">
      <w:pPr>
        <w:spacing w:line="640" w:lineRule="exact"/>
        <w:ind w:firstLine="640"/>
        <w:jc w:val="both"/>
        <w:outlineLvl w:val="2"/>
      </w:pPr>
      <w:r>
        <w:rPr>
          <w:rFonts w:ascii="黑体" w:hAnsi="黑体" w:eastAsia="黑体"/>
          <w:sz w:val="32"/>
        </w:rPr>
        <w:t>十、其他重要事项的情况说明</w:t>
      </w:r>
    </w:p>
    <w:p w14:paraId="02E55687">
      <w:pPr>
        <w:spacing w:line="640" w:lineRule="exact"/>
        <w:ind w:firstLine="640"/>
        <w:jc w:val="both"/>
        <w:outlineLvl w:val="3"/>
      </w:pPr>
      <w:r>
        <w:rPr>
          <w:rFonts w:ascii="楷体_GB2312" w:hAnsi="楷体_GB2312" w:eastAsia="楷体_GB2312"/>
          <w:b/>
          <w:sz w:val="32"/>
        </w:rPr>
        <w:t>（一）机关运行经费及公用经费支出情况</w:t>
      </w:r>
    </w:p>
    <w:p w14:paraId="0E6827D5">
      <w:pPr>
        <w:spacing w:line="580" w:lineRule="exact"/>
        <w:ind w:firstLine="640"/>
        <w:jc w:val="both"/>
      </w:pPr>
      <w:r>
        <w:rPr>
          <w:rFonts w:ascii="仿宋_GB2312" w:hAnsi="仿宋_GB2312" w:eastAsia="仿宋_GB2312"/>
          <w:b w:val="0"/>
          <w:sz w:val="32"/>
        </w:rPr>
        <w:t>2024年度麦盖提县昂格特勒克乡人民政府（行政单位和参照公务员法管理事业单位）机关运行经费支出109.82万元，比上年增加57.26万元，增长108.94%，主要原因是：本年更新、维护补充办公用品，导致机关运行经费较上年增加。</w:t>
      </w:r>
    </w:p>
    <w:p w14:paraId="53DC836B">
      <w:pPr>
        <w:spacing w:line="640" w:lineRule="exact"/>
        <w:ind w:firstLine="640"/>
        <w:jc w:val="both"/>
        <w:outlineLvl w:val="3"/>
      </w:pPr>
      <w:r>
        <w:rPr>
          <w:rFonts w:ascii="楷体_GB2312" w:hAnsi="楷体_GB2312" w:eastAsia="楷体_GB2312"/>
          <w:b/>
          <w:sz w:val="32"/>
        </w:rPr>
        <w:t>（二）政府采购情况</w:t>
      </w:r>
    </w:p>
    <w:p w14:paraId="78C6752E">
      <w:pPr>
        <w:spacing w:line="580" w:lineRule="exact"/>
        <w:ind w:firstLine="640"/>
        <w:jc w:val="both"/>
      </w:pPr>
      <w:r>
        <w:rPr>
          <w:rFonts w:ascii="仿宋_GB2312" w:hAnsi="仿宋_GB2312" w:eastAsia="仿宋_GB2312"/>
          <w:b w:val="0"/>
          <w:sz w:val="32"/>
        </w:rPr>
        <w:t>2024年度政府采购支出总额19.32万元，其中：政府采购货物支出14.98万元、政府采购工程支出0.00万元、政府采购服务支出4.34万元。</w:t>
      </w:r>
    </w:p>
    <w:p w14:paraId="1FC329A2">
      <w:pPr>
        <w:spacing w:line="580" w:lineRule="exact"/>
        <w:ind w:firstLine="640"/>
        <w:jc w:val="both"/>
      </w:pPr>
      <w:r>
        <w:rPr>
          <w:rFonts w:ascii="仿宋_GB2312" w:hAnsi="仿宋_GB2312" w:eastAsia="仿宋_GB2312"/>
          <w:b w:val="0"/>
          <w:sz w:val="32"/>
        </w:rPr>
        <w:t>授予中小企业合同金额16.79万元，占政府采购支出总额的86.90%，其中：授予小微企业合同金额16.79万元，占政府采购支出总额的86.90%。</w:t>
      </w:r>
    </w:p>
    <w:p w14:paraId="7C063922">
      <w:pPr>
        <w:spacing w:line="640" w:lineRule="exact"/>
        <w:ind w:firstLine="640"/>
        <w:jc w:val="both"/>
        <w:outlineLvl w:val="3"/>
      </w:pPr>
      <w:r>
        <w:rPr>
          <w:rFonts w:ascii="楷体_GB2312" w:hAnsi="楷体_GB2312" w:eastAsia="楷体_GB2312"/>
          <w:b/>
          <w:sz w:val="32"/>
        </w:rPr>
        <w:t>（三）国有资产占用情况说明</w:t>
      </w:r>
    </w:p>
    <w:p w14:paraId="7E15664E">
      <w:pPr>
        <w:spacing w:line="580" w:lineRule="exact"/>
        <w:ind w:firstLine="640"/>
        <w:jc w:val="both"/>
      </w:pPr>
      <w:r>
        <w:rPr>
          <w:rFonts w:ascii="仿宋_GB2312" w:hAnsi="仿宋_GB2312" w:eastAsia="仿宋_GB2312"/>
          <w:b w:val="0"/>
          <w:sz w:val="32"/>
        </w:rPr>
        <w:t>截至2024年12月31日，房屋4,339.97平方米，价值948.45万元。车辆6辆，价值76.97万元，其中：副部（省）级及以上领导用车0辆、主要负责人用车0辆、机要通信用车0辆、应急保障用车0辆、执法执勤用车0辆、特种专业技术用车0辆、离退休干部服务用车0辆、其他用车6辆，其他用车主要是：一般公务用车、巡逻车、纪检公务用车、特殊作业车辆。单价100万元（含）以上设备（不含车辆）0台（套）。</w:t>
      </w:r>
    </w:p>
    <w:p w14:paraId="191192F8">
      <w:pPr>
        <w:spacing w:line="640" w:lineRule="exact"/>
        <w:ind w:firstLine="640"/>
        <w:jc w:val="both"/>
        <w:outlineLvl w:val="2"/>
      </w:pPr>
      <w:r>
        <w:rPr>
          <w:rFonts w:ascii="黑体" w:hAnsi="黑体" w:eastAsia="黑体"/>
          <w:sz w:val="32"/>
        </w:rPr>
        <w:t>十一、预算绩效的情况说明</w:t>
      </w:r>
    </w:p>
    <w:p w14:paraId="34BD690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1,685.90万元，实际执行总额1,661.01万元；预算绩效评价项目2个，全年预算数142.56万元，全年执行数142.56万元。预算绩效管理取得的成效：一是预算绩效管理制度建设不断完善。围绕建立“全方位、全过程、全覆盖”的预算绩效管理体系目标，强化制度设计，建立健全制度办法和工作机制，涵盖了事前绩效评估、绩效目标管理、绩效运行监控、绩效评价及结果应用等各环节，为推动预算绩效管理工作奠定了坚实的制度基础。二是预算绩效管理格局初步形成。将本级预算收支全部纳入预算绩效管理，提高财政资源配置效益和可持续性。在逐步深化项目绩效管理的基础上，不断提升管理层级，加快推动预算绩效管理。积极探索开展部门整体绩效目标编报；积极发挥考核“指挥棒”作用，把部门绩效管理工作纳入年底工作考核。发现的问题及原因：一是预算绩效观念不深入。我单位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我单位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我单位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我单位希望邀请县财政局，针对预算资金绩效管理和相关法律法规开展培训，学习预算绩效管理的法律法规、规范要求，让绩效理念深入人心、让绩效管理人员熟知政策、知行合一。具体附整体支出绩效自评表，项目支出绩效自评表和评价报告。</w:t>
      </w:r>
    </w:p>
    <w:p w14:paraId="1F2A5DD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5401F8">
        <w:tblPrEx>
          <w:tblCellMar>
            <w:top w:w="0" w:type="dxa"/>
            <w:left w:w="108" w:type="dxa"/>
            <w:bottom w:w="0" w:type="dxa"/>
            <w:right w:w="108" w:type="dxa"/>
          </w:tblCellMar>
        </w:tblPrEx>
        <w:tc>
          <w:tcPr>
            <w:tcW w:w="8847" w:type="dxa"/>
            <w:gridSpan w:val="9"/>
            <w:vAlign w:val="center"/>
          </w:tcPr>
          <w:p w14:paraId="662AC47C">
            <w:pPr>
              <w:jc w:val="center"/>
            </w:pPr>
            <w:r>
              <w:rPr>
                <w:rFonts w:ascii="宋体" w:hAnsi="宋体" w:eastAsia="宋体"/>
                <w:sz w:val="24"/>
              </w:rPr>
              <w:t>单位整体支出绩效自评表</w:t>
            </w:r>
          </w:p>
        </w:tc>
      </w:tr>
      <w:tr w14:paraId="049CC447">
        <w:tblPrEx>
          <w:tblCellMar>
            <w:top w:w="0" w:type="dxa"/>
            <w:left w:w="108" w:type="dxa"/>
            <w:bottom w:w="0" w:type="dxa"/>
            <w:right w:w="108" w:type="dxa"/>
          </w:tblCellMar>
        </w:tblPrEx>
        <w:tc>
          <w:tcPr>
            <w:tcW w:w="8847" w:type="dxa"/>
            <w:gridSpan w:val="9"/>
            <w:vAlign w:val="center"/>
          </w:tcPr>
          <w:p w14:paraId="35D84A68">
            <w:pPr>
              <w:jc w:val="center"/>
            </w:pPr>
            <w:r>
              <w:rPr>
                <w:rFonts w:ascii="宋体" w:hAnsi="宋体" w:eastAsia="宋体"/>
                <w:sz w:val="24"/>
              </w:rPr>
              <w:t>（2024年度）</w:t>
            </w:r>
          </w:p>
        </w:tc>
      </w:tr>
      <w:tr w14:paraId="591578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FC12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7E5926">
            <w:pPr>
              <w:jc w:val="center"/>
            </w:pPr>
            <w:r>
              <w:rPr>
                <w:rFonts w:ascii="宋体" w:hAnsi="宋体" w:eastAsia="宋体"/>
                <w:sz w:val="16"/>
              </w:rPr>
              <w:t>麦盖提县昂格特勒克乡人民政府</w:t>
            </w:r>
          </w:p>
        </w:tc>
      </w:tr>
      <w:tr w14:paraId="2EB463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7EA9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F873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2055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2A5D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8635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EBD3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FC10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3DB5E">
            <w:pPr>
              <w:jc w:val="center"/>
            </w:pPr>
            <w:r>
              <w:rPr>
                <w:rFonts w:ascii="宋体" w:hAnsi="宋体" w:eastAsia="宋体"/>
                <w:sz w:val="16"/>
              </w:rPr>
              <w:t>得分</w:t>
            </w:r>
          </w:p>
        </w:tc>
      </w:tr>
      <w:tr w14:paraId="58168F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2B5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1F1F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A628C">
            <w:pPr>
              <w:jc w:val="center"/>
            </w:pPr>
            <w:r>
              <w:rPr>
                <w:rFonts w:ascii="宋体" w:hAnsi="宋体" w:eastAsia="宋体"/>
                <w:sz w:val="16"/>
              </w:rPr>
              <w:t>1,388.43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2B3D7">
            <w:pPr>
              <w:jc w:val="center"/>
            </w:pPr>
            <w:r>
              <w:rPr>
                <w:rFonts w:ascii="宋体" w:hAnsi="宋体" w:eastAsia="宋体"/>
                <w:sz w:val="16"/>
              </w:rPr>
              <w:t>1,685.90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ABAB2">
            <w:pPr>
              <w:jc w:val="center"/>
            </w:pPr>
            <w:r>
              <w:rPr>
                <w:rFonts w:ascii="宋体" w:hAnsi="宋体" w:eastAsia="宋体"/>
                <w:sz w:val="16"/>
              </w:rPr>
              <w:t>1,661.01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F87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03A3B">
            <w:pPr>
              <w:jc w:val="center"/>
            </w:pPr>
            <w:r>
              <w:rPr>
                <w:rFonts w:ascii="宋体" w:hAnsi="宋体" w:eastAsia="宋体"/>
                <w:sz w:val="16"/>
              </w:rPr>
              <w:t>98.52%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E9F29">
            <w:pPr>
              <w:jc w:val="center"/>
            </w:pPr>
            <w:r>
              <w:rPr>
                <w:rFonts w:ascii="宋体" w:hAnsi="宋体" w:eastAsia="宋体"/>
                <w:sz w:val="16"/>
              </w:rPr>
              <w:t>9.85</w:t>
            </w:r>
          </w:p>
        </w:tc>
      </w:tr>
      <w:tr w14:paraId="0B314D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3B9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EEC8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21CBC">
            <w:pPr>
              <w:jc w:val="center"/>
            </w:pPr>
            <w:r>
              <w:rPr>
                <w:rFonts w:ascii="宋体" w:hAnsi="宋体" w:eastAsia="宋体"/>
                <w:sz w:val="16"/>
              </w:rPr>
              <w:t>17.50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44363">
            <w:pPr>
              <w:jc w:val="center"/>
            </w:pPr>
            <w:r>
              <w:rPr>
                <w:rFonts w:ascii="宋体" w:hAnsi="宋体" w:eastAsia="宋体"/>
                <w:sz w:val="16"/>
              </w:rPr>
              <w:t>223.79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8A271">
            <w:pPr>
              <w:jc w:val="center"/>
            </w:pPr>
            <w:r>
              <w:rPr>
                <w:rFonts w:ascii="宋体" w:hAnsi="宋体" w:eastAsia="宋体"/>
                <w:sz w:val="16"/>
              </w:rPr>
              <w:t>221.99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EF5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77E1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CF21B">
            <w:pPr>
              <w:jc w:val="center"/>
            </w:pPr>
            <w:r>
              <w:rPr>
                <w:rFonts w:ascii="宋体" w:hAnsi="宋体" w:eastAsia="宋体"/>
                <w:sz w:val="16"/>
              </w:rPr>
              <w:t>—</w:t>
            </w:r>
          </w:p>
        </w:tc>
      </w:tr>
      <w:tr w14:paraId="502227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512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97A5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F7065">
            <w:pPr>
              <w:jc w:val="center"/>
            </w:pPr>
            <w:r>
              <w:rPr>
                <w:rFonts w:ascii="宋体" w:hAnsi="宋体" w:eastAsia="宋体"/>
                <w:sz w:val="16"/>
              </w:rPr>
              <w:t>1,370.93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4C5F4">
            <w:pPr>
              <w:jc w:val="center"/>
            </w:pPr>
            <w:r>
              <w:rPr>
                <w:rFonts w:ascii="宋体" w:hAnsi="宋体" w:eastAsia="宋体"/>
                <w:sz w:val="16"/>
              </w:rPr>
              <w:t>1,403.61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CB18B">
            <w:pPr>
              <w:jc w:val="center"/>
            </w:pPr>
            <w:r>
              <w:rPr>
                <w:rFonts w:ascii="宋体" w:hAnsi="宋体" w:eastAsia="宋体"/>
                <w:sz w:val="16"/>
              </w:rPr>
              <w:t>1,380.52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733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0FB1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3041">
            <w:pPr>
              <w:jc w:val="center"/>
            </w:pPr>
            <w:r>
              <w:rPr>
                <w:rFonts w:ascii="宋体" w:hAnsi="宋体" w:eastAsia="宋体"/>
                <w:sz w:val="16"/>
              </w:rPr>
              <w:t>—</w:t>
            </w:r>
          </w:p>
        </w:tc>
      </w:tr>
      <w:tr w14:paraId="5E0B7D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78B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4012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181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54CD4">
            <w:pPr>
              <w:jc w:val="center"/>
            </w:pPr>
            <w:r>
              <w:rPr>
                <w:rFonts w:ascii="宋体" w:hAnsi="宋体" w:eastAsia="宋体"/>
                <w:sz w:val="16"/>
              </w:rPr>
              <w:t>58.50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2F3EE">
            <w:pPr>
              <w:jc w:val="center"/>
            </w:pPr>
            <w:r>
              <w:rPr>
                <w:rFonts w:ascii="宋体" w:hAnsi="宋体" w:eastAsia="宋体"/>
                <w:sz w:val="16"/>
              </w:rPr>
              <w:t>58.50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1E7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87CB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5208">
            <w:pPr>
              <w:jc w:val="center"/>
            </w:pPr>
            <w:r>
              <w:rPr>
                <w:rFonts w:ascii="宋体" w:hAnsi="宋体" w:eastAsia="宋体"/>
                <w:sz w:val="16"/>
              </w:rPr>
              <w:t>—</w:t>
            </w:r>
          </w:p>
        </w:tc>
      </w:tr>
      <w:tr w14:paraId="4222DD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0DF2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D2271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4A63AD">
            <w:pPr>
              <w:jc w:val="center"/>
              <w:rPr>
                <w:rFonts w:hint="eastAsia" w:eastAsia="宋体"/>
                <w:lang w:eastAsia="zh-CN"/>
              </w:rPr>
            </w:pPr>
            <w:r>
              <w:rPr>
                <w:rFonts w:hint="eastAsia" w:ascii="宋体" w:hAnsi="宋体"/>
                <w:sz w:val="16"/>
                <w:lang w:eastAsia="zh-CN"/>
              </w:rPr>
              <w:t>实际完成情况</w:t>
            </w:r>
          </w:p>
        </w:tc>
      </w:tr>
      <w:tr w14:paraId="620D92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FB6F2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50EB51">
            <w:pPr>
              <w:jc w:val="both"/>
            </w:pPr>
            <w:r>
              <w:rPr>
                <w:rFonts w:hint="eastAsia" w:ascii="宋体" w:hAnsi="宋体"/>
                <w:sz w:val="16"/>
                <w:lang w:eastAsia="zh-CN"/>
              </w:rPr>
              <w:t>1.</w:t>
            </w:r>
            <w:r>
              <w:rPr>
                <w:rFonts w:ascii="宋体" w:hAnsi="宋体" w:eastAsia="宋体"/>
                <w:sz w:val="16"/>
              </w:rPr>
              <w:t>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F340EE">
            <w:pPr>
              <w:jc w:val="both"/>
            </w:pPr>
            <w:r>
              <w:rPr>
                <w:rFonts w:ascii="宋体" w:hAnsi="宋体" w:eastAsia="宋体"/>
                <w:sz w:val="16"/>
              </w:rPr>
              <w:t>截至绩效自评日，我单位已完成以下工作: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推动乡镇的全面发展和社会进步，因此，乡镇应积极开展形式多样的宣传教育活动，本年度已开展宣传教育活动次数12次；4.提高全民的收入水平，减少社会贫困和不平等现象，本年度劳动力就业率达100%，促进了我乡经济发展；5.牢固树立“群众之事无小事”理念，本年度群众困难诉求解决完成率达100%，做到了权为民所用、情为民所系、利为民所谋，提高了群众的满意度、好评度；6.提前发现并识别存在返贫致贫风险的人口，采取针对性的帮扶措施，本年度防返贫监测覆盖率达100%，防止了脱贫人口返贫、边缘人口致贫；7.</w:t>
            </w:r>
            <w:r>
              <w:rPr>
                <w:rFonts w:hint="eastAsia" w:ascii="宋体" w:hAnsi="宋体"/>
                <w:sz w:val="16"/>
                <w:lang w:eastAsia="zh-CN"/>
              </w:rPr>
              <w:t>党中央决策部署</w:t>
            </w:r>
            <w:r>
              <w:rPr>
                <w:rFonts w:ascii="宋体" w:hAnsi="宋体" w:eastAsia="宋体"/>
                <w:sz w:val="16"/>
              </w:rPr>
              <w:t>和会议中多次强调，要实施最严格的耕地保护制度，国家对耕地实行特殊保护，严守耕地保护红线，保持耕地总量不减少，本年度耕地保护覆盖率达100%，确保了耕地占补平衡。</w:t>
            </w:r>
          </w:p>
        </w:tc>
      </w:tr>
      <w:tr w14:paraId="53DDBC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39D1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8A3F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2551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CD89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B72A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183C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4E24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D2CD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0B22A">
            <w:pPr>
              <w:jc w:val="center"/>
            </w:pPr>
            <w:r>
              <w:rPr>
                <w:rFonts w:ascii="宋体" w:hAnsi="宋体" w:eastAsia="宋体"/>
                <w:sz w:val="16"/>
              </w:rPr>
              <w:t>得分</w:t>
            </w:r>
          </w:p>
        </w:tc>
      </w:tr>
      <w:tr w14:paraId="2DBE35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FEA73">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E86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6FE41">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41B0B">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2C728">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6F85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7F0BE">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A1F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2E95C">
            <w:pPr>
              <w:jc w:val="center"/>
            </w:pPr>
            <w:r>
              <w:rPr>
                <w:rFonts w:ascii="宋体" w:hAnsi="宋体" w:eastAsia="宋体"/>
                <w:sz w:val="16"/>
              </w:rPr>
              <w:t>18</w:t>
            </w:r>
          </w:p>
        </w:tc>
      </w:tr>
      <w:tr w14:paraId="608951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4B2D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C701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9E478">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1BC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733D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DF5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A5F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265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00655">
            <w:pPr>
              <w:jc w:val="center"/>
            </w:pPr>
            <w:r>
              <w:rPr>
                <w:rFonts w:ascii="宋体" w:hAnsi="宋体" w:eastAsia="宋体"/>
                <w:sz w:val="16"/>
              </w:rPr>
              <w:t>18</w:t>
            </w:r>
          </w:p>
        </w:tc>
      </w:tr>
      <w:tr w14:paraId="59583F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F5D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2CB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A7468">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536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1F2B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3E2E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5C8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C5D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BCAE1">
            <w:pPr>
              <w:jc w:val="center"/>
            </w:pPr>
            <w:r>
              <w:rPr>
                <w:rFonts w:ascii="宋体" w:hAnsi="宋体" w:eastAsia="宋体"/>
                <w:sz w:val="16"/>
              </w:rPr>
              <w:t>18</w:t>
            </w:r>
          </w:p>
        </w:tc>
      </w:tr>
      <w:tr w14:paraId="3EFA5D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3B8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D69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D30F0">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F39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D92B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8265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CB1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950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B8753">
            <w:pPr>
              <w:jc w:val="center"/>
            </w:pPr>
            <w:r>
              <w:rPr>
                <w:rFonts w:ascii="宋体" w:hAnsi="宋体" w:eastAsia="宋体"/>
                <w:sz w:val="16"/>
              </w:rPr>
              <w:t>18</w:t>
            </w:r>
          </w:p>
        </w:tc>
      </w:tr>
      <w:tr w14:paraId="723C43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37E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82F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15CF9">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200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1D64E">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1B36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36C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B70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F1169">
            <w:pPr>
              <w:jc w:val="center"/>
            </w:pPr>
            <w:r>
              <w:rPr>
                <w:rFonts w:ascii="宋体" w:hAnsi="宋体" w:eastAsia="宋体"/>
                <w:sz w:val="16"/>
              </w:rPr>
              <w:t>18</w:t>
            </w:r>
          </w:p>
        </w:tc>
      </w:tr>
    </w:tbl>
    <w:p w14:paraId="4AE981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0AD859B">
        <w:tblPrEx>
          <w:tblCellMar>
            <w:top w:w="0" w:type="dxa"/>
            <w:left w:w="108" w:type="dxa"/>
            <w:bottom w:w="0" w:type="dxa"/>
            <w:right w:w="108" w:type="dxa"/>
          </w:tblCellMar>
        </w:tblPrEx>
        <w:tc>
          <w:tcPr>
            <w:tcW w:w="8848" w:type="dxa"/>
            <w:gridSpan w:val="14"/>
            <w:vAlign w:val="center"/>
          </w:tcPr>
          <w:p w14:paraId="3FC7903D">
            <w:pPr>
              <w:jc w:val="center"/>
            </w:pPr>
            <w:r>
              <w:rPr>
                <w:rFonts w:ascii="宋体" w:hAnsi="宋体" w:eastAsia="宋体"/>
                <w:sz w:val="24"/>
              </w:rPr>
              <w:t>项目支出绩效自评表</w:t>
            </w:r>
          </w:p>
        </w:tc>
      </w:tr>
      <w:tr w14:paraId="1BB6C9F9">
        <w:tblPrEx>
          <w:tblCellMar>
            <w:top w:w="0" w:type="dxa"/>
            <w:left w:w="108" w:type="dxa"/>
            <w:bottom w:w="0" w:type="dxa"/>
            <w:right w:w="108" w:type="dxa"/>
          </w:tblCellMar>
        </w:tblPrEx>
        <w:tc>
          <w:tcPr>
            <w:tcW w:w="8848" w:type="dxa"/>
            <w:gridSpan w:val="14"/>
            <w:vAlign w:val="center"/>
          </w:tcPr>
          <w:p w14:paraId="18ABF1F2">
            <w:pPr>
              <w:jc w:val="center"/>
            </w:pPr>
            <w:r>
              <w:rPr>
                <w:rFonts w:ascii="宋体" w:hAnsi="宋体" w:eastAsia="宋体"/>
                <w:sz w:val="24"/>
              </w:rPr>
              <w:t>(2024年度)</w:t>
            </w:r>
          </w:p>
        </w:tc>
      </w:tr>
      <w:tr w14:paraId="58C7A4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32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954D42">
            <w:pPr>
              <w:jc w:val="center"/>
            </w:pPr>
            <w:r>
              <w:rPr>
                <w:rFonts w:ascii="宋体" w:hAnsi="宋体" w:eastAsia="宋体"/>
                <w:sz w:val="16"/>
              </w:rPr>
              <w:t>2024年度定点帮扶项目（中国检验认证（集团）有限公司捐赠资金）</w:t>
            </w:r>
          </w:p>
        </w:tc>
      </w:tr>
      <w:tr w14:paraId="014361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89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5162E4">
            <w:pPr>
              <w:jc w:val="center"/>
            </w:pPr>
            <w:r>
              <w:rPr>
                <w:rFonts w:ascii="宋体" w:hAnsi="宋体" w:eastAsia="宋体"/>
                <w:sz w:val="16"/>
              </w:rPr>
              <w:t>麦盖提县昂格特勒克乡人民政府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FB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7465CC">
            <w:pPr>
              <w:jc w:val="center"/>
            </w:pPr>
            <w:r>
              <w:rPr>
                <w:rFonts w:ascii="宋体" w:hAnsi="宋体" w:eastAsia="宋体"/>
                <w:sz w:val="16"/>
              </w:rPr>
              <w:t>麦盖提县昂格特勒克乡人民政府</w:t>
            </w:r>
          </w:p>
        </w:tc>
      </w:tr>
      <w:tr w14:paraId="4B0F3F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84C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56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484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D58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AC2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F7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ADE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0D91">
            <w:pPr>
              <w:jc w:val="center"/>
            </w:pPr>
            <w:r>
              <w:rPr>
                <w:rFonts w:ascii="宋体" w:hAnsi="宋体" w:eastAsia="宋体"/>
                <w:sz w:val="16"/>
              </w:rPr>
              <w:t>得分</w:t>
            </w:r>
          </w:p>
        </w:tc>
      </w:tr>
      <w:tr w14:paraId="7308C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50B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D29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35343">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F44E3">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66DB3">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8DD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35F4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189C">
            <w:pPr>
              <w:jc w:val="center"/>
            </w:pPr>
            <w:r>
              <w:rPr>
                <w:rFonts w:ascii="宋体" w:hAnsi="宋体" w:eastAsia="宋体"/>
                <w:sz w:val="16"/>
              </w:rPr>
              <w:t>10.00分</w:t>
            </w:r>
          </w:p>
        </w:tc>
      </w:tr>
      <w:tr w14:paraId="467D6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3BE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033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9E7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C82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2D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11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3D7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210E">
            <w:pPr>
              <w:jc w:val="center"/>
            </w:pPr>
            <w:r>
              <w:rPr>
                <w:rFonts w:ascii="宋体" w:hAnsi="宋体" w:eastAsia="宋体"/>
                <w:sz w:val="16"/>
              </w:rPr>
              <w:t>—</w:t>
            </w:r>
          </w:p>
        </w:tc>
      </w:tr>
      <w:tr w14:paraId="7A9AA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6FF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0DB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CB36F">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7971">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3EB14">
            <w:pPr>
              <w:jc w:val="center"/>
            </w:pPr>
            <w:r>
              <w:rPr>
                <w:rFonts w:ascii="宋体" w:hAnsi="宋体" w:eastAsia="宋体"/>
                <w:sz w:val="16"/>
              </w:rPr>
              <w:t>58.50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480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C2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E8DE">
            <w:pPr>
              <w:jc w:val="center"/>
            </w:pPr>
            <w:r>
              <w:rPr>
                <w:rFonts w:ascii="宋体" w:hAnsi="宋体" w:eastAsia="宋体"/>
                <w:sz w:val="16"/>
              </w:rPr>
              <w:t>—</w:t>
            </w:r>
          </w:p>
        </w:tc>
      </w:tr>
      <w:tr w14:paraId="482064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733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170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9A78E">
            <w:pPr>
              <w:jc w:val="center"/>
            </w:pPr>
            <w:r>
              <w:rPr>
                <w:rFonts w:ascii="宋体" w:hAnsi="宋体" w:eastAsia="宋体"/>
                <w:sz w:val="16"/>
              </w:rPr>
              <w:t>实际完成情况</w:t>
            </w:r>
          </w:p>
        </w:tc>
      </w:tr>
      <w:tr w14:paraId="3DFBC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C97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9DD6D">
            <w:pPr>
              <w:jc w:val="both"/>
            </w:pPr>
            <w:r>
              <w:rPr>
                <w:rFonts w:ascii="宋体" w:hAnsi="宋体" w:eastAsia="宋体"/>
                <w:sz w:val="16"/>
              </w:rPr>
              <w:t>本项目实际金额58.5万元，主要用于道路亮化工程新增了58</w:t>
            </w:r>
            <w:r>
              <w:rPr>
                <w:rFonts w:hint="eastAsia" w:ascii="宋体" w:hAnsi="宋体"/>
                <w:sz w:val="16"/>
                <w:lang w:eastAsia="zh-CN"/>
              </w:rPr>
              <w:t>盏</w:t>
            </w:r>
            <w:r>
              <w:rPr>
                <w:rFonts w:ascii="宋体" w:hAnsi="宋体" w:eastAsia="宋体"/>
                <w:sz w:val="16"/>
              </w:rPr>
              <w:t>路灯，住房安全巩固计生线路改造556户、村委会改造1个，文化阵地升级购买文化活动物品20个，购置农业公务生产用车1辆。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D32310">
            <w:pPr>
              <w:jc w:val="both"/>
            </w:pPr>
            <w:r>
              <w:rPr>
                <w:rFonts w:hint="eastAsia" w:ascii="宋体" w:hAnsi="宋体"/>
                <w:sz w:val="16"/>
                <w:lang w:eastAsia="zh-CN"/>
              </w:rPr>
              <w:t>截至</w:t>
            </w:r>
            <w:r>
              <w:rPr>
                <w:rFonts w:ascii="宋体" w:hAnsi="宋体" w:eastAsia="宋体"/>
                <w:sz w:val="16"/>
              </w:rPr>
              <w:t>监控节点，项目已支出金额58.5万元，已完成用于道路亮化工程新增了58</w:t>
            </w:r>
            <w:r>
              <w:rPr>
                <w:rFonts w:hint="eastAsia" w:ascii="宋体" w:hAnsi="宋体"/>
                <w:sz w:val="16"/>
                <w:lang w:eastAsia="zh-CN"/>
              </w:rPr>
              <w:t>盏</w:t>
            </w:r>
            <w:r>
              <w:rPr>
                <w:rFonts w:ascii="宋体" w:hAnsi="宋体" w:eastAsia="宋体"/>
                <w:sz w:val="16"/>
              </w:rPr>
              <w:t>路灯，住房安全巩固计生线路改造556户、村委会改造1个，文化阵地升级购买文化活动物品20个，购置农业公务生产用车1辆。</w:t>
            </w:r>
          </w:p>
        </w:tc>
      </w:tr>
      <w:tr w14:paraId="6D58B8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6DE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F0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60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67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1A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0D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16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64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3F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8A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8B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E9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581FD">
            <w:pPr>
              <w:jc w:val="center"/>
            </w:pPr>
            <w:r>
              <w:rPr>
                <w:rFonts w:ascii="宋体" w:hAnsi="宋体" w:eastAsia="宋体"/>
                <w:sz w:val="16"/>
              </w:rPr>
              <w:t>偏差原因分析及改进措施</w:t>
            </w:r>
          </w:p>
        </w:tc>
      </w:tr>
      <w:tr w14:paraId="4E62E0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8E4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D7E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BBE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9ABC">
            <w:pPr>
              <w:jc w:val="center"/>
            </w:pPr>
            <w:r>
              <w:rPr>
                <w:rFonts w:ascii="宋体" w:hAnsi="宋体" w:eastAsia="宋体"/>
                <w:sz w:val="16"/>
              </w:rPr>
              <w:t>购买公务用车数量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E058">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F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49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EC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D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5E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CCF1">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8E4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1111B">
            <w:pPr>
              <w:jc w:val="center"/>
            </w:pPr>
          </w:p>
        </w:tc>
      </w:tr>
      <w:tr w14:paraId="71CA4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14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CA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9C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24D0">
            <w:pPr>
              <w:jc w:val="center"/>
            </w:pPr>
            <w:r>
              <w:rPr>
                <w:rFonts w:ascii="宋体" w:hAnsi="宋体" w:eastAsia="宋体"/>
                <w:sz w:val="16"/>
              </w:rPr>
              <w:t>购买路灯数量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6F52">
            <w:pPr>
              <w:jc w:val="center"/>
            </w:pPr>
            <w:r>
              <w:rPr>
                <w:rFonts w:ascii="宋体" w:hAnsi="宋体" w:eastAsia="宋体"/>
                <w:sz w:val="16"/>
              </w:rPr>
              <w:t>&gt;=58个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5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1E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0EE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7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6B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B77D">
            <w:pPr>
              <w:jc w:val="center"/>
            </w:pPr>
            <w:r>
              <w:rPr>
                <w:rFonts w:ascii="宋体" w:hAnsi="宋体" w:eastAsia="宋体"/>
                <w:sz w:val="16"/>
              </w:rPr>
              <w:t>=58个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0424">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61470">
            <w:pPr>
              <w:jc w:val="center"/>
            </w:pPr>
          </w:p>
        </w:tc>
      </w:tr>
      <w:tr w14:paraId="5C818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53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28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BC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F912">
            <w:pPr>
              <w:jc w:val="center"/>
            </w:pPr>
            <w:r>
              <w:rPr>
                <w:rFonts w:ascii="宋体" w:hAnsi="宋体" w:eastAsia="宋体"/>
                <w:sz w:val="16"/>
              </w:rPr>
              <w:t>购买文化活动物品数量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06E0">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E8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58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D1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D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83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9448">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907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E57DB">
            <w:pPr>
              <w:jc w:val="center"/>
            </w:pPr>
          </w:p>
        </w:tc>
      </w:tr>
      <w:tr w14:paraId="17C8D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0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5CE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C4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5768">
            <w:pPr>
              <w:jc w:val="center"/>
            </w:pPr>
            <w:r>
              <w:rPr>
                <w:rFonts w:ascii="宋体" w:hAnsi="宋体" w:eastAsia="宋体"/>
                <w:sz w:val="16"/>
              </w:rPr>
              <w:t>住房线路改造数量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FB63">
            <w:pPr>
              <w:jc w:val="center"/>
            </w:pPr>
            <w:r>
              <w:rPr>
                <w:rFonts w:ascii="宋体" w:hAnsi="宋体" w:eastAsia="宋体"/>
                <w:sz w:val="16"/>
              </w:rPr>
              <w:t>&gt;=556户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FD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E7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5C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C6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EB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BC1F">
            <w:pPr>
              <w:jc w:val="center"/>
            </w:pPr>
            <w:r>
              <w:rPr>
                <w:rFonts w:ascii="宋体" w:hAnsi="宋体" w:eastAsia="宋体"/>
                <w:sz w:val="16"/>
              </w:rPr>
              <w:t>=556户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10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FBD57">
            <w:pPr>
              <w:jc w:val="center"/>
            </w:pPr>
          </w:p>
        </w:tc>
      </w:tr>
      <w:tr w14:paraId="49A6A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5A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5ED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30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7488">
            <w:pPr>
              <w:jc w:val="center"/>
            </w:pPr>
            <w:r>
              <w:rPr>
                <w:rFonts w:ascii="宋体" w:hAnsi="宋体" w:eastAsia="宋体"/>
                <w:sz w:val="16"/>
              </w:rPr>
              <w:t>村委会提升改造数量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05A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B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48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94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B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DE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155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86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9F22C">
            <w:pPr>
              <w:jc w:val="center"/>
            </w:pPr>
          </w:p>
        </w:tc>
      </w:tr>
      <w:tr w14:paraId="7B41E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478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F8E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BF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3BB5">
            <w:pPr>
              <w:jc w:val="center"/>
            </w:pPr>
            <w:r>
              <w:rPr>
                <w:rFonts w:ascii="宋体" w:hAnsi="宋体" w:eastAsia="宋体"/>
                <w:sz w:val="16"/>
              </w:rPr>
              <w:t>公用车成本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EC84">
            <w:pPr>
              <w:jc w:val="center"/>
            </w:pPr>
            <w:r>
              <w:rPr>
                <w:rFonts w:ascii="宋体" w:hAnsi="宋体" w:eastAsia="宋体"/>
                <w:sz w:val="16"/>
              </w:rPr>
              <w:t>&lt;=9.68万元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C5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ED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80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F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877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7994">
            <w:pPr>
              <w:jc w:val="center"/>
            </w:pPr>
            <w:r>
              <w:rPr>
                <w:rFonts w:ascii="宋体" w:hAnsi="宋体" w:eastAsia="宋体"/>
                <w:sz w:val="16"/>
              </w:rPr>
              <w:t>=9.68万元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65F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4B886">
            <w:pPr>
              <w:jc w:val="center"/>
            </w:pPr>
          </w:p>
        </w:tc>
      </w:tr>
      <w:tr w14:paraId="74CF5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E58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F76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3841D">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D7B3">
            <w:pPr>
              <w:jc w:val="center"/>
            </w:pPr>
            <w:r>
              <w:rPr>
                <w:rFonts w:ascii="宋体" w:hAnsi="宋体" w:eastAsia="宋体"/>
                <w:sz w:val="16"/>
              </w:rPr>
              <w:t>路灯成本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245A">
            <w:pPr>
              <w:jc w:val="center"/>
            </w:pPr>
            <w:r>
              <w:rPr>
                <w:rFonts w:ascii="宋体" w:hAnsi="宋体" w:eastAsia="宋体"/>
                <w:sz w:val="16"/>
              </w:rPr>
              <w:t>&lt;=17.17万元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0C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59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F9C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71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FCD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72EC">
            <w:pPr>
              <w:jc w:val="center"/>
            </w:pPr>
            <w:r>
              <w:rPr>
                <w:rFonts w:ascii="宋体" w:hAnsi="宋体" w:eastAsia="宋体"/>
                <w:sz w:val="16"/>
              </w:rPr>
              <w:t>=17.17万元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382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4647B">
            <w:pPr>
              <w:jc w:val="center"/>
            </w:pPr>
          </w:p>
        </w:tc>
      </w:tr>
      <w:tr w14:paraId="03D01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BD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494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26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CA9A">
            <w:pPr>
              <w:jc w:val="center"/>
            </w:pPr>
            <w:r>
              <w:rPr>
                <w:rFonts w:ascii="宋体" w:hAnsi="宋体" w:eastAsia="宋体"/>
                <w:sz w:val="16"/>
              </w:rPr>
              <w:t>文化活动物品成本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0159">
            <w:pPr>
              <w:jc w:val="center"/>
            </w:pPr>
            <w:r>
              <w:rPr>
                <w:rFonts w:ascii="宋体" w:hAnsi="宋体" w:eastAsia="宋体"/>
                <w:sz w:val="16"/>
              </w:rPr>
              <w:t>&lt;=2.15万元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7B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4C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17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EB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C86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68FF">
            <w:pPr>
              <w:jc w:val="center"/>
            </w:pPr>
            <w:r>
              <w:rPr>
                <w:rFonts w:ascii="宋体" w:hAnsi="宋体" w:eastAsia="宋体"/>
                <w:sz w:val="16"/>
              </w:rPr>
              <w: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D4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3D42D">
            <w:pPr>
              <w:jc w:val="center"/>
            </w:pPr>
          </w:p>
        </w:tc>
      </w:tr>
      <w:tr w14:paraId="27C1F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65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7F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096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F7BE">
            <w:pPr>
              <w:jc w:val="center"/>
            </w:pPr>
            <w:r>
              <w:rPr>
                <w:rFonts w:ascii="宋体" w:hAnsi="宋体" w:eastAsia="宋体"/>
                <w:sz w:val="16"/>
              </w:rPr>
              <w:t>线路改造成本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A406">
            <w:pPr>
              <w:jc w:val="center"/>
            </w:pPr>
            <w:r>
              <w:rPr>
                <w:rFonts w:ascii="宋体" w:hAnsi="宋体" w:eastAsia="宋体"/>
                <w:sz w:val="16"/>
              </w:rPr>
              <w:t>&lt;=27.8万元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A4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4B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C6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AB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0E5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DDC6">
            <w:pPr>
              <w:jc w:val="center"/>
            </w:pPr>
            <w:r>
              <w:rPr>
                <w:rFonts w:ascii="宋体" w:hAnsi="宋体" w:eastAsia="宋体"/>
                <w:sz w:val="16"/>
              </w:rPr>
              <w: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EF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5AE3A">
            <w:pPr>
              <w:jc w:val="center"/>
            </w:pPr>
          </w:p>
        </w:tc>
      </w:tr>
      <w:tr w14:paraId="4D2E4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3A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A3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87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CB4C">
            <w:pPr>
              <w:jc w:val="center"/>
            </w:pPr>
            <w:r>
              <w:rPr>
                <w:rFonts w:ascii="宋体" w:hAnsi="宋体" w:eastAsia="宋体"/>
                <w:sz w:val="16"/>
              </w:rPr>
              <w:t>村委会提升改造成本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B10D">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FC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50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9A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34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2F1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A62F">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CB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8B1D8">
            <w:pPr>
              <w:jc w:val="center"/>
            </w:pPr>
          </w:p>
        </w:tc>
      </w:tr>
      <w:tr w14:paraId="1DE95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5D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51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32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550F">
            <w:pPr>
              <w:jc w:val="center"/>
            </w:pPr>
            <w:r>
              <w:rPr>
                <w:rFonts w:ascii="宋体" w:hAnsi="宋体" w:eastAsia="宋体"/>
                <w:sz w:val="16"/>
              </w:rPr>
              <w:t>提升了人民生活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5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56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EB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24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ED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B5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B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B6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661F">
            <w:pPr>
              <w:jc w:val="center"/>
            </w:pPr>
          </w:p>
        </w:tc>
      </w:tr>
      <w:tr w14:paraId="2DC60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94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91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85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11AC">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B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9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77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04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0E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A0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F9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E8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EA24B">
            <w:pPr>
              <w:jc w:val="center"/>
            </w:pPr>
          </w:p>
        </w:tc>
      </w:tr>
      <w:tr w14:paraId="23739E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2DC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0C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DB5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E5565B">
            <w:pPr>
              <w:jc w:val="center"/>
            </w:pPr>
            <w:r>
              <w:rPr>
                <w:rFonts w:ascii="宋体" w:hAnsi="宋体" w:eastAsia="宋体"/>
                <w:sz w:val="16"/>
              </w:rPr>
              <w:t>100分</w:t>
            </w:r>
          </w:p>
        </w:tc>
      </w:tr>
    </w:tbl>
    <w:p w14:paraId="1060E3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1BDD3F0">
        <w:tblPrEx>
          <w:tblCellMar>
            <w:top w:w="0" w:type="dxa"/>
            <w:left w:w="108" w:type="dxa"/>
            <w:bottom w:w="0" w:type="dxa"/>
            <w:right w:w="108" w:type="dxa"/>
          </w:tblCellMar>
        </w:tblPrEx>
        <w:tc>
          <w:tcPr>
            <w:tcW w:w="8848" w:type="dxa"/>
            <w:gridSpan w:val="14"/>
            <w:vAlign w:val="center"/>
          </w:tcPr>
          <w:p w14:paraId="415F4278">
            <w:pPr>
              <w:jc w:val="center"/>
            </w:pPr>
            <w:r>
              <w:rPr>
                <w:rFonts w:ascii="宋体" w:hAnsi="宋体" w:eastAsia="宋体"/>
                <w:sz w:val="24"/>
              </w:rPr>
              <w:t>项目支出绩效自评表</w:t>
            </w:r>
          </w:p>
        </w:tc>
      </w:tr>
      <w:tr w14:paraId="69C16ECF">
        <w:tblPrEx>
          <w:tblCellMar>
            <w:top w:w="0" w:type="dxa"/>
            <w:left w:w="108" w:type="dxa"/>
            <w:bottom w:w="0" w:type="dxa"/>
            <w:right w:w="108" w:type="dxa"/>
          </w:tblCellMar>
        </w:tblPrEx>
        <w:tc>
          <w:tcPr>
            <w:tcW w:w="8848" w:type="dxa"/>
            <w:gridSpan w:val="14"/>
            <w:vAlign w:val="center"/>
          </w:tcPr>
          <w:p w14:paraId="0779E9B0">
            <w:pPr>
              <w:jc w:val="center"/>
            </w:pPr>
            <w:r>
              <w:rPr>
                <w:rFonts w:ascii="宋体" w:hAnsi="宋体" w:eastAsia="宋体"/>
                <w:sz w:val="24"/>
              </w:rPr>
              <w:t>(2024年度)</w:t>
            </w:r>
          </w:p>
        </w:tc>
      </w:tr>
      <w:tr w14:paraId="6BE43D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83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B69FEF">
            <w:pPr>
              <w:jc w:val="center"/>
            </w:pPr>
            <w:r>
              <w:rPr>
                <w:rFonts w:ascii="宋体" w:hAnsi="宋体" w:eastAsia="宋体"/>
                <w:sz w:val="16"/>
              </w:rPr>
              <w:t>2024年麦盖提县昂格特勒克乡业务活动项目</w:t>
            </w:r>
          </w:p>
        </w:tc>
      </w:tr>
      <w:tr w14:paraId="3F22F2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E6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ABC23D">
            <w:pPr>
              <w:jc w:val="center"/>
            </w:pPr>
            <w:r>
              <w:rPr>
                <w:rFonts w:ascii="宋体" w:hAnsi="宋体" w:eastAsia="宋体"/>
                <w:sz w:val="16"/>
              </w:rPr>
              <w:t>麦盖提县昂格特勒克乡人民政府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2A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CFFEC7">
            <w:pPr>
              <w:jc w:val="center"/>
            </w:pPr>
            <w:r>
              <w:rPr>
                <w:rFonts w:ascii="宋体" w:hAnsi="宋体" w:eastAsia="宋体"/>
                <w:sz w:val="16"/>
              </w:rPr>
              <w:t>麦盖提县昂格特勒克乡人民政府</w:t>
            </w:r>
          </w:p>
        </w:tc>
      </w:tr>
      <w:tr w14:paraId="3B93B9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6DF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B44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3D4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2C7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878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D8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8DE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FAA6">
            <w:pPr>
              <w:jc w:val="center"/>
            </w:pPr>
            <w:r>
              <w:rPr>
                <w:rFonts w:ascii="宋体" w:hAnsi="宋体" w:eastAsia="宋体"/>
                <w:sz w:val="16"/>
              </w:rPr>
              <w:t>得分</w:t>
            </w:r>
          </w:p>
        </w:tc>
      </w:tr>
      <w:tr w14:paraId="328F2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3F7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C1C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DA27F">
            <w:pPr>
              <w:jc w:val="center"/>
            </w:pPr>
            <w:r>
              <w:rPr>
                <w:rFonts w:ascii="宋体" w:hAnsi="宋体" w:eastAsia="宋体"/>
                <w:sz w:val="16"/>
              </w:rPr>
              <w:t>65.49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38C2A">
            <w:pPr>
              <w:jc w:val="center"/>
            </w:pPr>
            <w:r>
              <w:rPr>
                <w:rFonts w:ascii="宋体" w:hAnsi="宋体" w:eastAsia="宋体"/>
                <w:sz w:val="16"/>
              </w:rPr>
              <w:t>84.06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69E3F">
            <w:pPr>
              <w:jc w:val="center"/>
            </w:pPr>
            <w:r>
              <w:rPr>
                <w:rFonts w:ascii="宋体" w:hAnsi="宋体" w:eastAsia="宋体"/>
                <w:sz w:val="16"/>
              </w:rPr>
              <w:t>84.06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95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5F78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A503">
            <w:pPr>
              <w:jc w:val="center"/>
            </w:pPr>
            <w:r>
              <w:rPr>
                <w:rFonts w:ascii="宋体" w:hAnsi="宋体" w:eastAsia="宋体"/>
                <w:sz w:val="16"/>
              </w:rPr>
              <w:t>10.00分</w:t>
            </w:r>
          </w:p>
        </w:tc>
      </w:tr>
      <w:tr w14:paraId="44C0C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09A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A73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F6FFE">
            <w:pPr>
              <w:jc w:val="center"/>
            </w:pPr>
            <w:r>
              <w:rPr>
                <w:rFonts w:ascii="宋体" w:hAnsi="宋体" w:eastAsia="宋体"/>
                <w:sz w:val="16"/>
              </w:rPr>
              <w:t>65.49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113FF">
            <w:pPr>
              <w:jc w:val="center"/>
            </w:pPr>
            <w:r>
              <w:rPr>
                <w:rFonts w:ascii="宋体" w:hAnsi="宋体" w:eastAsia="宋体"/>
                <w:sz w:val="16"/>
              </w:rPr>
              <w:t>84.06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E3ACC">
            <w:pPr>
              <w:jc w:val="center"/>
            </w:pPr>
            <w:r>
              <w:rPr>
                <w:rFonts w:ascii="宋体" w:hAnsi="宋体" w:eastAsia="宋体"/>
                <w:sz w:val="16"/>
              </w:rPr>
              <w:t>84.06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5C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FCD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4ED6">
            <w:pPr>
              <w:jc w:val="center"/>
            </w:pPr>
            <w:r>
              <w:rPr>
                <w:rFonts w:ascii="宋体" w:hAnsi="宋体" w:eastAsia="宋体"/>
                <w:sz w:val="16"/>
              </w:rPr>
              <w:t>—</w:t>
            </w:r>
          </w:p>
        </w:tc>
      </w:tr>
      <w:tr w14:paraId="3926F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FE7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4A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54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4CD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8E2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C1F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B3B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A7D5">
            <w:pPr>
              <w:jc w:val="center"/>
            </w:pPr>
            <w:r>
              <w:rPr>
                <w:rFonts w:ascii="宋体" w:hAnsi="宋体" w:eastAsia="宋体"/>
                <w:sz w:val="16"/>
              </w:rPr>
              <w:t>—</w:t>
            </w:r>
          </w:p>
        </w:tc>
      </w:tr>
      <w:tr w14:paraId="18ACEB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F16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CF3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E2CAF2">
            <w:pPr>
              <w:jc w:val="center"/>
            </w:pPr>
            <w:r>
              <w:rPr>
                <w:rFonts w:ascii="宋体" w:hAnsi="宋体" w:eastAsia="宋体"/>
                <w:sz w:val="16"/>
              </w:rPr>
              <w:t>实际完成情况</w:t>
            </w:r>
          </w:p>
        </w:tc>
      </w:tr>
      <w:tr w14:paraId="48AEE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5FE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B307A8">
            <w:pPr>
              <w:jc w:val="both"/>
            </w:pPr>
            <w:r>
              <w:rPr>
                <w:rFonts w:ascii="宋体" w:hAnsi="宋体" w:eastAsia="宋体"/>
                <w:sz w:val="16"/>
              </w:rPr>
              <w:t>2024年本项目投资84.06万元，主要用于保障我单位6个内设股室日常运转及4辆公务用车日常运行维护，项目的实施有效提升社会公众服务能力，保障单位日常工作正常开展。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3D8EA">
            <w:pPr>
              <w:jc w:val="both"/>
            </w:pPr>
            <w:r>
              <w:rPr>
                <w:rFonts w:hint="eastAsia" w:ascii="宋体" w:hAnsi="宋体"/>
                <w:sz w:val="16"/>
                <w:lang w:eastAsia="zh-CN"/>
              </w:rPr>
              <w:t>截至</w:t>
            </w:r>
            <w:r>
              <w:rPr>
                <w:rFonts w:ascii="宋体" w:hAnsi="宋体" w:eastAsia="宋体"/>
                <w:sz w:val="16"/>
              </w:rPr>
              <w:t>监控节点，项目已支出84.06万元，</w:t>
            </w:r>
            <w:r>
              <w:rPr>
                <w:rFonts w:hint="eastAsia" w:ascii="宋体" w:hAnsi="宋体"/>
                <w:sz w:val="16"/>
                <w:lang w:eastAsia="zh-CN"/>
              </w:rPr>
              <w:t>有效地保障</w:t>
            </w:r>
            <w:r>
              <w:rPr>
                <w:rFonts w:ascii="宋体" w:hAnsi="宋体" w:eastAsia="宋体"/>
                <w:sz w:val="16"/>
              </w:rPr>
              <w:t>我单位6个内设股室的日常运转及4辆公务用车日常运行维护，项目实施有效提升社会公众服务能力，保障了单位日常工作的有效开展。</w:t>
            </w:r>
          </w:p>
        </w:tc>
      </w:tr>
      <w:tr w14:paraId="20CF1A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099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F5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65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10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39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7E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6F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07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FE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1C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69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CE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795F">
            <w:pPr>
              <w:jc w:val="center"/>
            </w:pPr>
            <w:r>
              <w:rPr>
                <w:rFonts w:ascii="宋体" w:hAnsi="宋体" w:eastAsia="宋体"/>
                <w:sz w:val="16"/>
              </w:rPr>
              <w:t>偏差原因分析及改进措施</w:t>
            </w:r>
          </w:p>
        </w:tc>
      </w:tr>
      <w:tr w14:paraId="14BD5D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24E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630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EA4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2613">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8A92">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F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74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57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49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00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FC6E">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2A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2C5D6">
            <w:pPr>
              <w:jc w:val="center"/>
            </w:pPr>
          </w:p>
        </w:tc>
      </w:tr>
      <w:tr w14:paraId="681FA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A2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20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9C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9A59">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A556">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4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79E2">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3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F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1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7375">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58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65F0B">
            <w:pPr>
              <w:jc w:val="center"/>
            </w:pPr>
          </w:p>
        </w:tc>
      </w:tr>
      <w:tr w14:paraId="7F6BA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C3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783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37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B11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F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A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8E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C7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5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F2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97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F1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7A078">
            <w:pPr>
              <w:jc w:val="center"/>
            </w:pPr>
          </w:p>
        </w:tc>
      </w:tr>
      <w:tr w14:paraId="55622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00E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02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77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F9C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AF0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1D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4C8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99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19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7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B6A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92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3C0A7">
            <w:pPr>
              <w:jc w:val="center"/>
            </w:pPr>
          </w:p>
        </w:tc>
      </w:tr>
      <w:tr w14:paraId="38918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CA3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F991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13D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6DDB">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99FE">
            <w:pPr>
              <w:jc w:val="center"/>
            </w:pPr>
            <w:r>
              <w:rPr>
                <w:rFonts w:ascii="宋体" w:hAnsi="宋体" w:eastAsia="宋体"/>
                <w:sz w:val="16"/>
              </w:rPr>
              <w:t>&lt;=80.72万元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25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08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C4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0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FDF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1310">
            <w:pPr>
              <w:jc w:val="center"/>
            </w:pPr>
            <w:r>
              <w:rPr>
                <w:rFonts w:ascii="宋体" w:hAnsi="宋体" w:eastAsia="宋体"/>
                <w:sz w:val="16"/>
              </w:rPr>
              <w:t>=80.72万元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9F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F64A">
            <w:pPr>
              <w:jc w:val="center"/>
            </w:pPr>
          </w:p>
        </w:tc>
      </w:tr>
      <w:tr w14:paraId="543DC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A7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49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F2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8378">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792A">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5A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81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5F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B1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836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9F7F">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13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2EB00">
            <w:pPr>
              <w:jc w:val="center"/>
            </w:pPr>
          </w:p>
        </w:tc>
      </w:tr>
      <w:tr w14:paraId="56386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33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DF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DE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1E86">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69B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6D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80B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F8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C1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A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AB0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74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242B">
            <w:pPr>
              <w:jc w:val="center"/>
            </w:pPr>
          </w:p>
        </w:tc>
      </w:tr>
      <w:tr w14:paraId="118BF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2F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27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C4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768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A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D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EE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41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B1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2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2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64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1A56A">
            <w:pPr>
              <w:jc w:val="center"/>
            </w:pPr>
          </w:p>
        </w:tc>
      </w:tr>
      <w:tr w14:paraId="03911D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5C1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21A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E66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8B0BDF">
            <w:pPr>
              <w:jc w:val="center"/>
            </w:pPr>
            <w:r>
              <w:rPr>
                <w:rFonts w:ascii="宋体" w:hAnsi="宋体" w:eastAsia="宋体"/>
                <w:sz w:val="16"/>
              </w:rPr>
              <w:t>100分</w:t>
            </w:r>
          </w:p>
        </w:tc>
      </w:tr>
    </w:tbl>
    <w:p w14:paraId="3B1ADDC2">
      <w:r>
        <w:br w:type="page"/>
      </w:r>
    </w:p>
    <w:p w14:paraId="3B1B3215">
      <w:pPr>
        <w:spacing w:line="640" w:lineRule="exact"/>
        <w:ind w:firstLine="640"/>
        <w:jc w:val="both"/>
        <w:outlineLvl w:val="2"/>
      </w:pPr>
      <w:r>
        <w:rPr>
          <w:rFonts w:ascii="黑体" w:hAnsi="黑体" w:eastAsia="黑体"/>
          <w:sz w:val="32"/>
        </w:rPr>
        <w:t>十二、其他需说明的事项</w:t>
      </w:r>
    </w:p>
    <w:p w14:paraId="7C040CBC">
      <w:pPr>
        <w:spacing w:line="580" w:lineRule="exact"/>
        <w:ind w:firstLine="640"/>
        <w:jc w:val="both"/>
      </w:pPr>
      <w:r>
        <w:rPr>
          <w:rFonts w:ascii="仿宋_GB2312" w:hAnsi="仿宋_GB2312" w:eastAsia="仿宋_GB2312"/>
          <w:b w:val="0"/>
          <w:sz w:val="32"/>
        </w:rPr>
        <w:t>本单位无其他需说明的事项。</w:t>
      </w:r>
    </w:p>
    <w:p w14:paraId="3B2559EB">
      <w:r>
        <w:br w:type="page"/>
      </w:r>
    </w:p>
    <w:p w14:paraId="45D3CDD9">
      <w:pPr>
        <w:spacing w:line="240" w:lineRule="auto"/>
        <w:jc w:val="center"/>
        <w:outlineLvl w:val="1"/>
      </w:pPr>
      <w:r>
        <w:rPr>
          <w:rFonts w:ascii="黑体" w:hAnsi="黑体" w:eastAsia="黑体"/>
          <w:sz w:val="32"/>
        </w:rPr>
        <w:t>第三部分 专业名词解释</w:t>
      </w:r>
    </w:p>
    <w:p w14:paraId="1246D03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7F78F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F0BC4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B620D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A33E9C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AE406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468D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5AC2B4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B76D1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02589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3A32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77739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6C531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4A393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02E160">
      <w:r>
        <w:br w:type="page"/>
      </w:r>
    </w:p>
    <w:p w14:paraId="458FE76A">
      <w:pPr>
        <w:spacing w:line="240" w:lineRule="auto"/>
        <w:jc w:val="center"/>
        <w:outlineLvl w:val="1"/>
      </w:pPr>
      <w:r>
        <w:rPr>
          <w:rFonts w:ascii="黑体" w:hAnsi="黑体" w:eastAsia="黑体"/>
          <w:sz w:val="32"/>
        </w:rPr>
        <w:t>第四部分 部门决算报表（见附表）</w:t>
      </w:r>
    </w:p>
    <w:p w14:paraId="0281C8E8">
      <w:pPr>
        <w:spacing w:line="240" w:lineRule="auto"/>
        <w:ind w:firstLine="640"/>
        <w:jc w:val="both"/>
      </w:pPr>
      <w:r>
        <w:rPr>
          <w:rFonts w:ascii="仿宋_GB2312" w:hAnsi="仿宋_GB2312" w:eastAsia="仿宋_GB2312"/>
          <w:b w:val="0"/>
          <w:sz w:val="32"/>
        </w:rPr>
        <w:t>一、《收入支出决算总表》</w:t>
      </w:r>
    </w:p>
    <w:p w14:paraId="392CBA42">
      <w:pPr>
        <w:spacing w:line="240" w:lineRule="auto"/>
        <w:ind w:firstLine="640"/>
        <w:jc w:val="both"/>
      </w:pPr>
      <w:r>
        <w:rPr>
          <w:rFonts w:ascii="仿宋_GB2312" w:hAnsi="仿宋_GB2312" w:eastAsia="仿宋_GB2312"/>
          <w:b w:val="0"/>
          <w:sz w:val="32"/>
        </w:rPr>
        <w:t>二、《收入决算表》</w:t>
      </w:r>
    </w:p>
    <w:p w14:paraId="07FEA383">
      <w:pPr>
        <w:spacing w:line="240" w:lineRule="auto"/>
        <w:ind w:firstLine="640"/>
        <w:jc w:val="both"/>
      </w:pPr>
      <w:r>
        <w:rPr>
          <w:rFonts w:ascii="仿宋_GB2312" w:hAnsi="仿宋_GB2312" w:eastAsia="仿宋_GB2312"/>
          <w:b w:val="0"/>
          <w:sz w:val="32"/>
        </w:rPr>
        <w:t>三、《支出决算表》</w:t>
      </w:r>
    </w:p>
    <w:p w14:paraId="05502850">
      <w:pPr>
        <w:spacing w:line="240" w:lineRule="auto"/>
        <w:ind w:firstLine="640"/>
        <w:jc w:val="both"/>
      </w:pPr>
      <w:r>
        <w:rPr>
          <w:rFonts w:ascii="仿宋_GB2312" w:hAnsi="仿宋_GB2312" w:eastAsia="仿宋_GB2312"/>
          <w:b w:val="0"/>
          <w:sz w:val="32"/>
        </w:rPr>
        <w:t>四、《财政拨款收入支出决算总表》</w:t>
      </w:r>
    </w:p>
    <w:p w14:paraId="2C3805CB">
      <w:pPr>
        <w:spacing w:line="240" w:lineRule="auto"/>
        <w:ind w:firstLine="640"/>
        <w:jc w:val="both"/>
      </w:pPr>
      <w:r>
        <w:rPr>
          <w:rFonts w:ascii="仿宋_GB2312" w:hAnsi="仿宋_GB2312" w:eastAsia="仿宋_GB2312"/>
          <w:b w:val="0"/>
          <w:sz w:val="32"/>
        </w:rPr>
        <w:t>五、《一般公共预算财政拨款支出决算表》</w:t>
      </w:r>
    </w:p>
    <w:p w14:paraId="71FF171E">
      <w:pPr>
        <w:spacing w:line="240" w:lineRule="auto"/>
        <w:ind w:firstLine="640"/>
        <w:jc w:val="both"/>
      </w:pPr>
      <w:r>
        <w:rPr>
          <w:rFonts w:ascii="仿宋_GB2312" w:hAnsi="仿宋_GB2312" w:eastAsia="仿宋_GB2312"/>
          <w:b w:val="0"/>
          <w:sz w:val="32"/>
        </w:rPr>
        <w:t>六、《一般公共预算财政拨款基本支出决算表》</w:t>
      </w:r>
    </w:p>
    <w:p w14:paraId="7A7F4EA1">
      <w:pPr>
        <w:spacing w:line="240" w:lineRule="auto"/>
        <w:ind w:firstLine="640"/>
        <w:jc w:val="both"/>
      </w:pPr>
      <w:r>
        <w:rPr>
          <w:rFonts w:ascii="仿宋_GB2312" w:hAnsi="仿宋_GB2312" w:eastAsia="仿宋_GB2312"/>
          <w:b w:val="0"/>
          <w:sz w:val="32"/>
        </w:rPr>
        <w:t>七、《政府性基金预算财政拨款收入支出决算表》</w:t>
      </w:r>
    </w:p>
    <w:p w14:paraId="20322B38">
      <w:pPr>
        <w:spacing w:line="240" w:lineRule="auto"/>
        <w:ind w:firstLine="640"/>
        <w:jc w:val="both"/>
      </w:pPr>
      <w:r>
        <w:rPr>
          <w:rFonts w:ascii="仿宋_GB2312" w:hAnsi="仿宋_GB2312" w:eastAsia="仿宋_GB2312"/>
          <w:b w:val="0"/>
          <w:sz w:val="32"/>
        </w:rPr>
        <w:t>八、《国有资本经营预算财政拨款收入支出决算表》</w:t>
      </w:r>
    </w:p>
    <w:p w14:paraId="1448C0B3">
      <w:pPr>
        <w:spacing w:line="240" w:lineRule="auto"/>
        <w:ind w:firstLine="640"/>
        <w:jc w:val="both"/>
      </w:pPr>
      <w:r>
        <w:rPr>
          <w:rFonts w:ascii="仿宋_GB2312" w:hAnsi="仿宋_GB2312" w:eastAsia="仿宋_GB2312"/>
          <w:b w:val="0"/>
          <w:sz w:val="32"/>
        </w:rPr>
        <w:t>九、《财政拨款“三公”经费支出决算表》</w:t>
      </w:r>
    </w:p>
    <w:p w14:paraId="262C70B3">
      <w:pPr>
        <w:spacing w:line="240" w:lineRule="auto"/>
        <w:ind w:firstLine="640"/>
        <w:jc w:val="both"/>
      </w:pPr>
    </w:p>
    <w:p w14:paraId="0B174C75">
      <w:pPr>
        <w:spacing w:line="240" w:lineRule="auto"/>
        <w:ind w:firstLine="640"/>
        <w:jc w:val="both"/>
      </w:pPr>
    </w:p>
    <w:p w14:paraId="6D7FA9EC">
      <w:pPr>
        <w:spacing w:line="240" w:lineRule="auto"/>
        <w:ind w:firstLine="640"/>
        <w:jc w:val="both"/>
      </w:pPr>
    </w:p>
    <w:p w14:paraId="61F7313A">
      <w:pPr>
        <w:spacing w:line="240" w:lineRule="auto"/>
        <w:ind w:firstLine="640"/>
        <w:jc w:val="both"/>
      </w:pPr>
    </w:p>
    <w:p w14:paraId="4628176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6B745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323254"/>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07183D"/>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7032</Words>
  <Characters>7958</Characters>
  <Lines>0</Lines>
  <Paragraphs>0</Paragraphs>
  <TotalTime>13</TotalTime>
  <ScaleCrop>false</ScaleCrop>
  <LinksUpToDate>false</LinksUpToDate>
  <CharactersWithSpaces>7966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eyJoZGlkIjoiNTM1NjJiMTUwNmFhZWNlZmQwNDVjMDAxNDMwM2IwMDkiLCJ1c2VySWQiOiIyNTk4NTcxMjUifQ==</vt:lpwstr>
  </property>
</Properties>
</file>