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r>
        <w:rPr>
          <w:rFonts w:hint="eastAsia" w:ascii="方正小标宋_GBK" w:hAnsi="宋体" w:eastAsia="方正小标宋_GBK"/>
          <w:sz w:val="44"/>
          <w:szCs w:val="44"/>
        </w:rPr>
        <w:t>麦盖提县镇人民政府2024年度部门决算</w:t>
      </w:r>
    </w:p>
    <w:p>
      <w:pPr>
        <w:spacing w:line="6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leader="dot" w:pos="8306"/>
        </w:tabs>
        <w:rPr>
          <w:rFonts w:ascii="仿宋_GB2312" w:hAnsi="仿宋_GB2312" w:eastAsia="仿宋_GB2312" w:cs="仿宋_GB2312"/>
          <w:szCs w:val="32"/>
        </w:rPr>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TOC \o "1-3" \n  \h \u </w:instrText>
      </w:r>
      <w:r>
        <w:rPr>
          <w:rFonts w:hint="eastAsia" w:ascii="仿宋_GB2312" w:hAnsi="仿宋_GB2312" w:eastAsia="仿宋_GB2312" w:cs="仿宋_GB231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Cs w:val="32"/>
        </w:rPr>
        <w:t>第一部分 单位概况</w:t>
      </w:r>
      <w:r>
        <w:rPr>
          <w:rFonts w:hint="eastAsia" w:ascii="仿宋_GB2312" w:hAnsi="仿宋_GB2312" w:eastAsia="仿宋_GB2312" w:cs="仿宋_GB2312"/>
          <w:b/>
          <w:bCs/>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Cs w:val="32"/>
        </w:rPr>
        <w:t>一、主要职能</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Cs w:val="32"/>
        </w:rPr>
        <w:t>二、机构设置及人员情况</w:t>
      </w:r>
      <w:r>
        <w:rPr>
          <w:rFonts w:hint="eastAsia" w:ascii="仿宋_GB2312" w:hAnsi="仿宋_GB2312" w:eastAsia="仿宋_GB2312" w:cs="仿宋_GB2312"/>
          <w:bCs/>
          <w:kern w:val="0"/>
          <w:szCs w:val="32"/>
        </w:rPr>
        <w:fldChar w:fldCharType="end"/>
      </w:r>
    </w:p>
    <w:p>
      <w:pPr>
        <w:pStyle w:val="6"/>
        <w:tabs>
          <w:tab w:val="right" w:leader="dot" w:pos="8306"/>
        </w:tabs>
        <w:rPr>
          <w:rFonts w:ascii="仿宋_GB2312" w:hAnsi="仿宋_GB2312" w:eastAsia="仿宋_GB2312" w:cs="仿宋_GB2312"/>
          <w:b/>
          <w:bCs/>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Cs w:val="32"/>
        </w:rPr>
        <w:t>第二部分 部门决算情况说明</w:t>
      </w:r>
      <w:r>
        <w:rPr>
          <w:rFonts w:hint="eastAsia" w:ascii="仿宋_GB2312" w:hAnsi="仿宋_GB2312" w:eastAsia="仿宋_GB2312" w:cs="仿宋_GB2312"/>
          <w:b/>
          <w:bCs/>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Cs w:val="32"/>
        </w:rPr>
        <w:t>一、收入支出决算总体情况说明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Cs w:val="32"/>
        </w:rPr>
        <w:t>二、收入决算情况说明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Cs w:val="32"/>
        </w:rPr>
        <w:t>三、支出决算情况说明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Cs w:val="32"/>
        </w:rPr>
        <w:t>四、财政拨款收入支出决算总体情况说明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Cs w:val="32"/>
        </w:rPr>
        <w:t>五、一般公共预算财政拨款支出决算情况说明</w:t>
      </w:r>
      <w:r>
        <w:rPr>
          <w:rFonts w:hint="eastAsia" w:ascii="仿宋_GB2312" w:hAnsi="仿宋_GB2312" w:eastAsia="仿宋_GB2312" w:cs="仿宋_GB2312"/>
          <w:bCs/>
          <w:kern w:val="0"/>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"_Toc1165" </w:instrText>
      </w:r>
      <w:r>
        <w:fldChar w:fldCharType="separate"/>
      </w:r>
      <w:r>
        <w:rPr>
          <w:rFonts w:hint="eastAsia" w:ascii="仿宋_GB2312" w:hAnsi="仿宋_GB2312" w:eastAsia="仿宋_GB2312" w:cs="仿宋_GB2312"/>
          <w:szCs w:val="32"/>
        </w:rPr>
        <w:t>（一）一般公共预算财政拨款支出决算总体情况</w:t>
      </w:r>
      <w:r>
        <w:rPr>
          <w:rFonts w:hint="eastAsia" w:ascii="仿宋_GB2312" w:hAnsi="仿宋_GB2312" w:eastAsia="仿宋_GB2312" w:cs="仿宋_GB2312"/>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"_Toc27147" </w:instrText>
      </w:r>
      <w:r>
        <w:fldChar w:fldCharType="separate"/>
      </w:r>
      <w:r>
        <w:rPr>
          <w:rFonts w:hint="eastAsia" w:ascii="仿宋_GB2312" w:hAnsi="仿宋_GB2312" w:eastAsia="仿宋_GB2312" w:cs="仿宋_GB2312"/>
          <w:szCs w:val="32"/>
        </w:rPr>
        <w:t>（二）一般公共预算财政拨款支出决算结构情况</w:t>
      </w:r>
      <w:r>
        <w:rPr>
          <w:rFonts w:hint="eastAsia" w:ascii="仿宋_GB2312" w:hAnsi="仿宋_GB2312" w:eastAsia="仿宋_GB2312" w:cs="仿宋_GB2312"/>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"_Toc10037" </w:instrText>
      </w:r>
      <w:r>
        <w:fldChar w:fldCharType="separate"/>
      </w:r>
      <w:r>
        <w:rPr>
          <w:rFonts w:hint="eastAsia" w:ascii="仿宋_GB2312" w:hAnsi="仿宋_GB2312" w:eastAsia="仿宋_GB2312" w:cs="仿宋_GB2312"/>
          <w:szCs w:val="32"/>
        </w:rPr>
        <w:t>（三）一般公共预算财政拨款支出决算具体情况</w:t>
      </w:r>
      <w:r>
        <w:rPr>
          <w:rFonts w:hint="eastAsia" w:ascii="仿宋_GB2312" w:hAnsi="仿宋_GB2312" w:eastAsia="仿宋_GB2312" w:cs="仿宋_GB2312"/>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Cs w:val="32"/>
        </w:rPr>
        <w:t>六、一般公共预算财政拨款基本支出决算情况说明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Cs w:val="32"/>
        </w:rPr>
        <w:t>七、政府性基金预算财政拨款收入支出决算情况说明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Cs w:val="32"/>
        </w:rPr>
        <w:t>八、国有资本经营预算财政拨款收入支出决算情况说明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Cs w:val="32"/>
        </w:rPr>
        <w:t>九、财政拨款“三公”经费支出决算情况说明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Cs w:val="32"/>
        </w:rPr>
        <w:t>十、其他重要事项的情况说明</w:t>
      </w:r>
      <w:r>
        <w:rPr>
          <w:rFonts w:hint="eastAsia" w:ascii="仿宋_GB2312" w:hAnsi="仿宋_GB2312" w:eastAsia="仿宋_GB2312" w:cs="仿宋_GB2312"/>
          <w:bCs/>
          <w:kern w:val="0"/>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"_Toc21748" </w:instrText>
      </w:r>
      <w:r>
        <w:fldChar w:fldCharType="separate"/>
      </w:r>
      <w:r>
        <w:rPr>
          <w:rFonts w:hint="eastAsia" w:ascii="仿宋_GB2312" w:hAnsi="仿宋_GB2312" w:eastAsia="仿宋_GB2312" w:cs="仿宋_GB2312"/>
          <w:szCs w:val="32"/>
        </w:rPr>
        <w:t>（一）机关运行经费及公用经费支出情况</w:t>
      </w:r>
      <w:r>
        <w:rPr>
          <w:rFonts w:hint="eastAsia" w:ascii="仿宋_GB2312" w:hAnsi="仿宋_GB2312" w:eastAsia="仿宋_GB2312" w:cs="仿宋_GB2312"/>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"_Toc25177" </w:instrText>
      </w:r>
      <w:r>
        <w:fldChar w:fldCharType="separate"/>
      </w:r>
      <w:r>
        <w:rPr>
          <w:rFonts w:hint="eastAsia" w:ascii="仿宋_GB2312" w:hAnsi="仿宋_GB2312" w:eastAsia="仿宋_GB2312" w:cs="仿宋_GB2312"/>
          <w:szCs w:val="32"/>
        </w:rPr>
        <w:t>（二）政府采购情况</w:t>
      </w:r>
      <w:r>
        <w:rPr>
          <w:rFonts w:hint="eastAsia" w:ascii="仿宋_GB2312" w:hAnsi="仿宋_GB2312" w:eastAsia="仿宋_GB2312" w:cs="仿宋_GB2312"/>
          <w:szCs w:val="32"/>
        </w:rPr>
        <w:fldChar w:fldCharType="end"/>
      </w:r>
    </w:p>
    <w:p>
      <w:pPr>
        <w:pStyle w:val="3"/>
        <w:tabs>
          <w:tab w:val="right" w:leader="dot" w:pos="8306"/>
        </w:tabs>
        <w:ind w:left="0" w:leftChars="0"/>
        <w:rPr>
          <w:rFonts w:ascii="仿宋_GB2312" w:hAnsi="仿宋_GB2312" w:eastAsia="仿宋_GB2312" w:cs="仿宋_GB2312"/>
          <w:szCs w:val="32"/>
        </w:rPr>
      </w:pPr>
      <w:r>
        <w:fldChar w:fldCharType="begin"/>
      </w:r>
      <w:r>
        <w:instrText xml:space="preserve"> HYPERLINK \l "_Toc31294" </w:instrText>
      </w:r>
      <w:r>
        <w:fldChar w:fldCharType="separate"/>
      </w:r>
      <w:r>
        <w:rPr>
          <w:rFonts w:hint="eastAsia" w:ascii="仿宋_GB2312" w:hAnsi="仿宋_GB2312" w:eastAsia="仿宋_GB2312" w:cs="仿宋_GB2312"/>
          <w:szCs w:val="32"/>
        </w:rPr>
        <w:t>（三）国有资产占用情况说明</w:t>
      </w:r>
      <w:r>
        <w:rPr>
          <w:rFonts w:hint="eastAsia" w:ascii="仿宋_GB2312" w:hAnsi="仿宋_GB2312" w:eastAsia="仿宋_GB2312" w:cs="仿宋_GB2312"/>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Cs w:val="32"/>
        </w:rPr>
        <w:t>十一、预算绩效的情况说明</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rPr>
          <w:rFonts w:hint="eastAsia" w:ascii="仿宋_GB2312" w:hAnsi="仿宋_GB2312" w:eastAsia="仿宋_GB2312" w:cs="仿宋_GB2312"/>
          <w:szCs w:val="32"/>
        </w:rPr>
        <w:t>十二、其他需说明的事项</w:t>
      </w:r>
    </w:p>
    <w:p>
      <w:pPr>
        <w:pStyle w:val="6"/>
        <w:tabs>
          <w:tab w:val="right" w:leader="dot" w:pos="8306"/>
        </w:tabs>
        <w:rPr>
          <w:rFonts w:ascii="仿宋_GB2312" w:hAnsi="仿宋_GB2312" w:eastAsia="仿宋_GB2312" w:cs="仿宋_GB2312"/>
          <w:b/>
          <w:bCs/>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Cs w:val="32"/>
        </w:rPr>
        <w:t>第三部分 专业名词解释</w:t>
      </w:r>
      <w:r>
        <w:rPr>
          <w:rFonts w:hint="eastAsia" w:ascii="仿宋_GB2312" w:hAnsi="仿宋_GB2312" w:eastAsia="仿宋_GB2312" w:cs="仿宋_GB2312"/>
          <w:b/>
          <w:bCs/>
          <w:szCs w:val="32"/>
        </w:rPr>
        <w:fldChar w:fldCharType="end"/>
      </w:r>
    </w:p>
    <w:p>
      <w:pPr>
        <w:pStyle w:val="6"/>
        <w:tabs>
          <w:tab w:val="right" w:leader="dot" w:pos="8306"/>
        </w:tabs>
        <w:rPr>
          <w:rFonts w:ascii="仿宋_GB2312" w:hAnsi="仿宋_GB2312" w:eastAsia="仿宋_GB2312" w:cs="仿宋_GB2312"/>
          <w:b/>
          <w:bCs/>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Cs w:val="32"/>
        </w:rPr>
        <w:t>第四部分 部门决算报表（见附表）</w:t>
      </w:r>
      <w:r>
        <w:rPr>
          <w:rFonts w:hint="eastAsia" w:ascii="仿宋_GB2312" w:hAnsi="仿宋_GB2312" w:eastAsia="仿宋_GB2312" w:cs="仿宋_GB2312"/>
          <w:b/>
          <w:bCs/>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Cs w:val="32"/>
        </w:rPr>
        <w:t>一、《收入支出决算总表》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Cs w:val="32"/>
        </w:rPr>
        <w:t>二、《收入决算表》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Cs w:val="32"/>
        </w:rPr>
        <w:t>三、《支出决算表》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Cs w:val="32"/>
        </w:rPr>
        <w:t>四、《财政拨款收入支出决算总表》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Cs w:val="32"/>
        </w:rPr>
        <w:t>五、《一般公共预算财政拨款支出决算表》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Cs w:val="32"/>
        </w:rPr>
        <w:t>六、《一般公共预算财政拨款基本支出决算表》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Cs w:val="32"/>
        </w:rPr>
        <w:t>七、《政府性基金预算财政拨款收入支出决算表》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Cs w:val="32"/>
        </w:rPr>
        <w:t>八、《国有资本经营预算财政拨款收入支出决算表》</w:t>
      </w:r>
      <w:r>
        <w:rPr>
          <w:rFonts w:hint="eastAsia" w:ascii="仿宋_GB2312" w:hAnsi="仿宋_GB2312" w:eastAsia="仿宋_GB2312" w:cs="仿宋_GB2312"/>
          <w:bCs/>
          <w:kern w:val="0"/>
          <w:szCs w:val="32"/>
        </w:rPr>
        <w:fldChar w:fldCharType="end"/>
      </w:r>
    </w:p>
    <w:p>
      <w:pPr>
        <w:pStyle w:val="7"/>
        <w:tabs>
          <w:tab w:val="right" w:leader="dot" w:pos="8306"/>
        </w:tabs>
        <w:ind w:left="0" w:leftChars="0"/>
        <w:rPr>
          <w:rFonts w:ascii="仿宋_GB2312" w:hAnsi="仿宋_GB2312" w:eastAsia="仿宋_GB2312" w:cs="仿宋_GB231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Cs w:val="32"/>
        </w:rPr>
        <w:t>九、《财政拨款“三公”经费支出决算表》</w:t>
      </w:r>
      <w:r>
        <w:rPr>
          <w:rFonts w:hint="eastAsia" w:ascii="仿宋_GB2312" w:hAnsi="仿宋_GB2312" w:eastAsia="仿宋_GB2312" w:cs="仿宋_GB2312"/>
          <w:bCs/>
          <w:kern w:val="0"/>
          <w:szCs w:val="32"/>
        </w:rPr>
        <w:fldChar w:fldCharType="end"/>
      </w:r>
    </w:p>
    <w:p>
      <w:pPr>
        <w:pStyle w:val="7"/>
        <w:tabs>
          <w:tab w:val="right" w:pos="8306"/>
        </w:tabs>
        <w:ind w:left="0" w:leftChars="0"/>
        <w:rPr>
          <w:rFonts w:ascii="仿宋_GB2312" w:hAnsi="仿宋_GB2312" w:eastAsia="仿宋_GB2312" w:cs="仿宋_GB2312"/>
          <w:szCs w:val="32"/>
        </w:rPr>
      </w:pPr>
      <w:r>
        <w:rPr>
          <w:rFonts w:hint="eastAsia" w:ascii="仿宋_GB2312" w:hAnsi="仿宋_GB2312" w:eastAsia="仿宋_GB2312" w:cs="仿宋_GB2312"/>
          <w:szCs w:val="32"/>
        </w:rPr>
        <w:fldChar w:fldCharType="end"/>
      </w:r>
    </w:p>
    <w:p>
      <w:r>
        <w:br w:type="page"/>
      </w:r>
    </w:p>
    <w:p>
      <w:pPr>
        <w:spacing w:line="640" w:lineRule="exact"/>
        <w:jc w:val="center"/>
        <w:outlineLvl w:val="1"/>
      </w:pPr>
      <w:r>
        <w:rPr>
          <w:rFonts w:ascii="黑体" w:hAnsi="黑体" w:eastAsia="黑体"/>
        </w:rPr>
        <w:t>第一部分 单位概况</w:t>
      </w:r>
    </w:p>
    <w:p>
      <w:pPr>
        <w:spacing w:line="640" w:lineRule="exact"/>
        <w:ind w:firstLine="640"/>
        <w:outlineLvl w:val="2"/>
      </w:pPr>
      <w:r>
        <w:rPr>
          <w:rFonts w:ascii="黑体" w:hAnsi="黑体" w:eastAsia="黑体"/>
        </w:rPr>
        <w:t>一、主要职能</w:t>
      </w:r>
    </w:p>
    <w:p>
      <w:pPr>
        <w:spacing w:line="580" w:lineRule="exact"/>
        <w:ind w:firstLine="640"/>
        <w:rPr>
          <w:rFonts w:ascii="仿宋_GB2312" w:hAnsi="仿宋_GB2312" w:eastAsia="仿宋_GB2312"/>
        </w:rPr>
      </w:pPr>
      <w:r>
        <w:rPr>
          <w:rFonts w:hint="eastAsia" w:ascii="仿宋_GB2312" w:hAnsi="仿宋_GB2312" w:eastAsia="仿宋_GB2312"/>
        </w:rPr>
        <w:t>1、落实上级党委、政府决策部署部署和县委、</w:t>
      </w:r>
      <w:r>
        <w:rPr>
          <w:rFonts w:hint="eastAsia" w:ascii="仿宋_GB2312" w:hAnsi="仿宋_GB2312" w:eastAsia="仿宋_GB2312"/>
          <w:lang w:eastAsia="zh-CN"/>
        </w:rPr>
        <w:t>县</w:t>
      </w:r>
      <w:bookmarkStart w:id="0" w:name="_GoBack"/>
      <w:bookmarkEnd w:id="0"/>
      <w:r>
        <w:rPr>
          <w:rFonts w:hint="eastAsia" w:ascii="仿宋_GB2312" w:hAnsi="仿宋_GB2312" w:eastAsia="仿宋_GB2312"/>
        </w:rPr>
        <w:t>政府相关工作安排。</w:t>
      </w:r>
    </w:p>
    <w:p>
      <w:pPr>
        <w:spacing w:line="580" w:lineRule="exact"/>
        <w:ind w:firstLine="640"/>
        <w:rPr>
          <w:rFonts w:ascii="仿宋_GB2312" w:hAnsi="仿宋_GB2312" w:eastAsia="仿宋_GB2312"/>
        </w:rPr>
      </w:pPr>
      <w:r>
        <w:rPr>
          <w:rFonts w:hint="eastAsia" w:ascii="仿宋_GB2312" w:hAnsi="仿宋_GB2312" w:eastAsia="仿宋_GB2312"/>
        </w:rPr>
        <w:t>2、执行全镇的社会和经济发展计划、预算，管理本镇内的经济、教育、科技、文化、卫生、体育事业和财政、民政、治安、人民调解、安全生产监督管理等行政工作。</w:t>
      </w:r>
    </w:p>
    <w:p>
      <w:pPr>
        <w:spacing w:line="580" w:lineRule="exact"/>
        <w:ind w:firstLine="640"/>
        <w:rPr>
          <w:rFonts w:ascii="仿宋_GB2312" w:hAnsi="仿宋_GB2312" w:eastAsia="仿宋_GB2312"/>
        </w:rPr>
      </w:pPr>
      <w:r>
        <w:rPr>
          <w:rFonts w:hint="eastAsia" w:ascii="仿宋_GB2312" w:hAnsi="仿宋_GB2312" w:eastAsia="仿宋_GB2312"/>
        </w:rPr>
        <w:t>3、保护社会主义的全民财产和劳动群体集体所有财产，保护公民私人所有的合法财产，维护社会秩序，保障公民的人生权利，民主权利和其他权利。</w:t>
      </w:r>
    </w:p>
    <w:p>
      <w:pPr>
        <w:spacing w:line="640" w:lineRule="exact"/>
        <w:ind w:firstLine="640"/>
        <w:outlineLvl w:val="2"/>
      </w:pPr>
      <w:r>
        <w:rPr>
          <w:rFonts w:ascii="黑体" w:hAnsi="黑体" w:eastAsia="黑体"/>
        </w:rPr>
        <w:t>二、机构设置及人员情况</w:t>
      </w:r>
    </w:p>
    <w:p>
      <w:pPr>
        <w:spacing w:line="580" w:lineRule="exact"/>
        <w:ind w:firstLine="640"/>
      </w:pPr>
      <w:r>
        <w:rPr>
          <w:rFonts w:ascii="仿宋_GB2312" w:hAnsi="仿宋_GB2312" w:eastAsia="仿宋_GB2312"/>
        </w:rPr>
        <w:t>麦盖提县镇人民政府2024年度，实有人数222人，其中：在职人员185人，减少8人；离休人员0人，增加0人；退休人员37人,增加0人。</w:t>
      </w:r>
    </w:p>
    <w:p>
      <w:pPr>
        <w:spacing w:line="580" w:lineRule="exact"/>
        <w:ind w:firstLine="640"/>
      </w:pPr>
      <w:r>
        <w:rPr>
          <w:rFonts w:ascii="仿宋_GB2312" w:hAnsi="仿宋_GB2312" w:eastAsia="仿宋_GB2312"/>
        </w:rPr>
        <w:t>麦盖提县镇人民政府无下属预算单位，下设5个科室，分别是：党政综合办公室、党建工作办公室、经济发展和财政办公室、社会事务办公室、综合执法办公室。</w:t>
      </w:r>
    </w:p>
    <w:p>
      <w:r>
        <w:br w:type="page"/>
      </w:r>
    </w:p>
    <w:p>
      <w:pPr>
        <w:jc w:val="center"/>
        <w:outlineLvl w:val="1"/>
      </w:pPr>
      <w:r>
        <w:rPr>
          <w:rFonts w:ascii="黑体" w:hAnsi="黑体" w:eastAsia="黑体"/>
        </w:rPr>
        <w:t>第二部分 部门决算情况说明</w:t>
      </w:r>
    </w:p>
    <w:p>
      <w:pPr>
        <w:spacing w:line="640" w:lineRule="exact"/>
        <w:ind w:firstLine="640"/>
        <w:outlineLvl w:val="2"/>
      </w:pPr>
      <w:r>
        <w:rPr>
          <w:rFonts w:ascii="黑体" w:hAnsi="黑体" w:eastAsia="黑体"/>
        </w:rPr>
        <w:t>一、收入支出决算总体情况说明</w:t>
      </w:r>
    </w:p>
    <w:p>
      <w:pPr>
        <w:spacing w:line="580" w:lineRule="exact"/>
        <w:ind w:firstLine="640"/>
      </w:pPr>
      <w:r>
        <w:rPr>
          <w:rFonts w:ascii="仿宋_GB2312" w:hAnsi="仿宋_GB2312" w:eastAsia="仿宋_GB2312"/>
          <w:b/>
        </w:rPr>
        <w:t>2024年度收入总计5,345.42万元，</w:t>
      </w:r>
      <w:r>
        <w:rPr>
          <w:rFonts w:ascii="仿宋_GB2312" w:hAnsi="仿宋_GB2312" w:eastAsia="仿宋_GB2312"/>
        </w:rPr>
        <w:t>其中：本年收入合计5,281.50万元，使用非财政拨款结余（含专用结余）0.00万元，年初结转和结余63.92万元。</w:t>
      </w:r>
    </w:p>
    <w:p>
      <w:pPr>
        <w:spacing w:line="580" w:lineRule="exact"/>
        <w:ind w:firstLine="640"/>
      </w:pPr>
      <w:r>
        <w:rPr>
          <w:rFonts w:ascii="仿宋_GB2312" w:hAnsi="仿宋_GB2312" w:eastAsia="仿宋_GB2312"/>
          <w:b/>
        </w:rPr>
        <w:t>2024年度支出总计5,345.42万元，</w:t>
      </w:r>
      <w:r>
        <w:rPr>
          <w:rFonts w:ascii="仿宋_GB2312" w:hAnsi="仿宋_GB2312" w:eastAsia="仿宋_GB2312"/>
        </w:rPr>
        <w:t>其中：本年支出合计5,345.42万元，结余分配0.00万元，年末结转和结余0.00万元。</w:t>
      </w:r>
    </w:p>
    <w:p>
      <w:pPr>
        <w:spacing w:line="580" w:lineRule="exact"/>
        <w:ind w:firstLine="640"/>
      </w:pPr>
      <w:r>
        <w:rPr>
          <w:rFonts w:ascii="仿宋_GB2312" w:hAnsi="仿宋_GB2312" w:eastAsia="仿宋_GB2312"/>
        </w:rPr>
        <w:t>收入支出总体与上年相比，减少255.14万元，下降4.56%，主要原因是：本年减少麦盖提县麦盖提镇人民路社区综合服务设施建设、麦盖提县麦盖提镇新时代社区综合服务设施建设、困难群众救助补助等项目，导致经费较上年减少。</w:t>
      </w:r>
    </w:p>
    <w:p>
      <w:pPr>
        <w:spacing w:line="640" w:lineRule="exact"/>
        <w:ind w:firstLine="640"/>
        <w:outlineLvl w:val="2"/>
      </w:pPr>
      <w:r>
        <w:rPr>
          <w:rFonts w:ascii="黑体" w:hAnsi="黑体" w:eastAsia="黑体"/>
        </w:rPr>
        <w:t>二、收入决算情况说明</w:t>
      </w:r>
    </w:p>
    <w:p>
      <w:pPr>
        <w:spacing w:line="580" w:lineRule="exact"/>
        <w:ind w:firstLine="640"/>
      </w:pPr>
      <w:r>
        <w:rPr>
          <w:rFonts w:ascii="仿宋_GB2312" w:hAnsi="仿宋_GB2312" w:eastAsia="仿宋_GB2312"/>
          <w:b/>
        </w:rPr>
        <w:t>本年收入5,281.50万元，</w:t>
      </w:r>
      <w:r>
        <w:rPr>
          <w:rFonts w:ascii="仿宋_GB2312" w:hAnsi="仿宋_GB2312" w:eastAsia="仿宋_GB2312"/>
        </w:rPr>
        <w:t>其中：财政拨款收入4,889.96万元，占92.59%；上级补助收入0.00万元，占0.00%；事业收入0.00万元，占0.00%；经营收入0.00万元，占0.00%；附属单位上缴收入0.00万元，占0.00%；其他收入391.54万元，占7.41%。</w:t>
      </w:r>
    </w:p>
    <w:p>
      <w:pPr>
        <w:spacing w:line="640" w:lineRule="exact"/>
        <w:ind w:firstLine="640"/>
        <w:outlineLvl w:val="2"/>
      </w:pPr>
      <w:r>
        <w:rPr>
          <w:rFonts w:ascii="黑体" w:hAnsi="黑体" w:eastAsia="黑体"/>
        </w:rPr>
        <w:t>三、支出决算情况说明</w:t>
      </w:r>
    </w:p>
    <w:p>
      <w:pPr>
        <w:spacing w:line="580" w:lineRule="exact"/>
        <w:ind w:firstLine="640"/>
      </w:pPr>
      <w:r>
        <w:rPr>
          <w:rFonts w:ascii="仿宋_GB2312" w:hAnsi="仿宋_GB2312" w:eastAsia="仿宋_GB2312"/>
          <w:b/>
        </w:rPr>
        <w:t>本年支出5,345.42万元，</w:t>
      </w:r>
      <w:r>
        <w:rPr>
          <w:rFonts w:ascii="仿宋_GB2312" w:hAnsi="仿宋_GB2312" w:eastAsia="仿宋_GB2312"/>
        </w:rPr>
        <w:t>其中：基本支出4,031.19万元，占75.41%；项目支出1,314.23万元，占24.59%；上缴上级支出0.00万元，占0.00%；经营支出0.00万元，占0.00%；对附属单位补助支出0.00万元，占0.00%。</w:t>
      </w:r>
    </w:p>
    <w:p>
      <w:pPr>
        <w:spacing w:line="640" w:lineRule="exact"/>
        <w:ind w:firstLine="640"/>
        <w:outlineLvl w:val="2"/>
      </w:pPr>
      <w:r>
        <w:rPr>
          <w:rFonts w:ascii="黑体" w:hAnsi="黑体" w:eastAsia="黑体"/>
        </w:rPr>
        <w:t>四、财政拨款收入支出决算总体情况说明</w:t>
      </w:r>
    </w:p>
    <w:p>
      <w:pPr>
        <w:spacing w:line="580" w:lineRule="exact"/>
        <w:ind w:firstLine="640"/>
      </w:pPr>
      <w:r>
        <w:rPr>
          <w:rFonts w:ascii="仿宋_GB2312" w:hAnsi="仿宋_GB2312" w:eastAsia="仿宋_GB2312"/>
          <w:b/>
        </w:rPr>
        <w:t>2024年度财政拨款收入总计4,889.96万元，</w:t>
      </w:r>
      <w:r>
        <w:rPr>
          <w:rFonts w:ascii="仿宋_GB2312" w:hAnsi="仿宋_GB2312" w:eastAsia="仿宋_GB2312"/>
        </w:rPr>
        <w:t>其中：年初财政拨款结转和结余0.00万元，本年财政拨款收入4,889.96万元。</w:t>
      </w:r>
      <w:r>
        <w:rPr>
          <w:rFonts w:ascii="仿宋_GB2312" w:hAnsi="仿宋_GB2312" w:eastAsia="仿宋_GB2312"/>
          <w:b/>
        </w:rPr>
        <w:t>财政拨款支出总计4,889.96万元，</w:t>
      </w:r>
      <w:r>
        <w:rPr>
          <w:rFonts w:ascii="仿宋_GB2312" w:hAnsi="仿宋_GB2312" w:eastAsia="仿宋_GB2312"/>
        </w:rPr>
        <w:t>其中：年末财政拨款结转和结余0.00万元，本年财政拨款支出4,889.96万元。</w:t>
      </w:r>
    </w:p>
    <w:p>
      <w:pPr>
        <w:spacing w:line="580" w:lineRule="exact"/>
        <w:ind w:firstLine="640"/>
      </w:pPr>
      <w:r>
        <w:rPr>
          <w:rFonts w:ascii="仿宋_GB2312" w:hAnsi="仿宋_GB2312" w:eastAsia="仿宋_GB2312"/>
          <w:b/>
        </w:rPr>
        <w:t>财政拨款收入支出总体与上年相比，</w:t>
      </w:r>
      <w:r>
        <w:rPr>
          <w:rFonts w:ascii="仿宋_GB2312" w:hAnsi="仿宋_GB2312" w:eastAsia="仿宋_GB2312"/>
        </w:rPr>
        <w:t>减少210.60万元，下降4.13%，主要原因是：本年减少麦盖提县麦盖提镇人民路社区综合服务设施建设、麦盖提县麦盖提镇新时代社区综合服务设施建设、困难群众救助补助等项目，导致经费较上年减少。</w:t>
      </w:r>
      <w:r>
        <w:rPr>
          <w:rFonts w:ascii="仿宋_GB2312" w:hAnsi="仿宋_GB2312" w:eastAsia="仿宋_GB2312"/>
          <w:b/>
        </w:rPr>
        <w:t>与年初预算相比，</w:t>
      </w:r>
      <w:r>
        <w:rPr>
          <w:rFonts w:ascii="仿宋_GB2312" w:hAnsi="仿宋_GB2312" w:eastAsia="仿宋_GB2312"/>
        </w:rPr>
        <w:t>年初预算数4,731.74万元，决算数4,889.96万元，预决算差异率3.34%，主要原因是：年中追加人员工资、社保、公积金基数调增部分资金，导致预决算存在差异。</w:t>
      </w:r>
    </w:p>
    <w:p>
      <w:pPr>
        <w:spacing w:line="640" w:lineRule="exact"/>
        <w:ind w:firstLine="640"/>
        <w:outlineLvl w:val="2"/>
      </w:pPr>
      <w:r>
        <w:rPr>
          <w:rFonts w:ascii="黑体" w:hAnsi="黑体" w:eastAsia="黑体"/>
        </w:rPr>
        <w:t>五、一般公共预算财政拨款支出决算情况说明</w:t>
      </w:r>
    </w:p>
    <w:p>
      <w:pPr>
        <w:spacing w:line="640" w:lineRule="exact"/>
        <w:ind w:firstLine="640"/>
        <w:outlineLvl w:val="3"/>
      </w:pPr>
      <w:r>
        <w:rPr>
          <w:rFonts w:ascii="楷体_GB2312" w:hAnsi="楷体_GB2312" w:eastAsia="楷体_GB2312"/>
          <w:b/>
        </w:rPr>
        <w:t>（一）一般公共预算财政拨款支出决算总体情况</w:t>
      </w:r>
    </w:p>
    <w:p>
      <w:pPr>
        <w:spacing w:line="580" w:lineRule="exact"/>
        <w:ind w:firstLine="640"/>
      </w:pPr>
      <w:r>
        <w:rPr>
          <w:rFonts w:ascii="仿宋_GB2312" w:hAnsi="仿宋_GB2312" w:eastAsia="仿宋_GB2312"/>
          <w:b/>
        </w:rPr>
        <w:t>2024年度一般公共预算财政拨款支出4,851.09万元，</w:t>
      </w:r>
      <w:r>
        <w:rPr>
          <w:rFonts w:ascii="仿宋_GB2312" w:hAnsi="仿宋_GB2312" w:eastAsia="仿宋_GB2312"/>
        </w:rPr>
        <w:t>占本年支出合计的90.75%。</w:t>
      </w:r>
      <w:r>
        <w:rPr>
          <w:rFonts w:ascii="仿宋_GB2312" w:hAnsi="仿宋_GB2312" w:eastAsia="仿宋_GB2312"/>
          <w:b/>
        </w:rPr>
        <w:t>与上年相比，</w:t>
      </w:r>
      <w:r>
        <w:rPr>
          <w:rFonts w:ascii="仿宋_GB2312" w:hAnsi="仿宋_GB2312" w:eastAsia="仿宋_GB2312"/>
        </w:rPr>
        <w:t>减少239.86万元，下降4.71%，主要原因是：本年减少麦盖提县麦盖提镇人民路社区综合服务设施建设、麦盖提县麦盖提镇新时代社区综合服务设施建设、困难群众救助补助等项目，导致经费较上年减少。</w:t>
      </w:r>
      <w:r>
        <w:rPr>
          <w:rFonts w:ascii="仿宋_GB2312" w:hAnsi="仿宋_GB2312" w:eastAsia="仿宋_GB2312"/>
          <w:b/>
        </w:rPr>
        <w:t>与年初预算相比,</w:t>
      </w:r>
      <w:r>
        <w:rPr>
          <w:rFonts w:ascii="仿宋_GB2312" w:hAnsi="仿宋_GB2312" w:eastAsia="仿宋_GB2312"/>
        </w:rPr>
        <w:t>年初预算数4,722.13万元，决算数4,851.09万元，预决算差异率2.73%，主要原因是：年中追加人员工资、社保、公积金基数调增部分资金，导致预决算存在差异。</w:t>
      </w:r>
    </w:p>
    <w:p>
      <w:pPr>
        <w:spacing w:line="640" w:lineRule="exact"/>
        <w:ind w:firstLine="640"/>
        <w:outlineLvl w:val="3"/>
      </w:pPr>
      <w:r>
        <w:rPr>
          <w:rFonts w:ascii="楷体_GB2312" w:hAnsi="楷体_GB2312" w:eastAsia="楷体_GB2312"/>
          <w:b/>
        </w:rPr>
        <w:t>（二）一般公共预算财政拨款支出决算结构情况</w:t>
      </w:r>
    </w:p>
    <w:p>
      <w:pPr>
        <w:spacing w:line="580" w:lineRule="exact"/>
        <w:ind w:firstLine="640"/>
      </w:pPr>
      <w:r>
        <w:rPr>
          <w:rFonts w:ascii="仿宋_GB2312" w:hAnsi="仿宋_GB2312" w:eastAsia="仿宋_GB2312"/>
        </w:rPr>
        <w:t>1.一般公共服务支出(类)3,253.16万元,占67.06%。</w:t>
      </w:r>
    </w:p>
    <w:p>
      <w:pPr>
        <w:spacing w:line="580" w:lineRule="exact"/>
        <w:ind w:firstLine="640"/>
        <w:rPr>
          <w:rFonts w:ascii="仿宋_GB2312" w:hAnsi="仿宋_GB2312" w:eastAsia="仿宋_GB2312"/>
          <w:color w:val="4F81BD" w:themeColor="accent1"/>
          <w14:textFill>
            <w14:solidFill>
              <w14:schemeClr w14:val="accent1"/>
            </w14:solidFill>
          </w14:textFill>
        </w:rPr>
      </w:pPr>
      <w:r>
        <w:rPr>
          <w:rFonts w:ascii="仿宋_GB2312" w:hAnsi="仿宋_GB2312" w:eastAsia="仿宋_GB2312"/>
        </w:rPr>
        <w:t>2.社会保障和就业支出(类)436.61万元,占9.00%。</w:t>
      </w:r>
      <w:r>
        <w:rPr>
          <w:rFonts w:hint="eastAsia" w:ascii="仿宋_GB2312" w:hAnsi="仿宋_GB2312" w:eastAsia="仿宋_GB2312"/>
        </w:rPr>
        <w:t xml:space="preserve">  </w:t>
      </w:r>
    </w:p>
    <w:p>
      <w:pPr>
        <w:spacing w:line="580" w:lineRule="exact"/>
        <w:ind w:firstLine="640"/>
        <w:rPr>
          <w:rFonts w:ascii="仿宋_GB2312" w:hAnsi="仿宋_GB2312" w:eastAsia="仿宋_GB2312"/>
          <w:color w:val="4F81BD" w:themeColor="accent1"/>
          <w14:textFill>
            <w14:solidFill>
              <w14:schemeClr w14:val="accent1"/>
            </w14:solidFill>
          </w14:textFill>
        </w:rPr>
      </w:pPr>
      <w:r>
        <w:rPr>
          <w:rFonts w:ascii="仿宋_GB2312" w:hAnsi="仿宋_GB2312" w:eastAsia="仿宋_GB2312"/>
          <w:color w:val="4F81BD" w:themeColor="accent1"/>
          <w14:textFill>
            <w14:solidFill>
              <w14:schemeClr w14:val="accent1"/>
            </w14:solidFill>
          </w14:textFill>
        </w:rPr>
        <w:t>3.卫生健康支出(类)158.7</w:t>
      </w:r>
      <w:r>
        <w:rPr>
          <w:rFonts w:hint="eastAsia" w:ascii="仿宋_GB2312" w:hAnsi="仿宋_GB2312" w:eastAsia="仿宋_GB2312"/>
          <w:color w:val="4F81BD" w:themeColor="accent1"/>
          <w14:textFill>
            <w14:solidFill>
              <w14:schemeClr w14:val="accent1"/>
            </w14:solidFill>
          </w14:textFill>
        </w:rPr>
        <w:t>5</w:t>
      </w:r>
      <w:r>
        <w:rPr>
          <w:rFonts w:ascii="仿宋_GB2312" w:hAnsi="仿宋_GB2312" w:eastAsia="仿宋_GB2312"/>
          <w:color w:val="4F81BD" w:themeColor="accent1"/>
          <w14:textFill>
            <w14:solidFill>
              <w14:schemeClr w14:val="accent1"/>
            </w14:solidFill>
          </w14:textFill>
        </w:rPr>
        <w:t>万元,占3.27%。</w:t>
      </w:r>
    </w:p>
    <w:p>
      <w:pPr>
        <w:spacing w:line="580" w:lineRule="exact"/>
        <w:ind w:firstLine="640"/>
      </w:pPr>
      <w:r>
        <w:rPr>
          <w:rFonts w:ascii="仿宋_GB2312" w:hAnsi="仿宋_GB2312" w:eastAsia="仿宋_GB2312"/>
        </w:rPr>
        <w:t>4.城乡社区支出(类)599.98万元,占12.37%。</w:t>
      </w:r>
    </w:p>
    <w:p>
      <w:pPr>
        <w:spacing w:line="580" w:lineRule="exact"/>
        <w:ind w:firstLine="640"/>
      </w:pPr>
      <w:r>
        <w:rPr>
          <w:rFonts w:ascii="仿宋_GB2312" w:hAnsi="仿宋_GB2312" w:eastAsia="仿宋_GB2312"/>
        </w:rPr>
        <w:t>5.住房保障支出(类)255.97万元,占5.28%。</w:t>
      </w:r>
    </w:p>
    <w:p>
      <w:pPr>
        <w:spacing w:line="580" w:lineRule="exact"/>
        <w:ind w:firstLine="640"/>
      </w:pPr>
      <w:r>
        <w:rPr>
          <w:rFonts w:ascii="仿宋_GB2312" w:hAnsi="仿宋_GB2312" w:eastAsia="仿宋_GB2312"/>
        </w:rPr>
        <w:t>6.其他支出(类)146.62万元,占3.02%。</w:t>
      </w:r>
    </w:p>
    <w:p>
      <w:pPr>
        <w:spacing w:line="640" w:lineRule="exact"/>
        <w:ind w:firstLine="640"/>
        <w:outlineLvl w:val="3"/>
      </w:pPr>
      <w:r>
        <w:rPr>
          <w:rFonts w:ascii="楷体_GB2312" w:hAnsi="楷体_GB2312" w:eastAsia="楷体_GB2312"/>
          <w:b/>
        </w:rPr>
        <w:t>（三）一般公共预算财政拨款支出决算具体情况</w:t>
      </w:r>
    </w:p>
    <w:p>
      <w:pPr>
        <w:spacing w:line="580" w:lineRule="exact"/>
        <w:ind w:firstLine="640"/>
      </w:pPr>
      <w:r>
        <w:rPr>
          <w:rFonts w:ascii="仿宋_GB2312" w:hAnsi="仿宋_GB2312" w:eastAsia="仿宋_GB2312"/>
        </w:rPr>
        <w:t>1.一般公共服务支出(类)政府办公厅（室）及相关机构事务(款)行政运行(项):支出决算数为3,189.86万元，比上年决算减少800.35万元，下降20.06%,主要原因是：本年减少聘用人员工资，导致人员经费较上年减少。</w:t>
      </w:r>
    </w:p>
    <w:p>
      <w:pPr>
        <w:spacing w:line="580" w:lineRule="exact"/>
        <w:ind w:firstLine="640"/>
      </w:pPr>
      <w:r>
        <w:rPr>
          <w:rFonts w:ascii="仿宋_GB2312" w:hAnsi="仿宋_GB2312" w:eastAsia="仿宋_GB2312"/>
        </w:rPr>
        <w:t>2.一般公共服务支出(类)纪检监察事务(款)其他纪检监察事务支出(项):支出决算数为2.00万元，比上年决算增加0.50万元，增长33.33%,主要原因是：本年增加中央政法纪检监察转移支付资金项目（装备费），导致相关经费增加。</w:t>
      </w:r>
    </w:p>
    <w:p>
      <w:pPr>
        <w:spacing w:line="580" w:lineRule="exact"/>
        <w:ind w:firstLine="640"/>
        <w:rPr>
          <w:rFonts w:ascii="仿宋_GB2312" w:hAnsi="仿宋_GB2312" w:eastAsia="仿宋_GB2312"/>
        </w:rPr>
      </w:pPr>
      <w:r>
        <w:rPr>
          <w:rFonts w:ascii="仿宋_GB2312" w:hAnsi="仿宋_GB2312" w:eastAsia="仿宋_GB2312"/>
        </w:rPr>
        <w:t>3.一般公共服务支出(类)组织事务(款)其他组织事务支出(项):支出决算数为61.30万元，比上年决算增加37.92万元，增长162.19%,主要原因是：本年增加基层组织建设项目</w:t>
      </w:r>
      <w:r>
        <w:rPr>
          <w:rFonts w:hint="eastAsia" w:ascii="仿宋_GB2312" w:hAnsi="仿宋_GB2312" w:eastAsia="仿宋_GB2312"/>
        </w:rPr>
        <w:t>资金</w:t>
      </w:r>
      <w:r>
        <w:rPr>
          <w:rFonts w:ascii="仿宋_GB2312" w:hAnsi="仿宋_GB2312" w:eastAsia="仿宋_GB2312"/>
        </w:rPr>
        <w:t>，导致相关经费增加。</w:t>
      </w:r>
    </w:p>
    <w:p>
      <w:pPr>
        <w:spacing w:line="580" w:lineRule="exact"/>
        <w:ind w:firstLine="640"/>
      </w:pPr>
      <w:r>
        <w:rPr>
          <w:rFonts w:ascii="仿宋_GB2312" w:hAnsi="仿宋_GB2312" w:eastAsia="仿宋_GB2312"/>
        </w:rPr>
        <w:t>4.社会保障和就业支出(类)行政事业单位养老支出(款)行政单位离退休(项):支出决算数为46.02万元，比上年决算增加13.56万元，增长41.77%,主要原因是：本年补发退休人员绩效，导致退休费较上年增加。</w:t>
      </w:r>
    </w:p>
    <w:p>
      <w:pPr>
        <w:spacing w:line="580" w:lineRule="exact"/>
        <w:ind w:firstLine="640"/>
      </w:pPr>
      <w:r>
        <w:rPr>
          <w:rFonts w:ascii="仿宋_GB2312" w:hAnsi="仿宋_GB2312" w:eastAsia="仿宋_GB2312"/>
        </w:rPr>
        <w:t>5.社会保障和就业支出(类)行政事业单位养老支出(款)机关事业单位基本养老保险缴费支出(项):支出决算数为314.38万元，比上年决算增加16.43万元，增长5.51%,主要原因是：本年在职人员工资基数调增，养老缴费基数上涨，相应支出增加。</w:t>
      </w:r>
    </w:p>
    <w:p>
      <w:pPr>
        <w:spacing w:line="580" w:lineRule="exact"/>
        <w:ind w:firstLine="640"/>
      </w:pPr>
      <w:r>
        <w:rPr>
          <w:rFonts w:ascii="仿宋_GB2312" w:hAnsi="仿宋_GB2312" w:eastAsia="仿宋_GB2312"/>
        </w:rPr>
        <w:t>6.社会保障和就业支出(类)行政事业单位养老支出(款)机关事业单位职业年金缴费支出(项):支出决算数为66.2</w:t>
      </w:r>
      <w:r>
        <w:rPr>
          <w:rFonts w:hint="eastAsia" w:ascii="仿宋_GB2312" w:hAnsi="仿宋_GB2312" w:eastAsia="仿宋_GB2312"/>
        </w:rPr>
        <w:t>1</w:t>
      </w:r>
      <w:r>
        <w:rPr>
          <w:rFonts w:ascii="仿宋_GB2312" w:hAnsi="仿宋_GB2312" w:eastAsia="仿宋_GB2312"/>
        </w:rPr>
        <w:t>万元，比上年决算增加54.2</w:t>
      </w:r>
      <w:r>
        <w:rPr>
          <w:rFonts w:hint="eastAsia" w:ascii="仿宋_GB2312" w:hAnsi="仿宋_GB2312" w:eastAsia="仿宋_GB2312"/>
        </w:rPr>
        <w:t>8</w:t>
      </w:r>
      <w:r>
        <w:rPr>
          <w:rFonts w:ascii="仿宋_GB2312" w:hAnsi="仿宋_GB2312" w:eastAsia="仿宋_GB2312"/>
        </w:rPr>
        <w:t>万元，增长455.84%,主要原因是：本年新增调出人员，职业年金缴费支出增加。</w:t>
      </w:r>
    </w:p>
    <w:p>
      <w:pPr>
        <w:spacing w:line="580" w:lineRule="exact"/>
        <w:ind w:firstLine="640"/>
      </w:pPr>
      <w:r>
        <w:rPr>
          <w:rFonts w:ascii="仿宋_GB2312" w:hAnsi="仿宋_GB2312" w:eastAsia="仿宋_GB2312"/>
        </w:rPr>
        <w:t>7.社会保障和就业支出(类)临时救助(款)临时救助支出(项):支出决算数为10.00万元，比上年决算减少85.51万元，下降89.53%,主要原因是：本年减少困难群众救助补助项目，导致经费减少。</w:t>
      </w:r>
    </w:p>
    <w:p>
      <w:pPr>
        <w:spacing w:line="580" w:lineRule="exact"/>
        <w:ind w:firstLine="640"/>
      </w:pPr>
      <w:r>
        <w:rPr>
          <w:rFonts w:ascii="仿宋_GB2312" w:hAnsi="仿宋_GB2312" w:eastAsia="仿宋_GB2312"/>
        </w:rPr>
        <w:t>8.卫生健康支出(类)行政事业单位医疗(款)行政单位医疗(项):支出决算数为133.61万元，比上年决算增加6.49万元，增长5.11%,主要原因是：本年在职人员工资基数调增，医疗缴费基数上涨，相应支出增加。</w:t>
      </w:r>
    </w:p>
    <w:p>
      <w:pPr>
        <w:spacing w:line="580" w:lineRule="exact"/>
        <w:ind w:firstLine="640"/>
      </w:pPr>
      <w:r>
        <w:rPr>
          <w:rFonts w:ascii="仿宋_GB2312" w:hAnsi="仿宋_GB2312" w:eastAsia="仿宋_GB2312"/>
        </w:rPr>
        <w:t>9.卫生健康支出(类)行政事业单位医疗(款)公务员医疗补助(项):支出决算数为25.14万元，比上年决算增加2.21万元，增长9.64%,主要原因是：本年在职人员工资基数调增，医疗缴费基数上涨，相应支出增加。</w:t>
      </w:r>
    </w:p>
    <w:p>
      <w:pPr>
        <w:spacing w:line="580" w:lineRule="exact"/>
        <w:ind w:firstLine="640"/>
      </w:pPr>
      <w:r>
        <w:rPr>
          <w:rFonts w:ascii="仿宋_GB2312" w:hAnsi="仿宋_GB2312" w:eastAsia="仿宋_GB2312"/>
        </w:rPr>
        <w:t>10.城乡社区支出(类)城乡社区公共设施(款)其他城乡社区公共设施支出(项):支出决算数为599.98万元，比上年决算增加599.98万元，增长100.00%,主要原因是：本年度新增喀什地区麦盖提县2024年社区综合服务设施建设项目，导致该经费增加。</w:t>
      </w:r>
    </w:p>
    <w:p>
      <w:pPr>
        <w:spacing w:line="580" w:lineRule="exact"/>
        <w:ind w:firstLine="640"/>
      </w:pPr>
      <w:r>
        <w:rPr>
          <w:rFonts w:ascii="仿宋_GB2312" w:hAnsi="仿宋_GB2312" w:eastAsia="仿宋_GB2312"/>
        </w:rPr>
        <w:t>11.住房保障支出(类)住房改革支出(款)住房公积金(项):支出决算数为255.97万元，比上年决算增加32.47万元，增长14.53%,主要原因是：本年在职人员工资基数调增，公积金缴费基数上涨，相应支出增加。</w:t>
      </w:r>
    </w:p>
    <w:p>
      <w:pPr>
        <w:spacing w:line="580" w:lineRule="exact"/>
        <w:ind w:firstLine="640"/>
      </w:pPr>
      <w:r>
        <w:rPr>
          <w:rFonts w:ascii="仿宋_GB2312" w:hAnsi="仿宋_GB2312" w:eastAsia="仿宋_GB2312"/>
        </w:rPr>
        <w:t>12.其他支出(类)其他支出(款)其他支出(项):支出决算数为146.62万元，比上年决算减少117.86万元，下降44.56%,主要原因是：本年减少麦盖提县麦盖提镇人民路社区综合服务设施建设项目、麦盖提县麦盖提镇新时代社区综合服务设施建设项目，导致经费较上年减少。</w:t>
      </w:r>
    </w:p>
    <w:p>
      <w:pPr>
        <w:spacing w:line="640" w:lineRule="exact"/>
        <w:ind w:firstLine="640"/>
        <w:outlineLvl w:val="2"/>
      </w:pPr>
      <w:r>
        <w:rPr>
          <w:rFonts w:ascii="黑体" w:hAnsi="黑体" w:eastAsia="黑体"/>
        </w:rPr>
        <w:t>六、一般公共预算财政拨款基本支出决算情况说明</w:t>
      </w:r>
    </w:p>
    <w:p>
      <w:pPr>
        <w:spacing w:line="580" w:lineRule="exact"/>
        <w:ind w:firstLine="640"/>
      </w:pPr>
      <w:r>
        <w:rPr>
          <w:rFonts w:ascii="仿宋_GB2312" w:hAnsi="仿宋_GB2312" w:eastAsia="仿宋_GB2312"/>
        </w:rPr>
        <w:t>2024年度一般公共预算财政拨款基本支出4,031.19万元，其中：</w:t>
      </w:r>
      <w:r>
        <w:rPr>
          <w:rFonts w:ascii="仿宋_GB2312" w:hAnsi="仿宋_GB2312" w:eastAsia="仿宋_GB2312"/>
          <w:b/>
        </w:rPr>
        <w:t>人员经费3,584.83万元，</w:t>
      </w:r>
      <w:r>
        <w:rPr>
          <w:rFonts w:ascii="仿宋_GB2312" w:hAnsi="仿宋_GB2312" w:eastAsia="仿宋_GB231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pPr>
      <w:r>
        <w:rPr>
          <w:rFonts w:ascii="仿宋_GB2312" w:hAnsi="仿宋_GB2312" w:eastAsia="仿宋_GB2312"/>
          <w:b/>
        </w:rPr>
        <w:t>公用经费446.36万元，</w:t>
      </w:r>
      <w:r>
        <w:rPr>
          <w:rFonts w:ascii="仿宋_GB2312" w:hAnsi="仿宋_GB2312" w:eastAsia="仿宋_GB2312"/>
        </w:rPr>
        <w:t>包括：办公费、印刷费、水费、电费、邮电费、取暖费、差旅费、维修（护）费、租赁费、专用材料费、委托业务费、公务用车运行维护费、其他商品和服务支出。</w:t>
      </w:r>
    </w:p>
    <w:p>
      <w:pPr>
        <w:spacing w:line="640" w:lineRule="exact"/>
        <w:ind w:firstLine="640"/>
        <w:outlineLvl w:val="2"/>
      </w:pPr>
      <w:r>
        <w:rPr>
          <w:rFonts w:ascii="黑体" w:hAnsi="黑体" w:eastAsia="黑体"/>
        </w:rPr>
        <w:t>七、政府性基金预算财政拨款收入支出决算情况说明</w:t>
      </w:r>
    </w:p>
    <w:p>
      <w:pPr>
        <w:spacing w:line="580" w:lineRule="exact"/>
        <w:ind w:firstLine="640"/>
      </w:pPr>
      <w:r>
        <w:rPr>
          <w:rFonts w:ascii="仿宋_GB2312" w:hAnsi="仿宋_GB2312" w:eastAsia="仿宋_GB2312"/>
          <w:b/>
        </w:rPr>
        <w:t>2024年度政府性基金预算财政拨款收入总计37.25万元，</w:t>
      </w:r>
      <w:r>
        <w:rPr>
          <w:rFonts w:ascii="仿宋_GB2312" w:hAnsi="仿宋_GB2312" w:eastAsia="仿宋_GB2312"/>
        </w:rPr>
        <w:t>其中：年初结转和结余0.00万元，本年收入37.25万元。</w:t>
      </w:r>
      <w:r>
        <w:rPr>
          <w:rFonts w:ascii="仿宋_GB2312" w:hAnsi="仿宋_GB2312" w:eastAsia="仿宋_GB2312"/>
          <w:b/>
        </w:rPr>
        <w:t>政府性基金预算财政拨款支出总计37.25万元，</w:t>
      </w:r>
      <w:r>
        <w:rPr>
          <w:rFonts w:ascii="仿宋_GB2312" w:hAnsi="仿宋_GB2312" w:eastAsia="仿宋_GB2312"/>
        </w:rPr>
        <w:t>其中：年末结转和结余0.00万元，本年支出37.25万元。</w:t>
      </w:r>
    </w:p>
    <w:p>
      <w:pPr>
        <w:spacing w:line="580" w:lineRule="exact"/>
        <w:ind w:firstLine="640"/>
      </w:pPr>
      <w:r>
        <w:rPr>
          <w:rFonts w:ascii="仿宋_GB2312" w:hAnsi="仿宋_GB2312" w:eastAsia="仿宋_GB2312"/>
          <w:b/>
        </w:rPr>
        <w:t>政府性基金预算财政拨款收入支出总体与上年相比，</w:t>
      </w:r>
      <w:r>
        <w:rPr>
          <w:rFonts w:ascii="仿宋_GB2312" w:hAnsi="仿宋_GB2312" w:eastAsia="仿宋_GB2312"/>
        </w:rPr>
        <w:t>增加29.25万元，增长365.62%，主要原因是：本年增加麦盖提县老年人助餐“金色晚霞”服务示范项目、2024年中央专项彩票公益金支持喀什地区老年助餐设施设备一次性补助示范项目（新时代（21）社区）项目经费，导致经费增加。</w:t>
      </w:r>
      <w:r>
        <w:rPr>
          <w:rFonts w:ascii="仿宋_GB2312" w:hAnsi="仿宋_GB2312" w:eastAsia="仿宋_GB2312"/>
          <w:b/>
        </w:rPr>
        <w:t>与年初预算相比，</w:t>
      </w:r>
      <w:r>
        <w:rPr>
          <w:rFonts w:ascii="仿宋_GB2312" w:hAnsi="仿宋_GB2312" w:eastAsia="仿宋_GB2312"/>
        </w:rPr>
        <w:t>年初预算数8.00万元，决算数37.25万元，预决算差异率365.63%，主要原因是：年中追加麦盖提县老年人助餐“金色晚霞”服务示范项目、2024年中央专项彩票公益金支持喀什地区老年助餐设施设备一次性补助示范项目（新时代（21）社区）项目，导致预决算存在差异。</w:t>
      </w:r>
    </w:p>
    <w:p>
      <w:pPr>
        <w:spacing w:line="580" w:lineRule="exact"/>
        <w:ind w:firstLine="640"/>
      </w:pPr>
      <w:r>
        <w:rPr>
          <w:rFonts w:ascii="仿宋_GB2312" w:hAnsi="仿宋_GB2312" w:eastAsia="仿宋_GB2312"/>
        </w:rPr>
        <w:t>政府性基金预算财政拨款支出37.25万元。</w:t>
      </w:r>
    </w:p>
    <w:p>
      <w:pPr>
        <w:spacing w:line="580" w:lineRule="exact"/>
        <w:ind w:firstLine="640"/>
      </w:pPr>
      <w:r>
        <w:rPr>
          <w:rFonts w:ascii="仿宋_GB2312" w:hAnsi="仿宋_GB2312" w:eastAsia="仿宋_GB2312"/>
        </w:rPr>
        <w:t>1.其他支出(类)彩票公益金安排的支出(款)用于社会福利的彩票公益金支出(项):支出决算数为37.25万元，比上年决算增加29.25万元，增长365.62%,主要原因是：本年增加麦盖提县老年人助餐“金色晚霞”服务示范项目、2024年中央专项彩票公益金支持喀什地区老年助餐设施设备一次性补助示范项目（新时代（21）社区）项目经费，导致经费增加。</w:t>
      </w:r>
    </w:p>
    <w:p>
      <w:pPr>
        <w:spacing w:line="640" w:lineRule="exact"/>
        <w:ind w:firstLine="640"/>
        <w:outlineLvl w:val="2"/>
      </w:pPr>
      <w:r>
        <w:rPr>
          <w:rFonts w:ascii="黑体" w:hAnsi="黑体" w:eastAsia="黑体"/>
        </w:rPr>
        <w:t>八、国有资本经营预算财政拨款收入支出决算情况说明</w:t>
      </w:r>
    </w:p>
    <w:p>
      <w:pPr>
        <w:spacing w:line="580" w:lineRule="exact"/>
        <w:ind w:firstLine="640"/>
      </w:pPr>
      <w:r>
        <w:rPr>
          <w:rFonts w:ascii="仿宋_GB2312" w:hAnsi="仿宋_GB2312" w:eastAsia="仿宋_GB2312"/>
          <w:b/>
        </w:rPr>
        <w:t>2024年度国有资本经营预算财政拨款收入总计1.61万元，</w:t>
      </w:r>
      <w:r>
        <w:rPr>
          <w:rFonts w:ascii="仿宋_GB2312" w:hAnsi="仿宋_GB2312" w:eastAsia="仿宋_GB2312"/>
        </w:rPr>
        <w:t>其中：年初结转和结余0.00万元，本年收入1.61万元。</w:t>
      </w:r>
      <w:r>
        <w:rPr>
          <w:rFonts w:ascii="仿宋_GB2312" w:hAnsi="仿宋_GB2312" w:eastAsia="仿宋_GB2312"/>
          <w:b/>
        </w:rPr>
        <w:t>国有资本经营预算财政拨款支出总计1.61万元，</w:t>
      </w:r>
      <w:r>
        <w:rPr>
          <w:rFonts w:ascii="仿宋_GB2312" w:hAnsi="仿宋_GB2312" w:eastAsia="仿宋_GB2312"/>
        </w:rPr>
        <w:t>其中：年末结转和结余0.00万元，本年支出1.61万元。</w:t>
      </w:r>
    </w:p>
    <w:p>
      <w:pPr>
        <w:spacing w:line="580" w:lineRule="exact"/>
        <w:ind w:firstLine="640"/>
      </w:pPr>
      <w:r>
        <w:rPr>
          <w:rFonts w:ascii="仿宋_GB2312" w:hAnsi="仿宋_GB2312" w:eastAsia="仿宋_GB2312"/>
          <w:b/>
        </w:rPr>
        <w:t>国有资本经营预算财政拨款收入支出与上年相比，</w:t>
      </w:r>
      <w:r>
        <w:rPr>
          <w:rFonts w:ascii="仿宋_GB2312" w:hAnsi="仿宋_GB2312" w:eastAsia="仿宋_GB2312"/>
        </w:rPr>
        <w:t>增加0.00万元，增长0.00%，主要原因是：与上年一致，无差异。</w:t>
      </w:r>
      <w:r>
        <w:rPr>
          <w:rFonts w:ascii="仿宋_GB2312" w:hAnsi="仿宋_GB2312" w:eastAsia="仿宋_GB2312"/>
          <w:b/>
        </w:rPr>
        <w:t>与年初预算相比，</w:t>
      </w:r>
      <w:r>
        <w:rPr>
          <w:rFonts w:ascii="仿宋_GB2312" w:hAnsi="仿宋_GB2312" w:eastAsia="仿宋_GB2312"/>
        </w:rPr>
        <w:t>年初预算数1.61万元，决算数1.61万元，预决算差异率0.00%，主要原因是：预决算一致，无差异。</w:t>
      </w:r>
    </w:p>
    <w:p>
      <w:pPr>
        <w:spacing w:line="580" w:lineRule="exact"/>
        <w:ind w:firstLine="640"/>
      </w:pPr>
      <w:r>
        <w:rPr>
          <w:rFonts w:ascii="仿宋_GB2312" w:hAnsi="仿宋_GB2312" w:eastAsia="仿宋_GB2312"/>
        </w:rPr>
        <w:t>国有资本经营预算财政拨款支出1.61万元。</w:t>
      </w:r>
    </w:p>
    <w:p>
      <w:pPr>
        <w:spacing w:line="580" w:lineRule="exact"/>
        <w:ind w:firstLine="640"/>
      </w:pPr>
      <w:r>
        <w:rPr>
          <w:rFonts w:ascii="仿宋_GB2312" w:hAnsi="仿宋_GB2312" w:eastAsia="仿宋_GB2312"/>
        </w:rPr>
        <w:t>1.国有资本经营预算支出(类)解决历史遗留问题及改革成本支出(款)国有企业退休人员社会化管理补助支出(项):支出决算数为1.61万元，比上年决算增加0.00万元，增长0.00%,主要原因是：与上年一致，无差异。</w:t>
      </w:r>
    </w:p>
    <w:p>
      <w:pPr>
        <w:spacing w:line="640" w:lineRule="exact"/>
        <w:ind w:firstLine="640"/>
        <w:outlineLvl w:val="2"/>
      </w:pPr>
      <w:r>
        <w:rPr>
          <w:rFonts w:ascii="黑体" w:hAnsi="黑体" w:eastAsia="黑体"/>
        </w:rPr>
        <w:t>九、财政拨款“三公”经费支出决算情况说明</w:t>
      </w:r>
    </w:p>
    <w:p>
      <w:pPr>
        <w:spacing w:line="580" w:lineRule="exact"/>
        <w:ind w:firstLine="640"/>
      </w:pPr>
      <w:r>
        <w:rPr>
          <w:rFonts w:ascii="仿宋_GB2312" w:hAnsi="仿宋_GB2312" w:eastAsia="仿宋_GB2312"/>
          <w:b/>
        </w:rPr>
        <w:t>2024年度财政拨款“三公”经费支出7.08万元，</w:t>
      </w:r>
      <w:r>
        <w:rPr>
          <w:rFonts w:ascii="仿宋_GB2312" w:hAnsi="仿宋_GB2312" w:eastAsia="仿宋_GB2312"/>
        </w:rPr>
        <w:t>比上年增加0.43万元，增长6.47%，主要原因是：本单位公务用车日渐老化，维修维护成本增加，导致公务用车运行维护费较上年增加</w:t>
      </w:r>
      <w:r>
        <w:rPr>
          <w:rFonts w:hint="eastAsia" w:ascii="仿宋_GB2312" w:hAnsi="仿宋_GB2312" w:eastAsia="仿宋_GB2312"/>
        </w:rPr>
        <w:t>。</w:t>
      </w:r>
      <w:r>
        <w:rPr>
          <w:rFonts w:ascii="仿宋_GB2312" w:hAnsi="仿宋_GB2312" w:eastAsia="仿宋_GB2312"/>
        </w:rPr>
        <w:t>其中：因公出国（境）费支出0.00万元，占0.00%，比上年增加0.00万元，增长0.00%，主要原因是：2023年与2024年均未安排因公出国（境）费支出。公务用车购置及运行维护费支出7.08万元，占100.00%，比上年增加0.43万元，增长6.47%，主要原因是：本年车辆使用次数增加，车辆老化，导致燃油费、维修维护费等增加。公务接待费支出0.00万元，占0.00%，比上年增加0.00万元，增长0.00%，主要原因是：2023年与2024年均未安排公务接待费支出。</w:t>
      </w:r>
    </w:p>
    <w:p>
      <w:pPr>
        <w:spacing w:line="580" w:lineRule="exact"/>
        <w:ind w:firstLine="640"/>
      </w:pPr>
      <w:r>
        <w:rPr>
          <w:rFonts w:ascii="仿宋_GB2312" w:hAnsi="仿宋_GB2312" w:eastAsia="仿宋_GB2312"/>
          <w:b/>
        </w:rPr>
        <w:t>具体情况如下：</w:t>
      </w:r>
    </w:p>
    <w:p>
      <w:pPr>
        <w:spacing w:line="580" w:lineRule="exact"/>
        <w:ind w:firstLine="640"/>
      </w:pPr>
      <w:r>
        <w:rPr>
          <w:rFonts w:ascii="仿宋_GB2312" w:hAnsi="仿宋_GB2312" w:eastAsia="仿宋_GB2312"/>
        </w:rPr>
        <w:t>因公出国（境）费支出0.00万元，开支内容包括本单位无因公出国（境）费。单位全年安排的因公出国（境）团组0个，因公出国（境）0人次。</w:t>
      </w:r>
    </w:p>
    <w:p>
      <w:pPr>
        <w:spacing w:line="580" w:lineRule="exact"/>
        <w:ind w:firstLine="640"/>
      </w:pPr>
      <w:r>
        <w:rPr>
          <w:rFonts w:ascii="仿宋_GB2312" w:hAnsi="仿宋_GB2312" w:eastAsia="仿宋_GB2312"/>
        </w:rPr>
        <w:t>公务用车购置及运行维护费7.08万元，其中：公务用车购置费0.00万元，公务用车运行维护费7.08万元。公务用车运行维护费开支内容包括车辆燃油费、保险费、维修维护费。公务用车购置数0辆，公务用车保有量6辆。国有资产占用情况中固定资产车辆6辆，与公务用车保有量差异原因是：本单位固定资产车辆与公务用车保有</w:t>
      </w:r>
      <w:r>
        <w:rPr>
          <w:rFonts w:ascii="仿宋_GB2312" w:hAnsi="仿宋_GB2312" w:eastAsia="仿宋_GB2312"/>
          <w:color w:val="4F81BD" w:themeColor="accent1"/>
          <w14:textFill>
            <w14:solidFill>
              <w14:schemeClr w14:val="accent1"/>
            </w14:solidFill>
          </w14:textFill>
        </w:rPr>
        <w:t>量一致</w:t>
      </w:r>
      <w:r>
        <w:rPr>
          <w:rFonts w:hint="eastAsia" w:ascii="仿宋_GB2312" w:hAnsi="仿宋_GB2312" w:eastAsia="仿宋_GB2312"/>
          <w:color w:val="4F81BD" w:themeColor="accent1"/>
          <w14:textFill>
            <w14:solidFill>
              <w14:schemeClr w14:val="accent1"/>
            </w14:solidFill>
          </w14:textFill>
        </w:rPr>
        <w:t>,</w:t>
      </w:r>
      <w:r>
        <w:rPr>
          <w:rFonts w:ascii="仿宋_GB2312" w:hAnsi="仿宋_GB2312" w:eastAsia="仿宋_GB2312"/>
          <w:color w:val="4F81BD" w:themeColor="accent1"/>
          <w14:textFill>
            <w14:solidFill>
              <w14:schemeClr w14:val="accent1"/>
            </w14:solidFill>
          </w14:textFill>
        </w:rPr>
        <w:t>无差异。</w:t>
      </w:r>
    </w:p>
    <w:p>
      <w:pPr>
        <w:spacing w:line="580" w:lineRule="exact"/>
        <w:ind w:firstLine="640"/>
      </w:pPr>
      <w:r>
        <w:rPr>
          <w:rFonts w:ascii="仿宋_GB2312" w:hAnsi="仿宋_GB2312" w:eastAsia="仿宋_GB2312"/>
        </w:rPr>
        <w:t>公务接待费0.00万元，开支内容包括本单位无公务接待费。单位全年安排的国内公务接待0批次，0人次。</w:t>
      </w:r>
    </w:p>
    <w:p>
      <w:pPr>
        <w:spacing w:line="580" w:lineRule="exact"/>
        <w:ind w:firstLine="640"/>
      </w:pPr>
      <w:r>
        <w:rPr>
          <w:rFonts w:ascii="仿宋_GB2312" w:hAnsi="仿宋_GB2312" w:eastAsia="仿宋_GB2312"/>
          <w:b/>
        </w:rPr>
        <w:t>与全年预算相比，</w:t>
      </w:r>
      <w:r>
        <w:rPr>
          <w:rFonts w:ascii="仿宋_GB2312" w:hAnsi="仿宋_GB2312" w:eastAsia="仿宋_GB2312"/>
        </w:rPr>
        <w:t>财政拨款“三公”经费支出全年预算数7.08万元，决算数7.08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7.08万元，决算数7.08万元，预决算差异率0.00%，主要原因是：严格按照预算执行，预决算无差异。公务接待费全年预算数0.00万元，决算数0.00万元，预决算差异率0.00%，主要原因是：本单位无公务接待费。</w:t>
      </w:r>
    </w:p>
    <w:p>
      <w:pPr>
        <w:spacing w:line="640" w:lineRule="exact"/>
        <w:ind w:firstLine="640"/>
        <w:outlineLvl w:val="2"/>
      </w:pPr>
      <w:r>
        <w:rPr>
          <w:rFonts w:ascii="黑体" w:hAnsi="黑体" w:eastAsia="黑体"/>
        </w:rPr>
        <w:t>十、其他重要事项的情况说明</w:t>
      </w:r>
    </w:p>
    <w:p>
      <w:pPr>
        <w:spacing w:line="640" w:lineRule="exact"/>
        <w:ind w:firstLine="640"/>
        <w:outlineLvl w:val="3"/>
      </w:pPr>
      <w:r>
        <w:rPr>
          <w:rFonts w:ascii="楷体_GB2312" w:hAnsi="楷体_GB2312" w:eastAsia="楷体_GB2312"/>
          <w:b/>
        </w:rPr>
        <w:t>（一）机关运行经费及公用经费支出情况</w:t>
      </w:r>
    </w:p>
    <w:p>
      <w:pPr>
        <w:spacing w:line="580" w:lineRule="exact"/>
        <w:ind w:firstLine="640"/>
      </w:pPr>
      <w:r>
        <w:rPr>
          <w:rFonts w:ascii="仿宋_GB2312" w:hAnsi="仿宋_GB2312" w:eastAsia="仿宋_GB2312"/>
        </w:rPr>
        <w:t>2024年度麦盖提县镇人民政府（行政单位和参照公务员法管理事业单位）机关运行经费支出446.36万元，比上年减少73.94万元，下降14.21%，主要原因是：本年减少办公设备购置费，导致机关运行经费较上年减少。</w:t>
      </w:r>
    </w:p>
    <w:p>
      <w:pPr>
        <w:spacing w:line="640" w:lineRule="exact"/>
        <w:ind w:firstLine="640"/>
        <w:outlineLvl w:val="3"/>
      </w:pPr>
      <w:r>
        <w:rPr>
          <w:rFonts w:ascii="楷体_GB2312" w:hAnsi="楷体_GB2312" w:eastAsia="楷体_GB2312"/>
          <w:b/>
        </w:rPr>
        <w:t>（二）政府采购情况</w:t>
      </w:r>
    </w:p>
    <w:p>
      <w:pPr>
        <w:spacing w:line="580" w:lineRule="exact"/>
        <w:ind w:firstLine="640"/>
      </w:pPr>
      <w:r>
        <w:rPr>
          <w:rFonts w:ascii="仿宋_GB2312" w:hAnsi="仿宋_GB2312" w:eastAsia="仿宋_GB2312"/>
        </w:rPr>
        <w:t>2024年度政府采购支出总额155.33万元，其中：政府采购货物支出93.57万元、政府采购工程支出56.55万元、政府采购服务支出5.20万元。</w:t>
      </w:r>
    </w:p>
    <w:p>
      <w:pPr>
        <w:spacing w:line="580" w:lineRule="exact"/>
        <w:ind w:firstLine="640"/>
      </w:pPr>
      <w:r>
        <w:rPr>
          <w:rFonts w:ascii="仿宋_GB2312" w:hAnsi="仿宋_GB2312" w:eastAsia="仿宋_GB2312"/>
        </w:rPr>
        <w:t>授予中小企业合同金额149.46万元，占政府采购支出总额的96.22%，其中：授予小微企业合同金额147.18万元，占政府采购支出总额的94.75%。</w:t>
      </w:r>
    </w:p>
    <w:p>
      <w:pPr>
        <w:spacing w:line="640" w:lineRule="exact"/>
        <w:ind w:firstLine="640"/>
        <w:outlineLvl w:val="3"/>
      </w:pPr>
      <w:r>
        <w:rPr>
          <w:rFonts w:ascii="楷体_GB2312" w:hAnsi="楷体_GB2312" w:eastAsia="楷体_GB2312"/>
          <w:b/>
        </w:rPr>
        <w:t>（三）国有资产占用情况说明</w:t>
      </w:r>
    </w:p>
    <w:p>
      <w:pPr>
        <w:spacing w:line="580" w:lineRule="exact"/>
        <w:ind w:firstLine="640"/>
      </w:pPr>
      <w:r>
        <w:rPr>
          <w:rFonts w:ascii="仿宋_GB2312" w:hAnsi="仿宋_GB2312" w:eastAsia="仿宋_GB2312"/>
        </w:rPr>
        <w:t>截至2024年12月31日，房屋41,873.47平方米，价值8,017.65万元。车辆6辆，价值42.66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2台（套）。</w:t>
      </w:r>
    </w:p>
    <w:p>
      <w:pPr>
        <w:spacing w:line="640" w:lineRule="exact"/>
        <w:ind w:firstLine="640"/>
        <w:outlineLvl w:val="2"/>
      </w:pPr>
      <w:r>
        <w:rPr>
          <w:rFonts w:ascii="黑体" w:hAnsi="黑体" w:eastAsia="黑体"/>
        </w:rPr>
        <w:t>十一、预算绩效的情况说明</w:t>
      </w:r>
    </w:p>
    <w:p>
      <w:pPr>
        <w:spacing w:line="580" w:lineRule="exact"/>
        <w:ind w:firstLine="640"/>
      </w:pPr>
      <w:r>
        <w:rPr>
          <w:rFonts w:ascii="仿宋_GB2312" w:hAnsi="仿宋_GB2312" w:eastAsia="仿宋_GB2312"/>
        </w:rPr>
        <w:t>根据预算绩效管理要求，本单位2024年度预算绩效管理形成整体支出绩效自评表1个，全年预算总额6,057.82万元，实际执行总额5,345.42万元；预算绩效评价项目7个，全年预算数1,888.86万元，全年执行数1,888.86万元。预算绩效管理取得的成效：一是国有企业退休人员社会化管理中央财政补助资金项目的实施有效保障退休人员法定权益和服务需求，整合服务资源，提高服务水平，确保退休人员享受全面建成小康社会新成果；二是麦盖提镇业务工作项目的实施有效提升了社会公众服务能力，保障了单位日常工作正常开展。三是麦盖提县麦盖提镇2023年乡村振兴示范建设项目的实施主要用于对麦盖提镇巴扎结米社区、英巴扎社区党群服务中心提升改造计划，完善社区办公议事、党员活动、教育培训、便民服务、文体娱乐等综合功能，对相关附属配套设施进行优化升级。实施乡村振兴战略，不断拓宽农民增收渠道，全面改善居民生产生活条件，促进社会公平正义，有利于增进居民扶持，让广大居民</w:t>
      </w:r>
      <w:r>
        <w:rPr>
          <w:rFonts w:hint="eastAsia" w:ascii="仿宋_GB2312" w:hAnsi="仿宋_GB2312" w:eastAsia="仿宋_GB2312"/>
        </w:rPr>
        <w:t>走上</w:t>
      </w:r>
      <w:r>
        <w:rPr>
          <w:rFonts w:ascii="仿宋_GB2312" w:hAnsi="仿宋_GB2312" w:eastAsia="仿宋_GB2312"/>
        </w:rPr>
        <w:t>共同富裕的道路，汇聚起建设社会主义现代化强国的磅礴力量。发现的问题及原因：一是预算绩效观念不深入。我单位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我单位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我单位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我单位希望邀请县财政局，针对预算资金绩效管理和相关法律法规开展培训，学习预算绩效管理的法律法规、规范要求，让绩效理念深入人心、让绩效管理人员熟知政策、知行合一。具体附整体支出绩效自评表</w:t>
      </w:r>
      <w:r>
        <w:rPr>
          <w:rFonts w:hint="eastAsia" w:ascii="仿宋_GB2312" w:hAnsi="仿宋_GB2312" w:eastAsia="仿宋_GB2312"/>
        </w:rPr>
        <w:t>和</w:t>
      </w:r>
      <w:r>
        <w:rPr>
          <w:rFonts w:ascii="仿宋_GB2312" w:hAnsi="仿宋_GB2312" w:eastAsia="仿宋_GB2312"/>
        </w:rPr>
        <w:t>项目支出绩效自评表。</w:t>
      </w:r>
    </w:p>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单位名称</w:t>
            </w:r>
          </w:p>
        </w:tc>
        <w:tc>
          <w:tcPr>
            <w:tcW w:w="7864" w:type="dxa"/>
            <w:gridSpan w:val="8"/>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部门资金（万元）</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资金来源</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预算数（调整后）</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执行数</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分值权重</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196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年度总资金：</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4,731.75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6,057.82</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5,345.42</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88.24%</w:t>
            </w:r>
          </w:p>
        </w:tc>
        <w:tc>
          <w:tcPr>
            <w:tcW w:w="196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8.82</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上级资金：</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135.61</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1,522.95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1,495.64</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96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本级资金：</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4,596.14</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4,234.87</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3,549.79</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96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其他资金：</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300.00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299.99</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96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4915" w:type="dxa"/>
            <w:gridSpan w:val="5"/>
            <w:tcBorders>
              <w:top w:val="single" w:color="auto" w:sz="10" w:space="0"/>
              <w:left w:val="single" w:color="auto" w:sz="10" w:space="0"/>
              <w:bottom w:val="single" w:color="auto" w:sz="10" w:space="0"/>
              <w:right w:val="single" w:color="auto" w:sz="10" w:space="0"/>
            </w:tcBorders>
            <w:vAlign w:val="center"/>
          </w:tcPr>
          <w:p>
            <w:pPr>
              <w:jc w:val="center"/>
              <w:rPr>
                <w:rFonts w:hint="eastAsia" w:eastAsia="宋体"/>
                <w:lang w:eastAsia="zh-CN"/>
              </w:rPr>
            </w:pPr>
            <w:r>
              <w:rPr>
                <w:rFonts w:hint="eastAsia" w:ascii="宋体" w:hAnsi="宋体"/>
                <w:sz w:val="16"/>
                <w:lang w:eastAsia="zh-CN"/>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2949" w:type="dxa"/>
            <w:gridSpan w:val="3"/>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1.本单位主要负责全镇辖区范围内安全生产工作；负责全镇范围内食品安全、药品安全工作；负责科普和科学技术推广工作；负责动植物防疫检疫工作；负责扶贫政策宣传、项目开发、技能培训，协调信贷扶贫工作；协助配合教育行政部门做好幼儿教育、九年义务教育、成人教育等工作；负责实施城乡居民就业、社会保险、卫生防疫和妇幼保健等工作；组织开展爱国卫生运动，实施城镇公共卫生管理工作；负责组织实施社会救助救济、就业、养老、优抚、残疾人等管理服务工作；组织开展各类文化体育活动</w:t>
            </w:r>
            <w:r>
              <w:rPr>
                <w:rFonts w:ascii="宋体" w:hAnsi="宋体"/>
                <w:sz w:val="16"/>
              </w:rPr>
              <w:br w:type="textWrapping"/>
            </w:r>
            <w:r>
              <w:rPr>
                <w:rFonts w:ascii="宋体" w:hAnsi="宋体"/>
                <w:sz w:val="16"/>
              </w:rPr>
              <w:t>2.负责国有企业退休人员社会化管理；</w:t>
            </w:r>
            <w:r>
              <w:rPr>
                <w:rFonts w:ascii="宋体" w:hAnsi="宋体"/>
                <w:sz w:val="16"/>
              </w:rPr>
              <w:br w:type="textWrapping"/>
            </w:r>
            <w:r>
              <w:rPr>
                <w:rFonts w:ascii="宋体" w:hAnsi="宋体"/>
                <w:sz w:val="16"/>
              </w:rPr>
              <w:t>3.完成</w:t>
            </w:r>
            <w:r>
              <w:rPr>
                <w:rFonts w:hint="eastAsia" w:ascii="宋体" w:hAnsi="宋体"/>
                <w:sz w:val="16"/>
              </w:rPr>
              <w:t>县委、县政府</w:t>
            </w:r>
            <w:r>
              <w:rPr>
                <w:rFonts w:ascii="宋体" w:hAnsi="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 年度部门整体支出绩效自评综合得分 98.8分</w:t>
            </w:r>
            <w:r>
              <w:rPr>
                <w:rFonts w:ascii="宋体" w:hAnsi="宋体"/>
                <w:color w:val="4F81BD" w:themeColor="accent1"/>
                <w:sz w:val="16"/>
                <w14:textFill>
                  <w14:solidFill>
                    <w14:schemeClr w14:val="accent1"/>
                  </w14:solidFill>
                </w14:textFill>
              </w:rPr>
              <w:t>，</w:t>
            </w:r>
            <w:r>
              <w:rPr>
                <w:rFonts w:ascii="宋体" w:hAnsi="宋体"/>
                <w:sz w:val="16"/>
              </w:rPr>
              <w:t>评价结果为“优”。我单位按照地委、行署、自治区工作安排部署要求，进一步强化了</w:t>
            </w:r>
            <w:r>
              <w:rPr>
                <w:rFonts w:hint="eastAsia" w:ascii="宋体" w:hAnsi="宋体"/>
                <w:sz w:val="16"/>
              </w:rPr>
              <w:t>社区</w:t>
            </w:r>
            <w:r>
              <w:rPr>
                <w:rFonts w:ascii="宋体" w:hAnsi="宋体"/>
                <w:sz w:val="16"/>
              </w:rPr>
              <w:t>阵地建设，不断建设了社区办公议事、党员活动、教育培训、便民服务、文体娱乐等综合功能，夯实基层党建根基，增强了对党员群众的吸引力和凝聚力，提升了社区治理能力和水平。2024年开展12次宣传教育活动，提高了群众知识水平，保障服务居民覆盖社区数21个，大力抓好就业工作，劳动力就业率达到100%，严抓安全生产，规范生产问题整改率100%，加强对国有企业退休人员和群众反映的热点问题管理，群众困难诉求解决完成率和国有企业退休人员社会化管理覆盖率达到100%。</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分值权重</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完成率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宣传教育活动次数</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&gt;=12次</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12次</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保障服务居民覆盖社区数</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&gt;=21个</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21个</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劳动力就业率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规范生产问题整改率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vMerge w:val="continue"/>
            <w:tcBorders>
              <w:top w:val="single" w:color="auto" w:sz="10" w:space="0"/>
              <w:left w:val="single" w:color="auto" w:sz="10" w:space="0"/>
              <w:bottom w:val="single" w:color="auto" w:sz="10" w:space="0"/>
              <w:right w:val="single" w:color="auto" w:sz="10" w:space="0"/>
            </w:tcBorders>
          </w:tcP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国有企业退休人员社会化管理覆盖率</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重点工作计划</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98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15</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2024年麦盖提县国有企业退休人员社会化管理补助项目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424"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160"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1.61</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792"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4424"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2024年本项目计划投资1.61万元，用于企业退休人员社会化管理补助62人，项目的实施有效保障退休人员法定权益和服务需求，整合服务资源，提高服务水平，确保退休人员享受全面建成小康社会新成果。</w:t>
            </w:r>
          </w:p>
        </w:tc>
        <w:tc>
          <w:tcPr>
            <w:tcW w:w="3792" w:type="dxa"/>
            <w:gridSpan w:val="6"/>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本项目已支出总金额为1.61万元，已用于企业退休人员社会化管理补助62人，项目的实施有效保障了退休人员法定权益和服务需求，整合服务资源，提高了服务水平，确保了退休人员享受全面建成小康社会新成果。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企业退休人员人数</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&gt;=62人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62人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=62人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资金使用合规率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下达资金及时率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项目结束时间</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=2024年6月30日前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2023年8月</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=2024年6月5日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企业退休人员社会化管理补助标准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&lt;=260元/人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260元/人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原始凭证,工作资料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=260元/人</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保障退休人员法定权益和服务需求</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按评判等级赋分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424"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160"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3"/>
        <w:gridCol w:w="608"/>
        <w:gridCol w:w="608"/>
        <w:gridCol w:w="608"/>
        <w:gridCol w:w="856"/>
        <w:gridCol w:w="608"/>
        <w:gridCol w:w="696"/>
        <w:gridCol w:w="608"/>
        <w:gridCol w:w="608"/>
        <w:gridCol w:w="616"/>
        <w:gridCol w:w="776"/>
        <w:gridCol w:w="630"/>
        <w:gridCol w:w="583"/>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2024年麦盖提县社区组织管理项目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9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37"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4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30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13"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4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30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39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13"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4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30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664.94</w:t>
            </w:r>
          </w:p>
        </w:tc>
        <w:tc>
          <w:tcPr>
            <w:tcW w:w="139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13"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4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0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16"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9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13"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9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45"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4592"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本项目投资664.94万元，用于发放社区工作人员工资及社会保障费，人数为131人，坚持政治上激励、工作上支持、待遇上保障、心理上关怀社区工作人员、让他们在促进乡村振兴中发挥作用，推动社区各项工作顺利开展，多</w:t>
            </w:r>
            <w:r>
              <w:rPr>
                <w:rFonts w:hint="eastAsia" w:ascii="宋体" w:hAnsi="宋体"/>
                <w:sz w:val="16"/>
              </w:rPr>
              <w:t>措</w:t>
            </w:r>
            <w:r>
              <w:rPr>
                <w:rFonts w:ascii="宋体" w:hAnsi="宋体"/>
                <w:sz w:val="16"/>
              </w:rPr>
              <w:t>并举保障社区各项工作正常运转。</w:t>
            </w:r>
          </w:p>
        </w:tc>
        <w:tc>
          <w:tcPr>
            <w:tcW w:w="3845" w:type="dxa"/>
            <w:gridSpan w:val="6"/>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截至绩效自评日，已发放社区聘用人员94人、公益性岗位人员28人</w:t>
            </w:r>
            <w:r>
              <w:rPr>
                <w:rFonts w:hint="eastAsia" w:ascii="宋体" w:hAnsi="宋体"/>
                <w:sz w:val="16"/>
              </w:rPr>
              <w:t>、社区其他工作人员</w:t>
            </w:r>
            <w:r>
              <w:rPr>
                <w:rFonts w:ascii="宋体" w:hAnsi="宋体"/>
                <w:sz w:val="16"/>
              </w:rPr>
              <w:t>9人补助保障费合计664.94万元，提高人员工作积极性，更好地开展社区工作，为社区居民提供高效、便捷的社区服务，推动基层社区治理能力提升，保障社区正常运转。</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08"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社区聘用人员人数</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&gt;=94人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94人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=94人</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公益性岗位人员人数</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&gt;=28人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=28人</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hint="eastAsia" w:ascii="宋体" w:hAnsi="宋体"/>
                <w:sz w:val="16"/>
              </w:rPr>
              <w:t>社区其他工作人员</w:t>
            </w:r>
            <w:r>
              <w:rPr>
                <w:rFonts w:ascii="宋体" w:hAnsi="宋体"/>
                <w:sz w:val="16"/>
              </w:rPr>
              <w:t>人数</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&gt;=9人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60人</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=9人</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资金使用合规率</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项目结束时间</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=2024年12月20日前</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2023年12月</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2024年12月20日</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08"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社区聘用人员工资及社会保障费用</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&lt;=588.12万元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570.25万元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=588.12万元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公益性岗位人员绩效费用</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&lt;=72.88万元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75.14万元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=72.88万元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hint="eastAsia" w:ascii="宋体" w:hAnsi="宋体"/>
                <w:sz w:val="16"/>
              </w:rPr>
              <w:t>社区其他工作人员</w:t>
            </w:r>
            <w:r>
              <w:rPr>
                <w:rFonts w:ascii="宋体" w:hAnsi="宋体"/>
                <w:sz w:val="16"/>
              </w:rPr>
              <w:t>工资及社会保障费</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&lt;=3.94万元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334.20万元</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=3.94万元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保障社区各项工作正常运转</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按评判等级赋分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tcBorders>
          </w:tcP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hint="eastAsia" w:ascii="宋体" w:hAnsi="宋体"/>
                <w:sz w:val="16"/>
              </w:rPr>
              <w:t>社区其他工作人员</w:t>
            </w:r>
            <w:r>
              <w:rPr>
                <w:rFonts w:ascii="宋体" w:hAnsi="宋体"/>
                <w:sz w:val="16"/>
              </w:rPr>
              <w:t>及社区工作人员满意度</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满意度赋分</w:t>
            </w:r>
          </w:p>
        </w:tc>
        <w:tc>
          <w:tcPr>
            <w:tcW w:w="61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15"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9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8"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37"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2024年麦盖提镇业务活动项目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315.00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286.04</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286.04</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315.00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286.04</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286.04</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4568"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2024年本项目投资286.04万元，主要用于21个社区的正常运转，包括水电费，通讯费，取暖费，维修费等，项目的实施有效提升社会公众服务能力，保障单位日常工作正常开展。</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截至绩效自评日，实际支出286.04万元，用于日常水、电、暖及办公费支出，保障21个社区日常运转，项目的实施有效保障单位日常工作正常开展。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服务社区个数</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color w:val="4F81BD" w:themeColor="accent1"/>
                <w:sz w:val="16"/>
                <w14:textFill>
                  <w14:solidFill>
                    <w14:schemeClr w14:val="accent1"/>
                  </w14:solidFill>
                </w14:textFill>
              </w:rPr>
              <w:t>&gt;=21个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资金使用合规率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资金支付及时率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项目按计划结束时间</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=2024年12月25日前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2023年12月</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2024年12月25日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每个社区均运转经费数</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&lt;=13.62万元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原始凭证,工作资料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=13.62万元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保障单位日常工作正常开展</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按评判等级赋分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保障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社区工作人员满意度</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60" w:type="dxa"/>
        <w:tblInd w:w="0" w:type="dxa"/>
        <w:tblLayout w:type="fixed"/>
        <w:tblCellMar>
          <w:top w:w="0" w:type="dxa"/>
          <w:left w:w="108" w:type="dxa"/>
          <w:bottom w:w="0" w:type="dxa"/>
          <w:right w:w="108" w:type="dxa"/>
        </w:tblCellMar>
      </w:tblPr>
      <w:tblGrid>
        <w:gridCol w:w="621"/>
        <w:gridCol w:w="601"/>
        <w:gridCol w:w="601"/>
        <w:gridCol w:w="601"/>
        <w:gridCol w:w="936"/>
        <w:gridCol w:w="601"/>
        <w:gridCol w:w="601"/>
        <w:gridCol w:w="601"/>
        <w:gridCol w:w="601"/>
        <w:gridCol w:w="611"/>
        <w:gridCol w:w="856"/>
        <w:gridCol w:w="630"/>
        <w:gridCol w:w="568"/>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喀什地区麦盖提县2024年社区综合服务设施建设项目</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4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96"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53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46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19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53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46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19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53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600.00</w:t>
            </w:r>
          </w:p>
        </w:tc>
        <w:tc>
          <w:tcPr>
            <w:tcW w:w="146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19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53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02"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467"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19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4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97"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4542"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总投资为600万元，主要用于建设麦盖提镇民生社区，建筑面积994.84平方米，用地面积1270.24平方米，框架结构，地上2层；建设麦盖提镇阳光社区，建筑面积980.68平方米，用地面积5550.11平方米，框架结构，地上2层，为进一步强化社区阵地建设，不断地完善社区办公议事，党员活动、教育培训、便民服务、文体娱乐等综合功能，夯实基层党建根基。增强对党员群众的吸引力和凝聚力、提升社区治理能力和水平。</w:t>
            </w:r>
          </w:p>
        </w:tc>
        <w:tc>
          <w:tcPr>
            <w:tcW w:w="3897" w:type="dxa"/>
            <w:gridSpan w:val="6"/>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本项目2024年总投资600万元，截至绩效自评日，项目实际支出600万元，已用于建设麦盖提镇民生社区，建筑面积为994.84平方米，用地面积为1270.24平方米；建设麦盖提镇阳光社区，建筑面积980.68平方米，用地面积5550.11平方米。进一步强化了社区阵地建设，不断地完善了社区办公议事，党员活动、 教育培训、便民服务、文体娱乐等综合功能，夯实基层党建根基。增强对党员群众的吸引力和凝聚力、有效提升了社区治理能力和水平。</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0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新建社区办公楼数量</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=2个</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=2个</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新建建筑面积</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&gt;=1975.52平方米</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=1975.52平方米</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竣工验收合格率</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项目按计划开工时间</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=2024年8月</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2024年8月22日</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项目按计划完工时间</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=2024年11月</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2024年11月29日</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01"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工程建设费用</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&lt;=500万元</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=500万元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第三方服务费</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&lt;=70万元</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=70万元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7</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办公设备款</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&lt;=30万元</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原始凭证,工作资料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=30万元</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提升社区治理能力和水平</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有效提升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有效提升</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tcBorders>
          </w:tcP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社区服务对象满意度</w:t>
            </w:r>
          </w:p>
        </w:tc>
        <w:tc>
          <w:tcPr>
            <w:tcW w:w="93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1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85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0"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199"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42"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01"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96"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麦盖提县“抓党建促稳定促振兴”示范乡镇建设项目（山东援疆）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4568"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总投资为200万，主要用于工业园社区、民生社区、和平社区采购一批服务群众必要设施设备，对民生社区箱变进行迁移，丰富完善社区“一支部两中心一站”，打造石榴籽家园、暖心驿站、妇女之家、老年人活动中心等各功能室，配套建设社区阵地供排水、暖气、电力等附属设施，硬化部分室外便民活动场地，增强社区服务群众能力水平。</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r>
              <w:rPr>
                <w:rFonts w:hint="eastAsia" w:ascii="宋体" w:hAnsi="宋体"/>
                <w:sz w:val="16"/>
              </w:rPr>
              <w:t>截至</w:t>
            </w:r>
            <w:r>
              <w:rPr>
                <w:rFonts w:ascii="宋体" w:hAnsi="宋体"/>
                <w:sz w:val="16"/>
              </w:rPr>
              <w:t>绩效自评日，实际支出200万元，完成采购工业园社区、民生社区、和平社区采购一批服务群众必要设施设备，对民生社区箱变进行迁移，丰富完善社区“一支部两中心一站”，改善社区基础设施条件，为居民提供更加高效、便捷的社区基本服务，提高居民幸福感、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社区数量</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项目验收合格率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项目完成及时率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项目结束时间</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2024年12月5日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每个社区提升改造成本</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&lt;=66.67万元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原始凭证,工作资料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=66.67万元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全面改善居民生产生活条件</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改善</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改善</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辖区内居民满意度</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麦盖提县乡村振兴建设项目（山东援疆第二批）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4568"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2024年总投资为100万，主要用于提升改造麦盖提镇新时代社区，为进一步强化</w:t>
            </w:r>
            <w:r>
              <w:rPr>
                <w:rFonts w:hint="eastAsia" w:ascii="宋体" w:hAnsi="宋体"/>
                <w:sz w:val="16"/>
              </w:rPr>
              <w:t>社区</w:t>
            </w:r>
            <w:r>
              <w:rPr>
                <w:rFonts w:ascii="宋体" w:hAnsi="宋体"/>
                <w:sz w:val="16"/>
              </w:rPr>
              <w:t>阵地建设，不断建设社区办公议事、党员活动、教育培训、便民服务、文体娱乐等综合功能，夯实基层党建根基，增强对党员群众的吸引力和凝聚力，提升社区治理能力和水平。</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本项目已支出总金额为100万元，完成改造麦盖提镇新时代社区，进一步强化了</w:t>
            </w:r>
            <w:r>
              <w:rPr>
                <w:rFonts w:hint="eastAsia" w:ascii="宋体" w:hAnsi="宋体"/>
                <w:sz w:val="16"/>
              </w:rPr>
              <w:t>社区</w:t>
            </w:r>
            <w:r>
              <w:rPr>
                <w:rFonts w:ascii="宋体" w:hAnsi="宋体"/>
                <w:sz w:val="16"/>
              </w:rPr>
              <w:t>阵地建设，提高社区办公议事、党员活动、教育培训、便民服务、文体娱乐等综合功能，为社区居民提供更加高效的社区服务，全面改善居民生产生活条件，提升基层治理水平。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社区数量</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&gt;=1个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项目验收合格率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项目完成及时率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项目完成时间</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=2024年11月27日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社区提升改造费用</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&lt;=87.92万元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=87.92万元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配套设施费用</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&lt;=12.08万元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=12.08万元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全面改善居民生产生活条件</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改善</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改善</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辖区内居民满意度</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新增</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麦盖提县麦盖提镇幸福社区综合服务设施建设尾款支付项目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主管部门</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实施单位</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麦盖提县镇人民政府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分值</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执行率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0.00</w:t>
            </w:r>
          </w:p>
        </w:tc>
        <w:tc>
          <w:tcPr>
            <w:tcW w:w="1328"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预期目标</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4568" w:type="dxa"/>
            <w:gridSpan w:val="7"/>
            <w:tcBorders>
              <w:top w:val="single" w:color="auto" w:sz="10" w:space="0"/>
              <w:left w:val="single" w:color="auto" w:sz="10" w:space="0"/>
              <w:bottom w:val="single" w:color="auto" w:sz="10" w:space="0"/>
              <w:right w:val="single" w:color="auto" w:sz="10" w:space="0"/>
            </w:tcBorders>
            <w:vAlign w:val="center"/>
          </w:tcPr>
          <w:p>
            <w:r>
              <w:rPr>
                <w:rFonts w:ascii="宋体" w:hAnsi="宋体"/>
                <w:sz w:val="16"/>
              </w:rPr>
              <w:t>本项目总投资为36.27万元，主要用于新建幸福社区综合服务中心，建筑面积为1004.36平方米，项目的实施进一步强化社区阵地建设，</w:t>
            </w:r>
            <w:r>
              <w:rPr>
                <w:rFonts w:hint="eastAsia" w:ascii="宋体" w:hAnsi="宋体"/>
                <w:sz w:val="16"/>
              </w:rPr>
              <w:t>不断</w:t>
            </w:r>
            <w:r>
              <w:rPr>
                <w:rFonts w:ascii="宋体" w:hAnsi="宋体"/>
                <w:sz w:val="16"/>
              </w:rPr>
              <w:t>完善社区办公议事，党员活动、教育培训、便民服务、文体娱乐等综合功能，夯实基层党建根基，增强对党员群众的吸引力和凝聚力、提升社区治理能力和水平。</w:t>
            </w:r>
          </w:p>
        </w:tc>
        <w:tc>
          <w:tcPr>
            <w:tcW w:w="3856" w:type="dxa"/>
            <w:gridSpan w:val="6"/>
            <w:tcBorders>
              <w:top w:val="single" w:color="auto" w:sz="10" w:space="0"/>
              <w:left w:val="single" w:color="auto" w:sz="10" w:space="0"/>
              <w:bottom w:val="single" w:color="auto" w:sz="10" w:space="0"/>
              <w:right w:val="single" w:color="auto" w:sz="10" w:space="0"/>
            </w:tcBorders>
            <w:vAlign w:val="center"/>
          </w:tcPr>
          <w:p>
            <w:pPr>
              <w:jc w:val="left"/>
            </w:pPr>
            <w:r>
              <w:rPr>
                <w:rFonts w:ascii="宋体" w:hAnsi="宋体"/>
                <w:sz w:val="16"/>
              </w:rPr>
              <w:t>本项目已支出总金额为36.27万元，支付新建幸福社区综合服务中心，建筑面积为1004.36平方米项目的尾款，按时支付项目尾款，保障企业合法权益，保障项目顺利结束，有效提高政府公信力。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一级指标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二级指标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三级指标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年度指标值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指标值设定依据</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上年完成情况</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权重</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赋分规则</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佐证资料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实际完成值</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产出指标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数量指标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支付项目尾款个数</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=1个</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质量指标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尾款支付合规率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restart"/>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时效指标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尾款支付及时率</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项目结束时间</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=2024年12月6日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2023年12月20日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=2024年12月6日</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经济成本指标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新建幸福社区综合服务中心工程建设费用</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&lt;=36.27万元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预算支出标准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30万元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按照完成比例赋分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工作资料,原始凭证</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=36.27万元</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社会效益指标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提高政府公信力</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有效提高</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有效提高</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按评判等级赋分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有效提高</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20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tcBorders>
          </w:tcP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满意度指标</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服务对象满意度</w:t>
            </w:r>
          </w:p>
        </w:tc>
        <w:tc>
          <w:tcPr>
            <w:tcW w:w="77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计划标准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满意度赋分</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工作资料</w:t>
            </w:r>
          </w:p>
        </w:tc>
        <w:tc>
          <w:tcPr>
            <w:tcW w:w="696"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w:t>
            </w:r>
          </w:p>
        </w:tc>
        <w:tc>
          <w:tcPr>
            <w:tcW w:w="1264" w:type="dxa"/>
            <w:gridSpan w:val="2"/>
            <w:tcBorders>
              <w:top w:val="single" w:color="auto" w:sz="10" w:space="0"/>
              <w:left w:val="single" w:color="auto" w:sz="10" w:space="0"/>
              <w:bottom w:val="single" w:color="auto" w:sz="10" w:space="0"/>
              <w:right w:val="single" w:color="auto" w:sz="10" w:space="0"/>
            </w:tcBorders>
            <w:vAlign w:val="center"/>
          </w:tcPr>
          <w:p>
            <w:pPr>
              <w:jc w:val="center"/>
            </w:pP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总分</w:t>
            </w:r>
          </w:p>
        </w:tc>
        <w:tc>
          <w:tcPr>
            <w:tcW w:w="4568" w:type="dxa"/>
            <w:gridSpan w:val="7"/>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w:t>
            </w:r>
          </w:p>
        </w:tc>
        <w:tc>
          <w:tcPr>
            <w:tcW w:w="632" w:type="dxa"/>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得分</w:t>
            </w:r>
          </w:p>
        </w:tc>
        <w:tc>
          <w:tcPr>
            <w:tcW w:w="3224" w:type="dxa"/>
            <w:gridSpan w:val="5"/>
            <w:tcBorders>
              <w:top w:val="single" w:color="auto" w:sz="10" w:space="0"/>
              <w:left w:val="single" w:color="auto" w:sz="10" w:space="0"/>
              <w:bottom w:val="single" w:color="auto" w:sz="10" w:space="0"/>
              <w:right w:val="single" w:color="auto" w:sz="10" w:space="0"/>
            </w:tcBorders>
            <w:vAlign w:val="center"/>
          </w:tcPr>
          <w:p>
            <w:pPr>
              <w:jc w:val="center"/>
            </w:pPr>
            <w:r>
              <w:rPr>
                <w:rFonts w:ascii="宋体" w:hAnsi="宋体"/>
                <w:sz w:val="16"/>
              </w:rPr>
              <w:t>100分</w:t>
            </w:r>
          </w:p>
        </w:tc>
      </w:tr>
    </w:tbl>
    <w:p>
      <w:r>
        <w:br w:type="page"/>
      </w:r>
    </w:p>
    <w:p>
      <w:pPr>
        <w:spacing w:line="640" w:lineRule="exact"/>
        <w:ind w:firstLine="640"/>
        <w:outlineLvl w:val="2"/>
      </w:pPr>
      <w:r>
        <w:rPr>
          <w:rFonts w:ascii="黑体" w:hAnsi="黑体" w:eastAsia="黑体"/>
        </w:rPr>
        <w:t>十二、其他需说明的事项</w:t>
      </w:r>
    </w:p>
    <w:p>
      <w:pPr>
        <w:spacing w:line="580" w:lineRule="exact"/>
        <w:ind w:firstLine="640"/>
      </w:pPr>
      <w:r>
        <w:rPr>
          <w:rFonts w:ascii="仿宋_GB2312" w:hAnsi="仿宋_GB2312" w:eastAsia="仿宋_GB2312"/>
        </w:rPr>
        <w:t>本单位无其他需说明的事项。</w:t>
      </w:r>
    </w:p>
    <w:p>
      <w:r>
        <w:br w:type="page"/>
      </w:r>
    </w:p>
    <w:p>
      <w:pPr>
        <w:jc w:val="center"/>
        <w:outlineLvl w:val="1"/>
      </w:pPr>
      <w:r>
        <w:rPr>
          <w:rFonts w:ascii="黑体" w:hAnsi="黑体" w:eastAsia="黑体"/>
        </w:rPr>
        <w:t>第三部分 专业名词解释</w:t>
      </w:r>
    </w:p>
    <w:p>
      <w:pPr>
        <w:ind w:firstLine="640"/>
      </w:pPr>
      <w:r>
        <w:rPr>
          <w:rFonts w:ascii="仿宋_GB2312" w:hAnsi="仿宋_GB2312" w:eastAsia="仿宋_GB2312"/>
          <w:b/>
        </w:rPr>
        <w:t>一、财政拨款收入：</w:t>
      </w:r>
      <w:r>
        <w:rPr>
          <w:rFonts w:ascii="仿宋_GB2312" w:hAnsi="仿宋_GB2312" w:eastAsia="仿宋_GB2312"/>
        </w:rPr>
        <w:t>指同级财政当年拨付的资金。</w:t>
      </w:r>
    </w:p>
    <w:p>
      <w:pPr>
        <w:ind w:firstLine="640"/>
      </w:pPr>
      <w:r>
        <w:rPr>
          <w:rFonts w:ascii="仿宋_GB2312" w:hAnsi="仿宋_GB2312" w:eastAsia="仿宋_GB2312"/>
          <w:b/>
        </w:rPr>
        <w:t>二、上级补助收入：</w:t>
      </w:r>
      <w:r>
        <w:rPr>
          <w:rFonts w:ascii="仿宋_GB2312" w:hAnsi="仿宋_GB2312" w:eastAsia="仿宋_GB2312"/>
        </w:rPr>
        <w:t>指事业单位从主管部门和上级单位取得的非财政补助收入。</w:t>
      </w:r>
    </w:p>
    <w:p>
      <w:pPr>
        <w:ind w:firstLine="640"/>
      </w:pPr>
      <w:r>
        <w:rPr>
          <w:rFonts w:ascii="仿宋_GB2312" w:hAnsi="仿宋_GB2312" w:eastAsia="仿宋_GB2312"/>
          <w:b/>
        </w:rPr>
        <w:t>三、事业收入：</w:t>
      </w:r>
      <w:r>
        <w:rPr>
          <w:rFonts w:ascii="仿宋_GB2312" w:hAnsi="仿宋_GB2312" w:eastAsia="仿宋_GB2312"/>
        </w:rPr>
        <w:t>指事业单位开展专业业务活动及其辅助活动所取得的收入。</w:t>
      </w:r>
    </w:p>
    <w:p>
      <w:pPr>
        <w:ind w:firstLine="640"/>
      </w:pPr>
      <w:r>
        <w:rPr>
          <w:rFonts w:ascii="仿宋_GB2312" w:hAnsi="仿宋_GB2312" w:eastAsia="仿宋_GB2312"/>
          <w:b/>
        </w:rPr>
        <w:t>四、经营收入：</w:t>
      </w:r>
      <w:r>
        <w:rPr>
          <w:rFonts w:ascii="仿宋_GB2312" w:hAnsi="仿宋_GB2312" w:eastAsia="仿宋_GB2312"/>
        </w:rPr>
        <w:t>指事业单位在专业业务活动及其辅助活动之外开展非独立核算经营活动取得的收入。</w:t>
      </w:r>
    </w:p>
    <w:p>
      <w:pPr>
        <w:ind w:firstLine="640"/>
      </w:pPr>
      <w:r>
        <w:rPr>
          <w:rFonts w:ascii="仿宋_GB2312" w:hAnsi="仿宋_GB2312" w:eastAsia="仿宋_GB2312"/>
          <w:b/>
        </w:rPr>
        <w:t>五、附属单位上缴收入：</w:t>
      </w:r>
      <w:r>
        <w:rPr>
          <w:rFonts w:ascii="仿宋_GB2312" w:hAnsi="仿宋_GB2312" w:eastAsia="仿宋_GB2312"/>
        </w:rPr>
        <w:t>指事业单位附属的独立核算单位按有关规定上缴的收入。</w:t>
      </w:r>
    </w:p>
    <w:p>
      <w:pPr>
        <w:ind w:firstLine="640"/>
      </w:pPr>
      <w:r>
        <w:rPr>
          <w:rFonts w:ascii="仿宋_GB2312" w:hAnsi="仿宋_GB2312" w:eastAsia="仿宋_GB2312"/>
          <w:b/>
        </w:rPr>
        <w:t>六、其他收入：</w:t>
      </w:r>
      <w:r>
        <w:rPr>
          <w:rFonts w:ascii="仿宋_GB2312" w:hAnsi="仿宋_GB2312" w:eastAsia="仿宋_GB2312"/>
        </w:rPr>
        <w:t>指除上述“财政拨款收入”、“事业收入”、“经营收入”、“附属单位上缴收入”等之外取得的收入。</w:t>
      </w:r>
    </w:p>
    <w:p>
      <w:pPr>
        <w:ind w:firstLine="640"/>
      </w:pPr>
      <w:r>
        <w:rPr>
          <w:rFonts w:ascii="仿宋_GB2312" w:hAnsi="仿宋_GB2312" w:eastAsia="仿宋_GB2312"/>
          <w:b/>
        </w:rPr>
        <w:t>七、年初结转和结余：</w:t>
      </w:r>
      <w:r>
        <w:rPr>
          <w:rFonts w:ascii="仿宋_GB2312" w:hAnsi="仿宋_GB2312" w:eastAsia="仿宋_GB2312"/>
        </w:rPr>
        <w:t>指以前年度支出预算因客观条件变化未执行完毕、结转到本年度按有关规定继续使用的资金，既包括财政拨款结转和结余，也包括事业收入、经营收入、其他收入的结转和结余。</w:t>
      </w:r>
    </w:p>
    <w:p>
      <w:pPr>
        <w:ind w:firstLine="640"/>
      </w:pPr>
      <w:r>
        <w:rPr>
          <w:rFonts w:ascii="仿宋_GB2312" w:hAnsi="仿宋_GB2312" w:eastAsia="仿宋_GB2312"/>
          <w:b/>
        </w:rPr>
        <w:t>八、年末结转和结余：</w:t>
      </w:r>
      <w:r>
        <w:rPr>
          <w:rFonts w:ascii="仿宋_GB2312" w:hAnsi="仿宋_GB2312" w:eastAsia="仿宋_GB2312"/>
        </w:rPr>
        <w:t>指本年度或以前年度预算安排、因客观条件发生变化无法按原计划实施，需要延迟到以后年度按有关规定继续使用的资金，既包括财政拨款结转和结余，也包括事业收入、经营收入、其他收入的结转和结余。</w:t>
      </w:r>
    </w:p>
    <w:p>
      <w:pPr>
        <w:ind w:firstLine="640"/>
      </w:pPr>
      <w:r>
        <w:rPr>
          <w:rFonts w:ascii="仿宋_GB2312" w:hAnsi="仿宋_GB2312" w:eastAsia="仿宋_GB2312"/>
          <w:b/>
        </w:rPr>
        <w:t>九、基本支出：</w:t>
      </w:r>
      <w:r>
        <w:rPr>
          <w:rFonts w:ascii="仿宋_GB2312" w:hAnsi="仿宋_GB2312" w:eastAsia="仿宋_GB2312"/>
        </w:rPr>
        <w:t>指为保障机构正常运转、完成日常工作任务而发生的人员支出和公用支出。</w:t>
      </w:r>
    </w:p>
    <w:p>
      <w:pPr>
        <w:ind w:firstLine="640"/>
      </w:pPr>
      <w:r>
        <w:rPr>
          <w:rFonts w:ascii="仿宋_GB2312" w:hAnsi="仿宋_GB2312" w:eastAsia="仿宋_GB2312"/>
          <w:b/>
        </w:rPr>
        <w:t>十、项目支出：</w:t>
      </w:r>
      <w:r>
        <w:rPr>
          <w:rFonts w:ascii="仿宋_GB2312" w:hAnsi="仿宋_GB2312" w:eastAsia="仿宋_GB2312"/>
        </w:rPr>
        <w:t>指在基本支出之外为完成特定行政任务和事业发展目标所发生的支出。</w:t>
      </w:r>
    </w:p>
    <w:p>
      <w:pPr>
        <w:ind w:firstLine="640"/>
      </w:pPr>
      <w:r>
        <w:rPr>
          <w:rFonts w:ascii="仿宋_GB2312" w:hAnsi="仿宋_GB2312" w:eastAsia="仿宋_GB2312"/>
          <w:b/>
        </w:rPr>
        <w:t>十一、经营支出：</w:t>
      </w:r>
      <w:r>
        <w:rPr>
          <w:rFonts w:ascii="仿宋_GB2312" w:hAnsi="仿宋_GB2312" w:eastAsia="仿宋_GB2312"/>
        </w:rPr>
        <w:t>指事业单位在专业业务活动及其辅助活动之外开展非独立核算经营活动发生的支出。</w:t>
      </w:r>
    </w:p>
    <w:p>
      <w:pPr>
        <w:ind w:firstLine="640"/>
      </w:pPr>
      <w:r>
        <w:rPr>
          <w:rFonts w:ascii="仿宋_GB2312" w:hAnsi="仿宋_GB2312" w:eastAsia="仿宋_GB2312"/>
          <w:b/>
        </w:rPr>
        <w:t>十二、对附属单位补助支出：</w:t>
      </w:r>
      <w:r>
        <w:rPr>
          <w:rFonts w:ascii="仿宋_GB2312" w:hAnsi="仿宋_GB2312" w:eastAsia="仿宋_GB2312"/>
        </w:rPr>
        <w:t>指事业单位发生的用非财政预算资金对附属单位的补助支出。</w:t>
      </w:r>
    </w:p>
    <w:p>
      <w:pPr>
        <w:ind w:firstLine="640"/>
      </w:pPr>
      <w:r>
        <w:rPr>
          <w:rFonts w:ascii="仿宋_GB2312" w:hAnsi="仿宋_GB2312" w:eastAsia="仿宋_GB2312"/>
          <w:b/>
        </w:rPr>
        <w:t>十三、“三公”经费：</w:t>
      </w:r>
      <w:r>
        <w:rPr>
          <w:rFonts w:ascii="仿宋_GB2312" w:hAnsi="仿宋_GB2312" w:eastAsia="仿宋_GB231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pPr>
      <w:r>
        <w:rPr>
          <w:rFonts w:ascii="仿宋_GB2312" w:hAnsi="仿宋_GB2312" w:eastAsia="仿宋_GB2312"/>
          <w:b/>
        </w:rPr>
        <w:t>十四、机关运行经费：</w:t>
      </w:r>
      <w:r>
        <w:rPr>
          <w:rFonts w:ascii="仿宋_GB2312" w:hAnsi="仿宋_GB2312" w:eastAsia="仿宋_GB2312"/>
        </w:rPr>
        <w:t>行政单位和参照公务员法管理的事业单位财政拨款基本支出中的公用经费支出。</w:t>
      </w:r>
    </w:p>
    <w:p>
      <w:r>
        <w:br w:type="page"/>
      </w:r>
    </w:p>
    <w:p>
      <w:pPr>
        <w:jc w:val="center"/>
        <w:outlineLvl w:val="1"/>
      </w:pPr>
      <w:r>
        <w:rPr>
          <w:rFonts w:ascii="黑体" w:hAnsi="黑体" w:eastAsia="黑体"/>
        </w:rPr>
        <w:t>第四部分 部门决算报表（见附表）</w:t>
      </w:r>
    </w:p>
    <w:p>
      <w:pPr>
        <w:ind w:firstLine="640"/>
      </w:pPr>
      <w:r>
        <w:rPr>
          <w:rFonts w:ascii="仿宋_GB2312" w:hAnsi="仿宋_GB2312" w:eastAsia="仿宋_GB2312"/>
        </w:rPr>
        <w:t>一、《收入支出决算总表》</w:t>
      </w:r>
    </w:p>
    <w:p>
      <w:pPr>
        <w:ind w:firstLine="640"/>
      </w:pPr>
      <w:r>
        <w:rPr>
          <w:rFonts w:ascii="仿宋_GB2312" w:hAnsi="仿宋_GB2312" w:eastAsia="仿宋_GB2312"/>
        </w:rPr>
        <w:t>二、《收入决算表》</w:t>
      </w:r>
    </w:p>
    <w:p>
      <w:pPr>
        <w:ind w:firstLine="640"/>
      </w:pPr>
      <w:r>
        <w:rPr>
          <w:rFonts w:ascii="仿宋_GB2312" w:hAnsi="仿宋_GB2312" w:eastAsia="仿宋_GB2312"/>
        </w:rPr>
        <w:t>三、《支出决算表》</w:t>
      </w:r>
    </w:p>
    <w:p>
      <w:pPr>
        <w:ind w:firstLine="640"/>
      </w:pPr>
      <w:r>
        <w:rPr>
          <w:rFonts w:ascii="仿宋_GB2312" w:hAnsi="仿宋_GB2312" w:eastAsia="仿宋_GB2312"/>
        </w:rPr>
        <w:t>四、《财政拨款收入支出决算总表》</w:t>
      </w:r>
    </w:p>
    <w:p>
      <w:pPr>
        <w:ind w:firstLine="640"/>
      </w:pPr>
      <w:r>
        <w:rPr>
          <w:rFonts w:ascii="仿宋_GB2312" w:hAnsi="仿宋_GB2312" w:eastAsia="仿宋_GB2312"/>
        </w:rPr>
        <w:t>五、《一般公共预算财政拨款支出决算表》</w:t>
      </w:r>
    </w:p>
    <w:p>
      <w:pPr>
        <w:ind w:firstLine="640"/>
      </w:pPr>
      <w:r>
        <w:rPr>
          <w:rFonts w:ascii="仿宋_GB2312" w:hAnsi="仿宋_GB2312" w:eastAsia="仿宋_GB2312"/>
        </w:rPr>
        <w:t>六、《一般公共预算财政拨款基本支出决算表》</w:t>
      </w:r>
    </w:p>
    <w:p>
      <w:pPr>
        <w:ind w:firstLine="640"/>
      </w:pPr>
      <w:r>
        <w:rPr>
          <w:rFonts w:ascii="仿宋_GB2312" w:hAnsi="仿宋_GB2312" w:eastAsia="仿宋_GB2312"/>
        </w:rPr>
        <w:t>七、《政府性基金预算财政拨款收入支出决算表》</w:t>
      </w:r>
    </w:p>
    <w:p>
      <w:pPr>
        <w:ind w:firstLine="640"/>
      </w:pPr>
      <w:r>
        <w:rPr>
          <w:rFonts w:ascii="仿宋_GB2312" w:hAnsi="仿宋_GB2312" w:eastAsia="仿宋_GB2312"/>
        </w:rPr>
        <w:t>八、《国有资本经营预算财政拨款收入支出决算表》</w:t>
      </w:r>
    </w:p>
    <w:p>
      <w:pPr>
        <w:ind w:firstLine="640"/>
      </w:pPr>
      <w:r>
        <w:rPr>
          <w:rFonts w:ascii="仿宋_GB2312" w:hAnsi="仿宋_GB2312" w:eastAsia="仿宋_GB2312"/>
        </w:rPr>
        <w:t>九、《财政拨款“三公”经费支出决算表》</w:t>
      </w:r>
    </w:p>
    <w:p>
      <w:pPr>
        <w:ind w:firstLine="640"/>
      </w:pPr>
    </w:p>
    <w:p>
      <w:pPr>
        <w:ind w:firstLine="640"/>
      </w:pPr>
    </w:p>
    <w:p>
      <w:pPr>
        <w:ind w:firstLine="640"/>
      </w:pPr>
    </w:p>
    <w:p>
      <w:pPr>
        <w:ind w:firstLine="640"/>
      </w:pPr>
    </w:p>
    <w:p>
      <w:pPr>
        <w:ind w:firstLine="640"/>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918BBC-549B-48CC-91F1-FBF9ACFD691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C93869D2-B467-4BB4-A351-9D1F81D25A9F}"/>
  </w:font>
  <w:font w:name="仿宋_GB2312">
    <w:panose1 w:val="02010609030101010101"/>
    <w:charset w:val="86"/>
    <w:family w:val="modern"/>
    <w:pitch w:val="default"/>
    <w:sig w:usb0="00000001" w:usb1="080E0000" w:usb2="00000000" w:usb3="00000000" w:csb0="00040000" w:csb1="00000000"/>
    <w:embedRegular r:id="rId3" w:fontKey="{9DD26EB8-4E10-4A27-B779-377F39D74CEB}"/>
  </w:font>
  <w:font w:name="楷体_GB2312">
    <w:panose1 w:val="02010609030101010101"/>
    <w:charset w:val="86"/>
    <w:family w:val="auto"/>
    <w:pitch w:val="default"/>
    <w:sig w:usb0="00000001" w:usb1="080E0000" w:usb2="00000000" w:usb3="00000000" w:csb0="00040000" w:csb1="00000000"/>
    <w:embedRegular r:id="rId4" w:fontKey="{4E99E2E4-62B6-4BDB-9E73-AFE666C248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64fHIAQAAfgMAAA4AAAAAAAAAAQAgAAAAHgEAAGRycy9lMm9Eb2Mu&#10;eG1sUEsFBgAAAAAGAAYAWQEAAFg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602C21"/>
    <w:rsid w:val="001C5522"/>
    <w:rsid w:val="00426A3D"/>
    <w:rsid w:val="00602C21"/>
    <w:rsid w:val="00D47EB3"/>
    <w:rsid w:val="00E94C44"/>
    <w:rsid w:val="021B7195"/>
    <w:rsid w:val="02F73D26"/>
    <w:rsid w:val="032F2FC0"/>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E1A85"/>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1A7D56"/>
    <w:rsid w:val="40834692"/>
    <w:rsid w:val="40DA5F4E"/>
    <w:rsid w:val="423A32B2"/>
    <w:rsid w:val="423C0CB4"/>
    <w:rsid w:val="427B5743"/>
    <w:rsid w:val="42E64542"/>
    <w:rsid w:val="44670B79"/>
    <w:rsid w:val="464B7E04"/>
    <w:rsid w:val="464F7E64"/>
    <w:rsid w:val="46901EEE"/>
    <w:rsid w:val="469C74D2"/>
    <w:rsid w:val="47445515"/>
    <w:rsid w:val="4B4C0111"/>
    <w:rsid w:val="4BB23021"/>
    <w:rsid w:val="4F3F074E"/>
    <w:rsid w:val="50DB5F45"/>
    <w:rsid w:val="52013D5D"/>
    <w:rsid w:val="52F92565"/>
    <w:rsid w:val="543D17CB"/>
    <w:rsid w:val="55DA564E"/>
    <w:rsid w:val="56E07045"/>
    <w:rsid w:val="583059FA"/>
    <w:rsid w:val="587E6212"/>
    <w:rsid w:val="5AFC6609"/>
    <w:rsid w:val="5C3C0D73"/>
    <w:rsid w:val="5DBE5F15"/>
    <w:rsid w:val="5FA17648"/>
    <w:rsid w:val="5FD320BD"/>
    <w:rsid w:val="60DE4D57"/>
    <w:rsid w:val="60E17455"/>
    <w:rsid w:val="613409CB"/>
    <w:rsid w:val="61A46A97"/>
    <w:rsid w:val="62DD7D21"/>
    <w:rsid w:val="65D97752"/>
    <w:rsid w:val="664C500C"/>
    <w:rsid w:val="67561C5D"/>
    <w:rsid w:val="67D111AB"/>
    <w:rsid w:val="68DB0208"/>
    <w:rsid w:val="68DF36D5"/>
    <w:rsid w:val="69846A0E"/>
    <w:rsid w:val="69AD798C"/>
    <w:rsid w:val="6B68175F"/>
    <w:rsid w:val="6B8B5C99"/>
    <w:rsid w:val="6BD856F5"/>
    <w:rsid w:val="6CA7198F"/>
    <w:rsid w:val="6D8919A8"/>
    <w:rsid w:val="6E0F7A08"/>
    <w:rsid w:val="6E801ABC"/>
    <w:rsid w:val="71473612"/>
    <w:rsid w:val="718F7F65"/>
    <w:rsid w:val="71EC4C85"/>
    <w:rsid w:val="73423603"/>
    <w:rsid w:val="737A5923"/>
    <w:rsid w:val="73DE4104"/>
    <w:rsid w:val="73FB6630"/>
    <w:rsid w:val="74CE04EC"/>
    <w:rsid w:val="74E76DCD"/>
    <w:rsid w:val="76660D7C"/>
    <w:rsid w:val="77ED6F44"/>
    <w:rsid w:val="795A0A34"/>
    <w:rsid w:val="7A0D3BC7"/>
    <w:rsid w:val="7A3A3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customStyle="1" w:styleId="1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2736</Words>
  <Characters>15596</Characters>
  <Lines>129</Lines>
  <Paragraphs>36</Paragraphs>
  <TotalTime>8</TotalTime>
  <ScaleCrop>false</ScaleCrop>
  <LinksUpToDate>false</LinksUpToDate>
  <CharactersWithSpaces>18296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2025-09-01T10:26:00Z</dcterms:created>
  <dc:creator>GXR</dc:creator>
  <cp:lastModifiedBy>Administrator</cp:lastModifiedBy>
  <cp:lastPrinted>2025-09-01T11:06:00Z</cp:lastPrinted>
  <dcterms:modified xsi:type="dcterms:W3CDTF">2025-09-06T03:38:45Z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968889C59A724933894E63EF4F4A66BE</vt:lpwstr>
  </property>
  <property fmtid="{D5CDD505-2E9C-101B-9397-08002B2CF9AE}" pid="4" name="KSOTemplateDocerSaveRecord">
    <vt:lpwstr>eyJoZGlkIjoiZjZjY2YzNDY3YWM4YThjNjdkZTk2MDAwYjE2OGQzNDQiLCJ1c2VySWQiOiIyNTk4NTcxMjUifQ==</vt:lpwstr>
  </property>
</Properties>
</file>