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outlineLvl w:val="0"/>
        <w:rPr>
          <w:rFonts w:hint="eastAsia" w:ascii="宋体" w:hAnsi="宋体"/>
          <w:b/>
          <w:kern w:val="0"/>
          <w:sz w:val="44"/>
          <w:szCs w:val="44"/>
        </w:rPr>
      </w:pPr>
      <w:r>
        <w:rPr>
          <w:rFonts w:hint="eastAsia" w:ascii="方正小标宋_GBK" w:hAnsi="宋体" w:eastAsia="方正小标宋_GBK"/>
          <w:kern w:val="0"/>
          <w:sz w:val="44"/>
          <w:szCs w:val="44"/>
        </w:rPr>
        <w:t>新疆维吾尔自治区喀什地区麦盖提县供销社</w:t>
      </w:r>
      <w:r>
        <w:rPr>
          <w:rFonts w:hint="eastAsia" w:ascii="方正小标宋_GBK" w:hAnsi="宋体" w:eastAsia="方正小标宋_GBK"/>
          <w:kern w:val="0"/>
          <w:sz w:val="44"/>
          <w:szCs w:val="44"/>
          <w:lang w:eastAsia="zh-CN"/>
        </w:rPr>
        <w:t>2026</w:t>
      </w:r>
      <w:r>
        <w:rPr>
          <w:rFonts w:hint="eastAsia" w:ascii="方正小标宋_GBK" w:hAnsi="宋体" w:eastAsia="方正小标宋_GBK"/>
          <w:kern w:val="0"/>
          <w:sz w:val="44"/>
          <w:szCs w:val="44"/>
        </w:rPr>
        <w:t>年部门预算公开</w:t>
      </w:r>
    </w:p>
    <w:p>
      <w:pPr>
        <w:widowControl/>
        <w:jc w:val="left"/>
        <w:rPr>
          <w:rFonts w:hint="eastAsia" w:ascii="黑体" w:hAnsi="黑体" w:eastAsia="黑体" w:cs="黑体"/>
          <w:kern w:val="0"/>
          <w:sz w:val="32"/>
          <w:szCs w:val="32"/>
        </w:rPr>
      </w:pPr>
      <w:r>
        <w:rPr>
          <w:rFonts w:hint="eastAsia" w:ascii="黑体" w:hAnsi="黑体" w:eastAsia="黑体" w:cs="黑体"/>
          <w:kern w:val="0"/>
          <w:sz w:val="32"/>
          <w:szCs w:val="32"/>
        </w:rPr>
        <w:br w:type="page"/>
      </w:r>
    </w:p>
    <w:p>
      <w:pPr>
        <w:spacing w:line="600" w:lineRule="exact"/>
        <w:jc w:val="center"/>
        <w:rPr>
          <w:rFonts w:hint="eastAsia" w:ascii="黑体" w:hAnsi="黑体" w:eastAsia="黑体" w:cs="黑体"/>
          <w:kern w:val="0"/>
          <w:sz w:val="32"/>
          <w:szCs w:val="32"/>
        </w:rPr>
      </w:pPr>
      <w:r>
        <w:rPr>
          <w:rFonts w:hint="eastAsia" w:ascii="黑体" w:hAnsi="黑体" w:eastAsia="黑体" w:cs="黑体"/>
          <w:kern w:val="0"/>
          <w:sz w:val="32"/>
          <w:szCs w:val="32"/>
        </w:rPr>
        <w:t>目 录</w:t>
      </w:r>
    </w:p>
    <w:p>
      <w:pPr>
        <w:jc w:val="center"/>
        <w:rPr>
          <w:sz w:val="36"/>
          <w:szCs w:val="36"/>
        </w:rPr>
      </w:pP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第一部分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年部门概况</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第二部分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年部门预算公开表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一、部门收支总体情况表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二、部门收入总体情况表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三、部门支出总体情况表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七、一般公共预算项目支出情况表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十一、上年结转结余情况明细表</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第三部分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一、关于新疆维吾尔自治区喀什地区麦盖提县供销社</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二、关于新疆维吾尔自治区喀什地区麦盖提县供销社</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年收入预算情况说明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三、关于新疆维吾尔自治区喀什地区麦盖提县供销社</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年支出预算情况说明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四、关于新疆维吾尔自治区喀什地区麦盖提县供销社</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五、关于新疆维吾尔自治区喀什地区麦盖提县供销社</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年一般公共预算当年拨款情况说明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六、关于新疆维吾尔自治区喀什地区麦盖提县供销社</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年一般公共预算基本支出情况说明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七、关于新疆维吾尔自治区喀什地区麦盖提县供销社</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年一般公共预算项目支出情况说明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八、关于新疆维吾尔自治区喀什地区麦盖提县供销社</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年政府性基金预算拨款情况说明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九、关于新疆维吾尔自治区喀什地区麦盖提县供销社</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年国有资本经营预算拨款情况说明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十、关于新疆维吾尔自治区喀什地区麦盖提县供销社</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年财政拨款“三公”经费预算情况说明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十一、关于</w:t>
      </w:r>
      <w:bookmarkStart w:id="0" w:name="_Hlk159862468"/>
      <w:r>
        <w:rPr>
          <w:rFonts w:hint="eastAsia" w:ascii="仿宋_GB2312" w:hAnsi="仿宋_GB2312" w:eastAsia="仿宋_GB2312" w:cs="仿宋_GB2312"/>
          <w:kern w:val="0"/>
          <w:sz w:val="32"/>
          <w:szCs w:val="32"/>
        </w:rPr>
        <w:t>新疆维吾尔自治区喀什地区</w:t>
      </w:r>
      <w:bookmarkEnd w:id="0"/>
      <w:r>
        <w:rPr>
          <w:rFonts w:hint="eastAsia" w:ascii="仿宋_GB2312" w:hAnsi="仿宋_GB2312" w:eastAsia="仿宋_GB2312" w:cs="仿宋_GB2312"/>
          <w:kern w:val="0"/>
          <w:sz w:val="32"/>
          <w:szCs w:val="32"/>
        </w:rPr>
        <w:t>麦盖提县供销社</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widowControl/>
        <w:spacing w:line="540" w:lineRule="exact"/>
        <w:ind w:firstLine="643" w:firstLineChars="200"/>
        <w:rPr>
          <w:rFonts w:hint="eastAsia" w:ascii="仿宋_GB2312" w:hAnsi="宋体" w:eastAsia="仿宋_GB2312"/>
          <w:b/>
          <w:kern w:val="0"/>
          <w:sz w:val="32"/>
          <w:szCs w:val="32"/>
        </w:rPr>
      </w:pPr>
      <w:r>
        <w:rPr>
          <w:rFonts w:hint="eastAsia" w:ascii="仿宋_GB2312" w:hAnsi="仿宋_GB2312" w:eastAsia="仿宋_GB2312" w:cs="仿宋_GB2312"/>
          <w:b/>
          <w:kern w:val="0"/>
          <w:sz w:val="32"/>
          <w:szCs w:val="32"/>
        </w:rPr>
        <w:t>第四部分 名词解释</w:t>
      </w:r>
      <w:r>
        <w:rPr>
          <w:rFonts w:ascii="仿宋_GB2312" w:hAnsi="宋体" w:eastAsia="仿宋_GB2312"/>
          <w:b/>
          <w:kern w:val="0"/>
          <w:sz w:val="32"/>
          <w:szCs w:val="32"/>
        </w:rPr>
        <w:br w:type="page"/>
      </w:r>
    </w:p>
    <w:p>
      <w:pPr>
        <w:widowControl/>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第一部分 </w:t>
      </w:r>
      <w:bookmarkStart w:id="1" w:name="_Hlk155094649"/>
      <w:r>
        <w:rPr>
          <w:rFonts w:hint="eastAsia" w:ascii="黑体" w:hAnsi="黑体" w:eastAsia="黑体"/>
          <w:kern w:val="0"/>
          <w:sz w:val="32"/>
          <w:szCs w:val="32"/>
          <w:lang w:eastAsia="zh-CN"/>
        </w:rPr>
        <w:t>2026</w:t>
      </w:r>
      <w:r>
        <w:rPr>
          <w:rFonts w:hint="eastAsia" w:ascii="黑体" w:hAnsi="黑体" w:eastAsia="黑体"/>
          <w:kern w:val="0"/>
          <w:sz w:val="32"/>
          <w:szCs w:val="32"/>
        </w:rPr>
        <w:t>年</w:t>
      </w:r>
      <w:bookmarkEnd w:id="1"/>
      <w:r>
        <w:rPr>
          <w:rFonts w:hint="eastAsia" w:ascii="黑体" w:hAnsi="黑体" w:eastAsia="黑体"/>
          <w:kern w:val="0"/>
          <w:sz w:val="32"/>
          <w:szCs w:val="32"/>
        </w:rPr>
        <w:t>部门概况</w:t>
      </w:r>
    </w:p>
    <w:p>
      <w:pPr>
        <w:jc w:val="center"/>
        <w:rPr>
          <w:sz w:val="30"/>
          <w:szCs w:val="30"/>
        </w:rPr>
      </w:pP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w:t>
      </w:r>
      <w:bookmarkStart w:id="2" w:name="_Hlk149153910"/>
      <w:r>
        <w:rPr>
          <w:rFonts w:hint="eastAsia" w:ascii="楷体_GB2312" w:hAnsi="楷体_GB2312" w:eastAsia="楷体_GB2312" w:cs="楷体_GB2312"/>
          <w:b/>
          <w:bCs/>
          <w:kern w:val="0"/>
          <w:sz w:val="32"/>
          <w:szCs w:val="32"/>
        </w:rPr>
        <w:t>主要职能</w:t>
      </w:r>
      <w:bookmarkEnd w:id="2"/>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1、贯彻执行党和国家的经济方针，政策和法律法规及地方的有关政策，规定。</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2、负责研究制定供销系统发展和改革，研究供销系统发展思路。</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3、负责对全县重要农业生产资料，生活资料，农副产品经营进行组织，协调，管理。</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4、负责向县委和政府及有关部门反映农民社员及供销企业的意见和要求，争取各项政策扶持，维护供销社及农民社员的合法权益。</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5、负责对供销企业重大经营业务，投资活动进行调查研究，考察论证，做出决策，协调企业经营活动中的业务纠纷。</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6、负责调查研究全县供销企业的业务经营情况，调整经营结构和经营方向。</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7、负责抓好党的组织建设，督促，检查党组所属支部的正常工作和党组路线方针的落实情况。</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8、围绕建立和完善农业社会化服务体系，做好农业，农村，农民服务的工作。</w:t>
      </w: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w:t>
      </w:r>
      <w:r>
        <w:rPr>
          <w:rFonts w:ascii="仿宋_GB2312" w:hAnsi="宋体" w:eastAsia="仿宋_GB2312" w:cs="宋体"/>
          <w:kern w:val="0"/>
          <w:sz w:val="32"/>
          <w:szCs w:val="32"/>
        </w:rPr>
        <w:t>麦盖提县供销社</w:t>
      </w:r>
      <w:r>
        <w:rPr>
          <w:rFonts w:hint="eastAsia" w:ascii="仿宋_GB2312" w:hAnsi="黑体" w:eastAsia="仿宋_GB2312" w:cs="宋体"/>
          <w:bCs/>
          <w:kern w:val="0"/>
          <w:sz w:val="32"/>
          <w:szCs w:val="32"/>
        </w:rPr>
        <w:t>无下属预算单位，下设</w:t>
      </w:r>
      <w:r>
        <w:rPr>
          <w:rFonts w:ascii="仿宋_GB2312" w:hAnsi="黑体" w:eastAsia="仿宋_GB2312" w:cs="宋体"/>
          <w:bCs/>
          <w:kern w:val="0"/>
          <w:sz w:val="32"/>
          <w:szCs w:val="32"/>
        </w:rPr>
        <w:t>2</w:t>
      </w:r>
      <w:r>
        <w:rPr>
          <w:rFonts w:hint="eastAsia" w:ascii="仿宋_GB2312" w:hAnsi="黑体" w:eastAsia="仿宋_GB2312" w:cs="宋体"/>
          <w:bCs/>
          <w:kern w:val="0"/>
          <w:sz w:val="32"/>
          <w:szCs w:val="32"/>
        </w:rPr>
        <w:t>个股室，分别是：</w:t>
      </w:r>
      <w:r>
        <w:rPr>
          <w:rFonts w:hint="eastAsia" w:ascii="仿宋_GB2312" w:hAnsi="宋体" w:eastAsia="仿宋_GB2312" w:cs="宋体"/>
          <w:kern w:val="0"/>
          <w:sz w:val="32"/>
          <w:szCs w:val="32"/>
        </w:rPr>
        <w:t>行政办公室、财务室。</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新疆维吾尔自治区喀什地区麦盖提县供销社实有人数</w:t>
      </w:r>
      <w:r>
        <w:rPr>
          <w:rFonts w:ascii="仿宋_GB2312" w:hAnsi="宋体" w:eastAsia="仿宋_GB2312" w:cs="宋体"/>
          <w:kern w:val="0"/>
          <w:sz w:val="32"/>
          <w:szCs w:val="32"/>
        </w:rPr>
        <w:t>17</w:t>
      </w:r>
      <w:r>
        <w:rPr>
          <w:rFonts w:hint="eastAsia" w:ascii="仿宋_GB2312" w:hAnsi="宋体" w:eastAsia="仿宋_GB2312" w:cs="宋体"/>
          <w:kern w:val="0"/>
          <w:sz w:val="32"/>
          <w:szCs w:val="32"/>
        </w:rPr>
        <w:t>人，其中：在职8人，增加</w:t>
      </w:r>
      <w:r>
        <w:rPr>
          <w:rFonts w:ascii="仿宋_GB2312" w:hAnsi="宋体" w:eastAsia="仿宋_GB2312" w:cs="宋体"/>
          <w:kern w:val="0"/>
          <w:sz w:val="32"/>
          <w:szCs w:val="32"/>
        </w:rPr>
        <w:t>1</w:t>
      </w:r>
      <w:r>
        <w:rPr>
          <w:rFonts w:hint="eastAsia" w:ascii="仿宋_GB2312" w:hAnsi="宋体" w:eastAsia="仿宋_GB2312" w:cs="宋体"/>
          <w:kern w:val="0"/>
          <w:sz w:val="32"/>
          <w:szCs w:val="32"/>
        </w:rPr>
        <w:t>人；退休</w:t>
      </w:r>
      <w:r>
        <w:rPr>
          <w:rFonts w:ascii="仿宋_GB2312" w:hAnsi="宋体" w:eastAsia="仿宋_GB2312" w:cs="宋体"/>
          <w:kern w:val="0"/>
          <w:sz w:val="32"/>
          <w:szCs w:val="32"/>
        </w:rPr>
        <w:t>9</w:t>
      </w:r>
      <w:r>
        <w:rPr>
          <w:rFonts w:hint="eastAsia" w:ascii="仿宋_GB2312" w:hAnsi="宋体" w:eastAsia="仿宋_GB2312" w:cs="宋体"/>
          <w:kern w:val="0"/>
          <w:sz w:val="32"/>
          <w:szCs w:val="32"/>
        </w:rPr>
        <w:t>人，减少</w:t>
      </w:r>
      <w:r>
        <w:rPr>
          <w:rFonts w:ascii="仿宋_GB2312" w:hAnsi="宋体" w:eastAsia="仿宋_GB2312" w:cs="宋体"/>
          <w:kern w:val="0"/>
          <w:sz w:val="32"/>
          <w:szCs w:val="32"/>
        </w:rPr>
        <w:t>1</w:t>
      </w:r>
      <w:r>
        <w:rPr>
          <w:rFonts w:hint="eastAsia" w:ascii="仿宋_GB2312" w:hAnsi="宋体" w:eastAsia="仿宋_GB2312" w:cs="宋体"/>
          <w:kern w:val="0"/>
          <w:sz w:val="32"/>
          <w:szCs w:val="32"/>
        </w:rPr>
        <w:t>人；离休</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w:t>
      </w:r>
    </w:p>
    <w:p>
      <w:pPr>
        <w:widowControl/>
        <w:spacing w:line="440" w:lineRule="exact"/>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 xml:space="preserve">第二部分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部门预算公开表</w:t>
      </w:r>
    </w:p>
    <w:p>
      <w:pPr>
        <w:widowControl/>
        <w:jc w:val="left"/>
        <w:rPr>
          <w:rFonts w:hint="eastAsia" w:ascii="宋体" w:hAnsi="宋体"/>
          <w:bCs/>
          <w:kern w:val="0"/>
          <w:sz w:val="20"/>
          <w:szCs w:val="20"/>
        </w:rPr>
      </w:pPr>
      <w:r>
        <w:rPr>
          <w:rFonts w:hint="eastAsia" w:ascii="宋体" w:hAnsi="宋体"/>
          <w:bCs/>
          <w:kern w:val="0"/>
          <w:sz w:val="20"/>
          <w:szCs w:val="20"/>
        </w:rPr>
        <w:t>表1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部门收支总体情况表</w:t>
      </w:r>
    </w:p>
    <w:tbl>
      <w:tblPr>
        <w:tblStyle w:val="12"/>
        <w:tblW w:w="10131" w:type="dxa"/>
        <w:jc w:val="center"/>
        <w:tblInd w:w="0" w:type="dxa"/>
        <w:tblLayout w:type="fixed"/>
        <w:tblCellMar>
          <w:top w:w="0" w:type="dxa"/>
          <w:left w:w="108" w:type="dxa"/>
          <w:bottom w:w="0" w:type="dxa"/>
          <w:right w:w="108" w:type="dxa"/>
        </w:tblCellMar>
      </w:tblPr>
      <w:tblGrid>
        <w:gridCol w:w="8789"/>
        <w:gridCol w:w="1342"/>
      </w:tblGrid>
      <w:tr>
        <w:tblPrEx>
          <w:tblLayout w:type="fixed"/>
          <w:tblCellMar>
            <w:top w:w="0" w:type="dxa"/>
            <w:left w:w="108" w:type="dxa"/>
            <w:bottom w:w="0" w:type="dxa"/>
            <w:right w:w="108" w:type="dxa"/>
          </w:tblCellMar>
        </w:tblPrEx>
        <w:trPr>
          <w:trHeight w:val="170" w:hRule="atLeast"/>
          <w:jc w:val="center"/>
        </w:trPr>
        <w:tc>
          <w:tcPr>
            <w:tcW w:w="8789"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编制部门：新疆维吾尔自治区喀什地区麦盖提县供销社</w:t>
            </w:r>
            <w:r>
              <w:rPr>
                <w:rFonts w:ascii="仿宋_GB2312" w:hAnsi="宋体" w:eastAsia="仿宋_GB2312" w:cs="宋体"/>
                <w:kern w:val="0"/>
                <w:sz w:val="24"/>
              </w:rPr>
              <w:t xml:space="preserve"> </w:t>
            </w:r>
          </w:p>
        </w:tc>
        <w:tc>
          <w:tcPr>
            <w:tcW w:w="1342"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1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2133"/>
        <w:gridCol w:w="275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247"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收</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入</w:t>
            </w:r>
          </w:p>
        </w:tc>
        <w:tc>
          <w:tcPr>
            <w:tcW w:w="4881"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支</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exact"/>
          <w:jc w:val="center"/>
        </w:trPr>
        <w:tc>
          <w:tcPr>
            <w:tcW w:w="311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hAnsi="宋体" w:eastAsia="仿宋_GB2312" w:cs="宋体"/>
                <w:b/>
                <w:kern w:val="0"/>
                <w:sz w:val="20"/>
                <w:szCs w:val="20"/>
              </w:rPr>
              <w:t xml:space="preserve">     </w:t>
            </w:r>
            <w:r>
              <w:rPr>
                <w:rFonts w:hint="eastAsia" w:ascii="仿宋_GB2312" w:eastAsia="仿宋_GB2312" w:cs="宋体" w:hAnsiTheme="minorEastAsia"/>
                <w:b/>
                <w:bCs/>
                <w:kern w:val="0"/>
                <w:sz w:val="20"/>
                <w:szCs w:val="20"/>
              </w:rPr>
              <w:t>目</w:t>
            </w:r>
          </w:p>
        </w:tc>
        <w:tc>
          <w:tcPr>
            <w:tcW w:w="213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c>
          <w:tcPr>
            <w:tcW w:w="2755"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w:t>
            </w:r>
          </w:p>
        </w:tc>
        <w:tc>
          <w:tcPr>
            <w:tcW w:w="212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一、本年收入</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169.59</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169.59</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其中：一般财力</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169.59</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上级一般公共预算安排转移支付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w:t>
            </w:r>
            <w:r>
              <w:rPr>
                <w:rFonts w:hint="eastAsia" w:ascii="仿宋_GB2312" w:hAnsi="MS Gothic" w:eastAsia="仿宋_GB2312" w:cs="MS Gothic"/>
                <w:kern w:val="0"/>
                <w:sz w:val="18"/>
                <w:szCs w:val="18"/>
                <w:cs/>
              </w:rPr>
              <w:t>‎</w:t>
            </w: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其中：政府性基金收入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上级政府性基金安排转移支付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32.45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其中：国有资本经营收入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上级国有资本经营预算安排转移支付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6.88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其中：事业收入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上级补助收入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附属单位上缴收入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事业单位经营收入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116.81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其他收入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二、上年结转结余</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665.20</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1.财政拨款结转</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665.20</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13.45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665.20</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2.非财政拨款结余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665.20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wordWrap w:val="0"/>
              <w:spacing w:line="300" w:lineRule="exact"/>
              <w:ind w:right="2340"/>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 xml:space="preserve">     </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exact"/>
          <w:jc w:val="center"/>
        </w:trPr>
        <w:tc>
          <w:tcPr>
            <w:tcW w:w="3114"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收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入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33"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834.79</w:t>
            </w:r>
          </w:p>
        </w:tc>
        <w:tc>
          <w:tcPr>
            <w:tcW w:w="2755"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支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出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26"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834.79</w:t>
            </w:r>
          </w:p>
        </w:tc>
      </w:tr>
    </w:tbl>
    <w:p>
      <w:pPr>
        <w:widowControl/>
        <w:spacing w:line="20" w:lineRule="exact"/>
        <w:jc w:val="left"/>
        <w:rPr>
          <w:rFonts w:hint="eastAsia" w:ascii="黑体" w:hAnsi="黑体" w:eastAsia="黑体"/>
          <w:b/>
          <w:kern w:val="0"/>
          <w:sz w:val="30"/>
          <w:szCs w:val="30"/>
        </w:rPr>
        <w:sectPr>
          <w:footerReference r:id="rId3" w:type="default"/>
          <w:footerReference r:id="rId4" w:type="even"/>
          <w:pgSz w:w="11906" w:h="16838"/>
          <w:pgMar w:top="1134" w:right="1134" w:bottom="1134" w:left="1134" w:header="851" w:footer="992" w:gutter="0"/>
          <w:cols w:space="425" w:num="1"/>
          <w:docGrid w:type="lines" w:linePitch="312" w:charSpace="0"/>
        </w:sectPr>
      </w:pPr>
    </w:p>
    <w:p>
      <w:pPr>
        <w:widowControl/>
        <w:jc w:val="left"/>
        <w:rPr>
          <w:rFonts w:hint="eastAsia" w:ascii="仿宋_GB2312" w:hAnsi="宋体" w:eastAsia="仿宋_GB2312"/>
          <w:bCs/>
          <w:kern w:val="0"/>
          <w:sz w:val="20"/>
          <w:szCs w:val="20"/>
        </w:rPr>
      </w:pPr>
      <w:r>
        <w:rPr>
          <w:rFonts w:hint="eastAsia" w:ascii="宋体" w:hAnsi="宋体"/>
          <w:bCs/>
          <w:kern w:val="0"/>
          <w:sz w:val="20"/>
          <w:szCs w:val="20"/>
        </w:rPr>
        <w:t>表2</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部门收入总体情况表</w:t>
      </w:r>
    </w:p>
    <w:tbl>
      <w:tblPr>
        <w:tblStyle w:val="12"/>
        <w:tblW w:w="15026" w:type="dxa"/>
        <w:jc w:val="center"/>
        <w:tblInd w:w="0" w:type="dxa"/>
        <w:tblLayout w:type="fixed"/>
        <w:tblCellMar>
          <w:top w:w="0" w:type="dxa"/>
          <w:left w:w="108" w:type="dxa"/>
          <w:bottom w:w="0" w:type="dxa"/>
          <w:right w:w="108" w:type="dxa"/>
        </w:tblCellMar>
      </w:tblPr>
      <w:tblGrid>
        <w:gridCol w:w="13608"/>
        <w:gridCol w:w="1418"/>
      </w:tblGrid>
      <w:tr>
        <w:tblPrEx>
          <w:tblLayout w:type="fixed"/>
          <w:tblCellMar>
            <w:top w:w="0" w:type="dxa"/>
            <w:left w:w="108" w:type="dxa"/>
            <w:bottom w:w="0" w:type="dxa"/>
            <w:right w:w="108" w:type="dxa"/>
          </w:tblCellMar>
        </w:tblPrEx>
        <w:trPr>
          <w:trHeight w:val="246" w:hRule="atLeast"/>
          <w:jc w:val="center"/>
        </w:trPr>
        <w:tc>
          <w:tcPr>
            <w:tcW w:w="13608"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编制部门：新疆维吾尔自治区喀什地区麦盖提县供销社</w:t>
            </w:r>
          </w:p>
        </w:tc>
        <w:tc>
          <w:tcPr>
            <w:tcW w:w="1418" w:type="dxa"/>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50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559"/>
        <w:gridCol w:w="1843"/>
        <w:gridCol w:w="1559"/>
        <w:gridCol w:w="850"/>
        <w:gridCol w:w="851"/>
        <w:gridCol w:w="850"/>
        <w:gridCol w:w="851"/>
        <w:gridCol w:w="850"/>
        <w:gridCol w:w="851"/>
        <w:gridCol w:w="709"/>
        <w:gridCol w:w="708"/>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1" w:hRule="atLeast"/>
          <w:tblHeader/>
          <w:jc w:val="center"/>
        </w:trPr>
        <w:tc>
          <w:tcPr>
            <w:tcW w:w="2122" w:type="dxa"/>
            <w:gridSpan w:val="3"/>
            <w:tcBorders>
              <w:top w:val="single" w:color="auto" w:sz="4" w:space="0"/>
            </w:tcBorders>
            <w:vAlign w:val="center"/>
          </w:tcPr>
          <w:p>
            <w:pPr>
              <w:jc w:val="center"/>
              <w:rPr>
                <w:rFonts w:hint="eastAsia" w:ascii="仿宋_GB2312" w:eastAsia="仿宋_GB2312" w:hAnsiTheme="minorEastAsia"/>
                <w:b/>
                <w:color w:val="000000"/>
                <w:sz w:val="24"/>
              </w:rPr>
            </w:pPr>
            <w:r>
              <w:rPr>
                <w:rFonts w:hint="eastAsia" w:ascii="仿宋_GB2312" w:eastAsia="仿宋_GB2312" w:hAnsiTheme="minorEastAsia"/>
                <w:b/>
                <w:color w:val="000000"/>
                <w:sz w:val="24"/>
              </w:rPr>
              <w:t>功能分类</w:t>
            </w:r>
          </w:p>
          <w:p>
            <w:pPr>
              <w:jc w:val="center"/>
              <w:rPr>
                <w:rFonts w:hint="eastAsia" w:ascii="仿宋_GB2312" w:eastAsia="仿宋_GB2312" w:cs="宋体" w:hAnsiTheme="minorEastAsia"/>
                <w:b/>
                <w:color w:val="000000"/>
                <w:sz w:val="24"/>
              </w:rPr>
            </w:pPr>
            <w:r>
              <w:rPr>
                <w:rFonts w:hint="eastAsia" w:ascii="仿宋_GB2312" w:eastAsia="仿宋_GB2312" w:hAnsiTheme="minorEastAsia"/>
                <w:b/>
                <w:color w:val="000000"/>
                <w:sz w:val="24"/>
              </w:rPr>
              <w:t>科目编码</w:t>
            </w:r>
          </w:p>
        </w:tc>
        <w:tc>
          <w:tcPr>
            <w:tcW w:w="1559"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功能分类科目名称</w:t>
            </w:r>
          </w:p>
        </w:tc>
        <w:tc>
          <w:tcPr>
            <w:tcW w:w="1843"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总 计</w:t>
            </w:r>
          </w:p>
        </w:tc>
        <w:tc>
          <w:tcPr>
            <w:tcW w:w="6662" w:type="dxa"/>
            <w:gridSpan w:val="7"/>
            <w:tcBorders>
              <w:top w:val="single" w:color="auto" w:sz="4" w:space="0"/>
            </w:tcBorders>
            <w:vAlign w:val="center"/>
          </w:tcPr>
          <w:p>
            <w:pPr>
              <w:jc w:val="center"/>
              <w:rPr>
                <w:rFonts w:hint="eastAsia" w:ascii="仿宋_GB2312" w:eastAsia="仿宋_GB2312" w:cs="宋体" w:hAnsiTheme="minorEastAsia"/>
                <w:b/>
                <w:color w:val="000000"/>
                <w:sz w:val="24"/>
              </w:rPr>
            </w:pPr>
            <w:r>
              <w:rPr>
                <w:rFonts w:hint="eastAsia" w:ascii="仿宋_GB2312" w:eastAsia="仿宋_GB2312" w:cs="宋体" w:hAnsiTheme="minorEastAsia"/>
                <w:b/>
                <w:color w:val="000000"/>
                <w:sz w:val="24"/>
              </w:rPr>
              <w:t xml:space="preserve">财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政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拨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款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补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助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财政专户（教育收费）</w:t>
            </w:r>
          </w:p>
        </w:tc>
        <w:tc>
          <w:tcPr>
            <w:tcW w:w="708"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单位资金</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财政拨款结转</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tblHeader/>
          <w:jc w:val="center"/>
        </w:trPr>
        <w:tc>
          <w:tcPr>
            <w:tcW w:w="704"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类</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款</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项</w:t>
            </w:r>
          </w:p>
        </w:tc>
        <w:tc>
          <w:tcPr>
            <w:tcW w:w="1559" w:type="dxa"/>
            <w:vMerge w:val="continue"/>
            <w:vAlign w:val="center"/>
          </w:tcPr>
          <w:p>
            <w:pPr>
              <w:rPr>
                <w:rFonts w:hint="eastAsia" w:cs="宋体" w:asciiTheme="minorEastAsia" w:hAnsiTheme="minorEastAsia" w:eastAsiaTheme="minorEastAsia"/>
                <w:b/>
                <w:color w:val="000000"/>
                <w:sz w:val="20"/>
                <w:szCs w:val="20"/>
              </w:rPr>
            </w:pPr>
          </w:p>
        </w:tc>
        <w:tc>
          <w:tcPr>
            <w:tcW w:w="1843" w:type="dxa"/>
            <w:vMerge w:val="continue"/>
            <w:vAlign w:val="center"/>
          </w:tcPr>
          <w:p>
            <w:pPr>
              <w:rPr>
                <w:rFonts w:hint="eastAsia" w:cs="宋体" w:asciiTheme="minorEastAsia" w:hAnsiTheme="minorEastAsia" w:eastAsia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财政拨款（补助）小计</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一般公共预算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上级一般公共预算安排的转</w:t>
            </w:r>
          </w:p>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政府性基金预算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上级政府性基金安排的转移支付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国有资本经营预算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上级国有资本经营预算安排的转移支付</w:t>
            </w: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8"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社会保障和就业支出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32.45</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32.45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32.45</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行政事业单位养老支出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32.45</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32.45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32.45</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事业单位离退休</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16.49</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16.49</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16.49</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机关事业单位基本养老保险缴费支出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15.96</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15.96</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15.96</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卫生健康支出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6.88</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6.88</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6.88</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行政事业单位医疗</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6.88</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6.88</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6.88</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事业单位医疗</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6.88</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6.88</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6.88</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216</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商业服务业等支出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116.81</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116.81</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116.81</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216</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商业流通事务</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116.81</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116.81</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116.81</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216</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50</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事业运行</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116.81</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116.81</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116.81</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住房保障支出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13.45</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13.45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13.45</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住房改革支出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13.45</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13.45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13.45</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住房公积金</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13.45</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13.45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13.45</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229</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其他支出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665.20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665.20</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229</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04</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其他政府性基金及对应专项债务收入安排的支出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665.20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665.20</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229</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04</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其他地方自行试点项目收益专项债券收入安排的支出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665.20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665.20</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合计</w:t>
            </w:r>
          </w:p>
        </w:tc>
        <w:tc>
          <w:tcPr>
            <w:tcW w:w="1843"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834.79</w:t>
            </w: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169.59</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169.59</w:t>
            </w: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8"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665.20</w:t>
            </w:r>
          </w:p>
        </w:tc>
        <w:tc>
          <w:tcPr>
            <w:tcW w:w="709" w:type="dxa"/>
            <w:vAlign w:val="center"/>
          </w:tcPr>
          <w:p>
            <w:pPr>
              <w:jc w:val="center"/>
              <w:rPr>
                <w:rFonts w:hint="eastAsia" w:ascii="仿宋_GB2312" w:eastAsia="仿宋_GB2312" w:cs="宋体" w:hAnsiTheme="minorEastAsia"/>
                <w:b/>
                <w:color w:val="000000"/>
                <w:sz w:val="20"/>
                <w:szCs w:val="20"/>
              </w:rPr>
            </w:pPr>
          </w:p>
        </w:tc>
      </w:tr>
    </w:tbl>
    <w:p>
      <w:pPr>
        <w:widowControl/>
        <w:spacing w:line="20" w:lineRule="exact"/>
        <w:jc w:val="left"/>
        <w:rPr>
          <w:rFonts w:hint="eastAsia" w:ascii="宋体" w:hAnsi="宋体"/>
          <w:bCs/>
          <w:kern w:val="0"/>
          <w:sz w:val="20"/>
          <w:szCs w:val="20"/>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表3</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部门支出总体情况表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center"/>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编制部门：新疆维吾尔自治区喀什地区麦盖提县供销社</w:t>
            </w:r>
          </w:p>
        </w:tc>
        <w:tc>
          <w:tcPr>
            <w:tcW w:w="1418" w:type="dxa"/>
            <w:vAlign w:val="center"/>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709"/>
        <w:gridCol w:w="709"/>
        <w:gridCol w:w="3510"/>
        <w:gridCol w:w="1984"/>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2014"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510"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984"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blHeader/>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510"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4"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社会保障和就业支出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32.45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32.45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行政事业单位养老支出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32.45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32.45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事业单位离退休</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16.49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16.49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机关事业单位基本养老保险缴费支出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15.96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15.96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卫生健康支出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6.88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6.88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行政事业单位医疗</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6.88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6.88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事业单位医疗</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6.88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6.88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216</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商业服务业等支出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116.81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116.81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216</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商业流通事务</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116.81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116.81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216</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50</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事业运行</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116.81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116.81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住房保障支出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13.45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13.45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住房改革支出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13.45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13.45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住房公积金</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13.45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13.45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229</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其他支出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665.20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665.20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229</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04</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其他政府性基金及对应专项债务收入安排的支出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665.20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665.20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229</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04</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其他地方自行试点项目收益专项债券收入安排的支出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665.20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665.20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3510"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984"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834.79</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169.59</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665.20</w:t>
            </w:r>
          </w:p>
        </w:tc>
      </w:tr>
    </w:tbl>
    <w:p>
      <w:pPr>
        <w:widowControl/>
        <w:jc w:val="left"/>
        <w:rPr>
          <w:rFonts w:hint="eastAsia" w:ascii="宋体" w:hAnsi="宋体"/>
          <w:bCs/>
          <w:kern w:val="0"/>
          <w:sz w:val="20"/>
          <w:szCs w:val="20"/>
        </w:rPr>
      </w:pPr>
      <w:r>
        <w:rPr>
          <w:rFonts w:ascii="微软雅黑" w:hAnsi="Calibri" w:eastAsia="微软雅黑"/>
          <w:b/>
          <w:bCs/>
          <w:kern w:val="44"/>
          <w:sz w:val="2"/>
          <w:szCs w:val="2"/>
        </w:rPr>
        <w:br w:type="page"/>
      </w:r>
      <w:r>
        <w:rPr>
          <w:rFonts w:hint="eastAsia" w:ascii="宋体" w:hAnsi="宋体"/>
          <w:bCs/>
          <w:kern w:val="0"/>
          <w:sz w:val="20"/>
          <w:szCs w:val="20"/>
        </w:rPr>
        <w:t>表4</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编制部门：新疆维吾尔自治区喀什地区麦盖提县供销社</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966"/>
        <w:gridCol w:w="2719"/>
        <w:gridCol w:w="1139"/>
        <w:gridCol w:w="1129"/>
        <w:gridCol w:w="992"/>
        <w:gridCol w:w="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4" w:hRule="atLeast"/>
          <w:tblHeader/>
          <w:jc w:val="center"/>
        </w:trPr>
        <w:tc>
          <w:tcPr>
            <w:tcW w:w="3088"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财政拨款收入</w:t>
            </w:r>
          </w:p>
        </w:tc>
        <w:tc>
          <w:tcPr>
            <w:tcW w:w="6976" w:type="dxa"/>
            <w:gridSpan w:val="5"/>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7" w:hRule="atLeast"/>
          <w:tblHeader/>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eastAsia="仿宋_GB2312" w:cs="宋体" w:hAnsiTheme="minorEastAsia"/>
                <w:b/>
                <w:kern w:val="0"/>
                <w:sz w:val="20"/>
                <w:szCs w:val="20"/>
              </w:rPr>
              <w:t xml:space="preserve">    </w:t>
            </w:r>
            <w:r>
              <w:rPr>
                <w:rFonts w:hint="eastAsia" w:ascii="仿宋_GB2312" w:eastAsia="仿宋_GB2312" w:cs="宋体" w:hAnsiTheme="minorEastAsia"/>
                <w:b/>
                <w:bCs/>
                <w:kern w:val="0"/>
                <w:sz w:val="20"/>
                <w:szCs w:val="20"/>
              </w:rPr>
              <w:t>目</w:t>
            </w:r>
          </w:p>
        </w:tc>
        <w:tc>
          <w:tcPr>
            <w:tcW w:w="96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  能  分  类</w:t>
            </w:r>
          </w:p>
        </w:tc>
        <w:tc>
          <w:tcPr>
            <w:tcW w:w="113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112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一般公共预算</w:t>
            </w:r>
          </w:p>
        </w:tc>
        <w:tc>
          <w:tcPr>
            <w:tcW w:w="99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政府性基金</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w:t>
            </w:r>
          </w:p>
        </w:tc>
        <w:tc>
          <w:tcPr>
            <w:tcW w:w="99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一、财政拨款（补助）</w:t>
            </w:r>
            <w:r>
              <w:rPr>
                <w:rFonts w:hint="eastAsia" w:ascii="仿宋_GB2312" w:hAnsi="MS Gothic" w:eastAsia="仿宋_GB2312" w:cs="MS Gothic"/>
                <w:kern w:val="0"/>
                <w:sz w:val="18"/>
                <w:szCs w:val="18"/>
                <w:cs/>
              </w:rPr>
              <w:t>‎</w:t>
            </w:r>
          </w:p>
        </w:tc>
        <w:tc>
          <w:tcPr>
            <w:tcW w:w="966"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169.59</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一般公共预算</w:t>
            </w:r>
          </w:p>
        </w:tc>
        <w:tc>
          <w:tcPr>
            <w:tcW w:w="966"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169.59</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w:t>
            </w:r>
          </w:p>
        </w:tc>
        <w:tc>
          <w:tcPr>
            <w:tcW w:w="966"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w:t>
            </w:r>
          </w:p>
        </w:tc>
        <w:tc>
          <w:tcPr>
            <w:tcW w:w="966"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32.45</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32.45</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6.88</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6.88</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116.81</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116.81</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13.45</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13.45</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exact"/>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收 入 总 计</w:t>
            </w:r>
          </w:p>
        </w:tc>
        <w:tc>
          <w:tcPr>
            <w:tcW w:w="96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169.59</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 出 总 计</w:t>
            </w:r>
          </w:p>
        </w:tc>
        <w:tc>
          <w:tcPr>
            <w:tcW w:w="113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169.59</w:t>
            </w:r>
          </w:p>
        </w:tc>
        <w:tc>
          <w:tcPr>
            <w:tcW w:w="112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color w:val="000000"/>
                <w:kern w:val="0"/>
                <w:sz w:val="20"/>
                <w:szCs w:val="20"/>
              </w:rPr>
              <w:t>169.59</w:t>
            </w:r>
          </w:p>
        </w:tc>
        <w:tc>
          <w:tcPr>
            <w:tcW w:w="992" w:type="dxa"/>
            <w:vAlign w:val="center"/>
          </w:tcPr>
          <w:p>
            <w:pPr>
              <w:widowControl/>
              <w:jc w:val="right"/>
              <w:rPr>
                <w:rFonts w:hint="eastAsia" w:ascii="仿宋_GB2312" w:eastAsia="仿宋_GB2312" w:cs="宋体" w:hAnsiTheme="minorEastAsia"/>
                <w:b/>
                <w:bCs/>
                <w:kern w:val="0"/>
                <w:sz w:val="20"/>
                <w:szCs w:val="20"/>
              </w:rPr>
            </w:pPr>
          </w:p>
        </w:tc>
        <w:tc>
          <w:tcPr>
            <w:tcW w:w="997" w:type="dxa"/>
            <w:vAlign w:val="center"/>
          </w:tcPr>
          <w:p>
            <w:pPr>
              <w:widowControl/>
              <w:jc w:val="right"/>
              <w:rPr>
                <w:rFonts w:hint="eastAsia" w:ascii="仿宋_GB2312" w:eastAsia="仿宋_GB2312" w:cs="宋体" w:hAnsiTheme="minorEastAsia"/>
                <w:b/>
                <w:bCs/>
                <w:kern w:val="0"/>
                <w:sz w:val="20"/>
                <w:szCs w:val="20"/>
              </w:rPr>
            </w:pPr>
          </w:p>
        </w:tc>
      </w:tr>
    </w:tbl>
    <w:p>
      <w:pPr>
        <w:widowControl/>
        <w:spacing w:line="20" w:lineRule="exact"/>
        <w:jc w:val="left"/>
        <w:rPr>
          <w:rFonts w:ascii="微软雅黑" w:hAnsi="Calibri" w:eastAsia="微软雅黑"/>
          <w:b/>
          <w:bCs/>
          <w:kern w:val="44"/>
          <w:sz w:val="24"/>
        </w:rPr>
      </w:pPr>
      <w:r>
        <w:rPr>
          <w:rFonts w:ascii="微软雅黑" w:hAnsi="Calibri" w:eastAsia="微软雅黑"/>
          <w:b/>
          <w:bCs/>
          <w:kern w:val="44"/>
          <w:sz w:val="24"/>
        </w:rPr>
        <w:br w:type="page"/>
      </w:r>
    </w:p>
    <w:p>
      <w:pPr>
        <w:widowControl/>
        <w:jc w:val="left"/>
        <w:rPr>
          <w:rFonts w:hint="eastAsia" w:ascii="宋体" w:hAnsi="宋体"/>
          <w:bCs/>
          <w:kern w:val="0"/>
          <w:sz w:val="20"/>
          <w:szCs w:val="20"/>
        </w:rPr>
      </w:pPr>
      <w:r>
        <w:rPr>
          <w:rFonts w:hint="eastAsia" w:ascii="宋体" w:hAnsi="宋体"/>
          <w:bCs/>
          <w:kern w:val="0"/>
          <w:sz w:val="20"/>
          <w:szCs w:val="20"/>
        </w:rPr>
        <w:t>表5</w:t>
      </w:r>
    </w:p>
    <w:p>
      <w:pPr>
        <w:widowControl/>
        <w:jc w:val="center"/>
        <w:outlineLvl w:val="2"/>
        <w:rPr>
          <w:rFonts w:ascii="微软雅黑" w:hAnsi="Calibri" w:eastAsia="微软雅黑"/>
          <w:b/>
          <w:bCs/>
          <w:kern w:val="44"/>
          <w:sz w:val="32"/>
          <w:szCs w:val="32"/>
        </w:rPr>
      </w:pPr>
      <w:r>
        <w:rPr>
          <w:rFonts w:hint="eastAsia" w:ascii="仿宋_GB2312" w:hAnsi="宋体" w:eastAsia="仿宋_GB2312"/>
          <w:b/>
          <w:kern w:val="0"/>
          <w:sz w:val="32"/>
          <w:szCs w:val="32"/>
        </w:rPr>
        <w:t>一般公共预算支出情况表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编制部门：新疆维吾尔自治区喀什地区麦盖提县供销社</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709"/>
        <w:gridCol w:w="769"/>
        <w:gridCol w:w="3146"/>
        <w:gridCol w:w="1559"/>
        <w:gridCol w:w="127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3" w:hRule="atLeast"/>
          <w:tblHeader/>
          <w:jc w:val="center"/>
        </w:trPr>
        <w:tc>
          <w:tcPr>
            <w:tcW w:w="5382"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blHeader/>
          <w:jc w:val="center"/>
        </w:trPr>
        <w:tc>
          <w:tcPr>
            <w:tcW w:w="2236"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14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559"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  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701"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jc w:val="center"/>
        </w:trPr>
        <w:tc>
          <w:tcPr>
            <w:tcW w:w="75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6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14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559"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701"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社会保障和就业支出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32.45</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32.45</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行政事业单位养老支出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32.45</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32.45</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事业单位离退休</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16.49</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16.49</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15.96</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15.96</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卫生健康支出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6.88</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6.88</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行政事业单位医疗</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6.88</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6.88</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事业单位医疗</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6.88</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6.88</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216</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商业服务业等支出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116.81</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116.81</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216</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商业流通事务</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116.81</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116.81</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216</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50</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事业运行</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116.81</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116.81</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住房保障支出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13.45</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13.45</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住房改革支出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13.45</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13.45</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13.45</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13.45</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20"/>
                <w:szCs w:val="20"/>
              </w:rPr>
            </w:pPr>
          </w:p>
        </w:tc>
        <w:tc>
          <w:tcPr>
            <w:tcW w:w="709" w:type="dxa"/>
            <w:vAlign w:val="center"/>
          </w:tcPr>
          <w:p>
            <w:pPr>
              <w:widowControl/>
              <w:jc w:val="center"/>
              <w:rPr>
                <w:rFonts w:hint="eastAsia" w:ascii="仿宋_GB2312" w:eastAsia="仿宋_GB2312" w:cs="宋体" w:hAnsiTheme="minorEastAsia"/>
                <w:color w:val="000000"/>
                <w:kern w:val="0"/>
                <w:sz w:val="20"/>
                <w:szCs w:val="20"/>
              </w:rPr>
            </w:pPr>
          </w:p>
        </w:tc>
        <w:tc>
          <w:tcPr>
            <w:tcW w:w="769" w:type="dxa"/>
            <w:vAlign w:val="center"/>
          </w:tcPr>
          <w:p>
            <w:pPr>
              <w:widowControl/>
              <w:jc w:val="center"/>
              <w:rPr>
                <w:rFonts w:hint="eastAsia" w:ascii="仿宋_GB2312" w:eastAsia="仿宋_GB2312" w:cs="宋体" w:hAnsiTheme="minorEastAsia"/>
                <w:color w:val="000000"/>
                <w:kern w:val="0"/>
                <w:sz w:val="20"/>
                <w:szCs w:val="20"/>
              </w:rPr>
            </w:pPr>
          </w:p>
        </w:tc>
        <w:tc>
          <w:tcPr>
            <w:tcW w:w="314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559"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169.59</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169.59</w:t>
            </w:r>
          </w:p>
        </w:tc>
        <w:tc>
          <w:tcPr>
            <w:tcW w:w="1701" w:type="dxa"/>
            <w:vAlign w:val="center"/>
          </w:tcPr>
          <w:p>
            <w:pPr>
              <w:widowControl/>
              <w:jc w:val="right"/>
              <w:rPr>
                <w:rFonts w:hint="eastAsia" w:ascii="仿宋_GB2312" w:eastAsia="仿宋_GB2312" w:cs="宋体" w:hAnsiTheme="minorEastAsia"/>
                <w:b/>
                <w:bCs/>
                <w:color w:val="000000"/>
                <w:kern w:val="0"/>
                <w:sz w:val="20"/>
                <w:szCs w:val="20"/>
              </w:rPr>
            </w:pPr>
          </w:p>
        </w:tc>
      </w:tr>
    </w:tbl>
    <w:p>
      <w:pPr>
        <w:widowControl/>
        <w:spacing w:line="20" w:lineRule="exact"/>
        <w:jc w:val="left"/>
        <w:rPr>
          <w:rFonts w:hint="eastAsia" w:cs="宋体" w:asciiTheme="minorEastAsia" w:hAnsiTheme="minorEastAsia" w:eastAsiaTheme="minorEastAsia"/>
          <w:kern w:val="0"/>
          <w:sz w:val="18"/>
          <w:szCs w:val="18"/>
        </w:rPr>
      </w:pPr>
      <w:r>
        <w:rPr>
          <w:rFonts w:cs="宋体" w:asciiTheme="minorEastAsia" w:hAnsiTheme="minorEastAsia" w:eastAsiaTheme="minorEastAsia"/>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表6</w:t>
      </w:r>
    </w:p>
    <w:p>
      <w:pPr>
        <w:widowControl/>
        <w:jc w:val="center"/>
        <w:outlineLvl w:val="2"/>
        <w:rPr>
          <w:sz w:val="22"/>
          <w:szCs w:val="28"/>
        </w:rPr>
      </w:pPr>
      <w:r>
        <w:rPr>
          <w:rFonts w:hint="eastAsia" w:ascii="仿宋_GB2312" w:hAnsi="宋体" w:eastAsia="仿宋_GB2312"/>
          <w:b/>
          <w:kern w:val="0"/>
          <w:sz w:val="32"/>
          <w:szCs w:val="32"/>
        </w:rPr>
        <w:t>一般公共预算基本支出情况表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编制部门：新疆维吾尔自治区喀什地区麦盖提县供销社</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992"/>
        <w:gridCol w:w="3118"/>
        <w:gridCol w:w="1985"/>
        <w:gridCol w:w="1417"/>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blHeader/>
          <w:jc w:val="center"/>
        </w:trPr>
        <w:tc>
          <w:tcPr>
            <w:tcW w:w="5098"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820"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tblHeader/>
          <w:jc w:val="center"/>
        </w:trPr>
        <w:tc>
          <w:tcPr>
            <w:tcW w:w="1980" w:type="dxa"/>
            <w:gridSpan w:val="2"/>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经济分类科目编码</w:t>
            </w:r>
          </w:p>
        </w:tc>
        <w:tc>
          <w:tcPr>
            <w:tcW w:w="31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经济分类科目名称</w:t>
            </w:r>
          </w:p>
        </w:tc>
        <w:tc>
          <w:tcPr>
            <w:tcW w:w="1985"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417"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人员经费</w:t>
            </w:r>
          </w:p>
        </w:tc>
        <w:tc>
          <w:tcPr>
            <w:tcW w:w="14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blHeader/>
          <w:jc w:val="center"/>
        </w:trPr>
        <w:tc>
          <w:tcPr>
            <w:tcW w:w="98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992"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3118"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5"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7"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8"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150.28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150.28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基本工资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42.67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42.67</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津贴补贴</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23.52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23.52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22.95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22.95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绩效工资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24.15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24.15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15.96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15.96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职工基本医疗保险缴费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6.88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6.88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其他社会保障缴费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0.70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0.70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13.45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13.45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3.49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办公费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05</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0.10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06</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电费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0.22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邮电费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0.48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差旅费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0.84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0.73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对个人和家庭的补助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15.82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15.82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退休费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15.82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15.82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20"/>
                <w:szCs w:val="20"/>
              </w:rPr>
            </w:pPr>
          </w:p>
        </w:tc>
        <w:tc>
          <w:tcPr>
            <w:tcW w:w="992" w:type="dxa"/>
            <w:vAlign w:val="center"/>
          </w:tcPr>
          <w:p>
            <w:pPr>
              <w:widowControl/>
              <w:jc w:val="center"/>
              <w:rPr>
                <w:rFonts w:hint="eastAsia" w:ascii="仿宋_GB2312" w:eastAsia="仿宋_GB2312" w:cs="宋体" w:hAnsiTheme="minorEastAsia"/>
                <w:color w:val="000000"/>
                <w:kern w:val="0"/>
                <w:sz w:val="20"/>
                <w:szCs w:val="20"/>
              </w:rPr>
            </w:pPr>
          </w:p>
        </w:tc>
        <w:tc>
          <w:tcPr>
            <w:tcW w:w="311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985"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169.59</w:t>
            </w:r>
          </w:p>
        </w:tc>
        <w:tc>
          <w:tcPr>
            <w:tcW w:w="1417" w:type="dxa"/>
            <w:vAlign w:val="center"/>
          </w:tcPr>
          <w:p>
            <w:pPr>
              <w:widowControl/>
              <w:ind w:right="147" w:rightChars="70"/>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166.10</w:t>
            </w:r>
          </w:p>
        </w:tc>
        <w:tc>
          <w:tcPr>
            <w:tcW w:w="1418"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3.49</w:t>
            </w: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宋体" w:hAnsi="宋体"/>
          <w:bCs/>
          <w:kern w:val="0"/>
          <w:sz w:val="20"/>
          <w:szCs w:val="20"/>
        </w:rPr>
        <w:sectPr>
          <w:pgSz w:w="11906" w:h="16838"/>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表7</w:t>
      </w:r>
    </w:p>
    <w:p>
      <w:pPr>
        <w:widowControl/>
        <w:jc w:val="center"/>
        <w:outlineLvl w:val="2"/>
        <w:rPr>
          <w:rFonts w:hint="eastAsia" w:ascii="仿宋_GB2312" w:hAnsi="宋体" w:eastAsia="仿宋_GB2312"/>
          <w:b/>
          <w:kern w:val="0"/>
          <w:sz w:val="36"/>
          <w:szCs w:val="36"/>
        </w:rPr>
      </w:pPr>
      <w:r>
        <w:rPr>
          <w:rFonts w:hint="eastAsia" w:ascii="仿宋_GB2312" w:hAnsi="宋体" w:eastAsia="仿宋_GB2312"/>
          <w:b/>
          <w:kern w:val="0"/>
          <w:sz w:val="32"/>
          <w:szCs w:val="32"/>
        </w:rPr>
        <w:t>一般公共预算项目支出情况表</w:t>
      </w:r>
    </w:p>
    <w:tbl>
      <w:tblPr>
        <w:tblStyle w:val="12"/>
        <w:tblW w:w="148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6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13467" w:type="dxa"/>
            <w:tcBorders>
              <w:top w:val="nil"/>
              <w:left w:val="nil"/>
              <w:bottom w:val="nil"/>
              <w:right w:val="nil"/>
            </w:tcBorders>
            <w:vAlign w:val="bottom"/>
          </w:tcPr>
          <w:p>
            <w:pPr>
              <w:widowControl/>
              <w:ind w:left="-122"/>
              <w:jc w:val="left"/>
              <w:rPr>
                <w:rFonts w:hint="eastAsia" w:ascii="仿宋_GB2312" w:hAnsi="宋体" w:eastAsia="仿宋_GB2312" w:cs="宋体"/>
                <w:color w:val="000000"/>
                <w:kern w:val="0"/>
                <w:sz w:val="24"/>
              </w:rPr>
            </w:pPr>
            <w:r>
              <w:rPr>
                <w:rFonts w:hint="eastAsia" w:ascii="仿宋_GB2312" w:hAnsi="宋体" w:eastAsia="仿宋_GB2312" w:cs="宋体"/>
                <w:kern w:val="0"/>
                <w:sz w:val="24"/>
              </w:rPr>
              <w:t>编制部门：新疆维吾尔自治区喀什地区麦盖提县供销社</w:t>
            </w:r>
          </w:p>
        </w:tc>
        <w:tc>
          <w:tcPr>
            <w:tcW w:w="1417" w:type="dxa"/>
            <w:tcBorders>
              <w:top w:val="nil"/>
              <w:left w:val="nil"/>
              <w:bottom w:val="nil"/>
              <w:right w:val="nil"/>
            </w:tcBorders>
            <w:vAlign w:val="bottom"/>
          </w:tcPr>
          <w:p>
            <w:pPr>
              <w:widowControl/>
              <w:jc w:val="righ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bl>
    <w:p>
      <w:pPr>
        <w:spacing w:line="20" w:lineRule="exact"/>
        <w:rPr>
          <w:sz w:val="2"/>
          <w:szCs w:val="2"/>
        </w:rPr>
      </w:pPr>
    </w:p>
    <w:tbl>
      <w:tblPr>
        <w:tblStyle w:val="12"/>
        <w:tblW w:w="148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842"/>
        <w:gridCol w:w="2127"/>
        <w:gridCol w:w="1417"/>
        <w:gridCol w:w="709"/>
        <w:gridCol w:w="709"/>
        <w:gridCol w:w="708"/>
        <w:gridCol w:w="709"/>
        <w:gridCol w:w="851"/>
        <w:gridCol w:w="708"/>
        <w:gridCol w:w="851"/>
        <w:gridCol w:w="709"/>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blHeader/>
          <w:jc w:val="center"/>
        </w:trPr>
        <w:tc>
          <w:tcPr>
            <w:tcW w:w="2122"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 目 编 码</w:t>
            </w:r>
          </w:p>
        </w:tc>
        <w:tc>
          <w:tcPr>
            <w:tcW w:w="1842"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科目名称</w:t>
            </w:r>
          </w:p>
        </w:tc>
        <w:tc>
          <w:tcPr>
            <w:tcW w:w="2127" w:type="dxa"/>
            <w:vMerge w:val="restart"/>
            <w:tcBorders>
              <w:top w:val="single" w:color="auto" w:sz="4" w:space="0"/>
            </w:tcBorders>
            <w:vAlign w:val="center"/>
          </w:tcPr>
          <w:p>
            <w:pPr>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项目名称</w:t>
            </w:r>
          </w:p>
        </w:tc>
        <w:tc>
          <w:tcPr>
            <w:tcW w:w="1417"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r>
              <w:rPr>
                <w:rFonts w:ascii="仿宋_GB2312" w:eastAsia="仿宋_GB2312" w:cs="宋体" w:hAnsiTheme="minorEastAsia"/>
                <w:b/>
                <w:bCs/>
                <w:color w:val="000000"/>
                <w:kern w:val="0"/>
                <w:sz w:val="20"/>
                <w:szCs w:val="20"/>
              </w:rPr>
              <w:t>合计</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工资福利支出</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商品和服务支出</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对个人和家庭的补助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债务利息及费用支出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性支出（基本建设）</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资本性支出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对企业补助（基本建设）</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对社会保障基金补助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其他</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blHeader/>
          <w:jc w:val="center"/>
        </w:trPr>
        <w:tc>
          <w:tcPr>
            <w:tcW w:w="704"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1842"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2127" w:type="dxa"/>
            <w:vMerge w:val="continue"/>
          </w:tcPr>
          <w:p>
            <w:pPr>
              <w:widowControl/>
              <w:jc w:val="left"/>
              <w:rPr>
                <w:rFonts w:hint="eastAsia" w:ascii="仿宋_GB2312" w:eastAsia="仿宋_GB2312" w:cs="宋体" w:hAnsiTheme="minorEastAsia"/>
                <w:b/>
                <w:bCs/>
                <w:color w:val="000000"/>
                <w:kern w:val="0"/>
                <w:sz w:val="20"/>
                <w:szCs w:val="20"/>
              </w:rPr>
            </w:pPr>
          </w:p>
        </w:tc>
        <w:tc>
          <w:tcPr>
            <w:tcW w:w="1417"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1842" w:type="dxa"/>
            <w:vAlign w:val="center"/>
          </w:tcPr>
          <w:p>
            <w:pPr>
              <w:widowControl/>
              <w:jc w:val="center"/>
              <w:outlineLvl w:val="1"/>
              <w:rPr>
                <w:rFonts w:hint="eastAsia" w:ascii="仿宋_GB2312" w:eastAsia="仿宋_GB2312" w:hAnsiTheme="minorEastAsia"/>
                <w:kern w:val="0"/>
                <w:sz w:val="20"/>
                <w:szCs w:val="20"/>
              </w:rPr>
            </w:pPr>
          </w:p>
        </w:tc>
        <w:tc>
          <w:tcPr>
            <w:tcW w:w="212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合计</w:t>
            </w:r>
          </w:p>
        </w:tc>
        <w:tc>
          <w:tcPr>
            <w:tcW w:w="1417"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pStyle w:val="8"/>
              <w:shd w:val="clear" w:color="auto" w:fill="FFFFFF"/>
              <w:jc w:val="center"/>
              <w:rPr>
                <w:rFonts w:hint="default" w:ascii="仿宋_GB2312" w:hAnsi="Courier New" w:eastAsia="仿宋_GB2312" w:cs="Courier New"/>
                <w:color w:val="080808"/>
                <w:sz w:val="20"/>
                <w:szCs w:val="20"/>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备注：新疆维吾尔自治区喀什地区麦盖提县供销社</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年没有使用一般公共预算安排的支出，一般公共预算项目支出情况表为空表。</w:t>
      </w:r>
    </w:p>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仿宋_GB2312" w:hAnsi="宋体" w:eastAsia="仿宋_GB2312" w:cs="宋体"/>
          <w:b/>
          <w:bCs/>
          <w:color w:val="000000"/>
          <w:kern w:val="0"/>
          <w:sz w:val="18"/>
          <w:szCs w:val="18"/>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表8</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编制部门：新疆维吾尔自治区喀什地区麦盖提县供销社</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3402"/>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536"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340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3402"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 w:hRule="atLeast"/>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340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134"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备注：新疆维吾尔自治区喀什地区麦盖提县供销社</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年没有使用政府性基金预算拨款安排的支出，政府性基金预算支出情况表为空表。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表9</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编制部门：新疆维吾尔自治区喀什地区麦盖提县供销社</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2948"/>
        <w:gridCol w:w="1446"/>
        <w:gridCol w:w="1134"/>
        <w:gridCol w:w="1134"/>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07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99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2948"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44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2948" w:type="dxa"/>
            <w:vMerge w:val="continue"/>
            <w:vAlign w:val="center"/>
          </w:tcPr>
          <w:p>
            <w:pPr>
              <w:widowControl/>
              <w:jc w:val="left"/>
              <w:rPr>
                <w:rFonts w:hint="eastAsia" w:ascii="仿宋_GB2312" w:eastAsia="仿宋_GB2312" w:cs="宋体" w:hAnsiTheme="minorEastAsia"/>
                <w:b/>
                <w:bCs/>
                <w:kern w:val="0"/>
                <w:sz w:val="20"/>
                <w:szCs w:val="20"/>
              </w:rPr>
            </w:pPr>
          </w:p>
        </w:tc>
        <w:tc>
          <w:tcPr>
            <w:tcW w:w="1446"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276"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294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446"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276"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备注：新疆维吾尔自治区喀什地区麦盖提县供销社</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年没有使用国有资本经营预算拨款安排的支出，国有资本经营预算支出情况表为空表。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表1</w:t>
      </w:r>
      <w:r>
        <w:rPr>
          <w:rFonts w:ascii="宋体" w:hAnsi="宋体"/>
          <w:bCs/>
          <w:kern w:val="0"/>
          <w:sz w:val="20"/>
          <w:szCs w:val="20"/>
        </w:rPr>
        <w:t>0</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446" w:hRule="atLeast"/>
          <w:jc w:val="center"/>
        </w:trPr>
        <w:tc>
          <w:tcPr>
            <w:tcW w:w="8505" w:type="dxa"/>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编制部门：新疆维吾尔自治区喀什地区麦盖提县供销社</w:t>
            </w:r>
          </w:p>
        </w:tc>
        <w:tc>
          <w:tcPr>
            <w:tcW w:w="1418" w:type="dxa"/>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2268"/>
        <w:gridCol w:w="1985"/>
        <w:gridCol w:w="1134"/>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tblHeader/>
          <w:jc w:val="center"/>
        </w:trPr>
        <w:tc>
          <w:tcPr>
            <w:tcW w:w="2972"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hAnsi="MS Gothic" w:eastAsia="仿宋_GB2312" w:cs="MS Gothic"/>
                <w:b/>
                <w:bCs/>
                <w:kern w:val="0"/>
                <w:sz w:val="24"/>
                <w:cs/>
              </w:rPr>
              <w:t>‎</w:t>
            </w:r>
            <w:r>
              <w:rPr>
                <w:rFonts w:hint="eastAsia" w:ascii="仿宋_GB2312" w:eastAsia="仿宋_GB2312" w:cs="宋体" w:hAnsiTheme="minorEastAsia"/>
                <w:b/>
                <w:bCs/>
                <w:kern w:val="0"/>
                <w:sz w:val="24"/>
              </w:rPr>
              <w:t>“三公”经费支出内容</w:t>
            </w:r>
            <w:r>
              <w:rPr>
                <w:rFonts w:hint="eastAsia" w:ascii="仿宋_GB2312" w:hAnsi="MS Gothic" w:eastAsia="仿宋_GB2312" w:cs="MS Gothic"/>
                <w:b/>
                <w:bCs/>
                <w:kern w:val="0"/>
                <w:sz w:val="24"/>
                <w:cs/>
              </w:rPr>
              <w:t>‎</w:t>
            </w:r>
          </w:p>
        </w:tc>
        <w:tc>
          <w:tcPr>
            <w:tcW w:w="2268"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4678" w:type="dxa"/>
            <w:gridSpan w:val="3"/>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blHeader/>
          <w:jc w:val="center"/>
        </w:trPr>
        <w:tc>
          <w:tcPr>
            <w:tcW w:w="2972" w:type="dxa"/>
            <w:vMerge w:val="continue"/>
            <w:vAlign w:val="center"/>
          </w:tcPr>
          <w:p>
            <w:pPr>
              <w:widowControl/>
              <w:jc w:val="center"/>
              <w:rPr>
                <w:rFonts w:hint="eastAsia" w:ascii="仿宋_GB2312" w:eastAsia="仿宋_GB2312" w:cs="宋体" w:hAnsiTheme="minorEastAsia"/>
                <w:b/>
                <w:bCs/>
                <w:kern w:val="0"/>
                <w:sz w:val="24"/>
              </w:rPr>
            </w:pPr>
          </w:p>
        </w:tc>
        <w:tc>
          <w:tcPr>
            <w:tcW w:w="2268" w:type="dxa"/>
            <w:vMerge w:val="continue"/>
            <w:vAlign w:val="center"/>
          </w:tcPr>
          <w:p>
            <w:pPr>
              <w:widowControl/>
              <w:jc w:val="center"/>
              <w:rPr>
                <w:rFonts w:hint="eastAsia" w:ascii="仿宋_GB2312" w:eastAsia="仿宋_GB2312" w:cs="宋体" w:hAnsiTheme="minorEastAsia"/>
                <w:b/>
                <w:bCs/>
                <w:kern w:val="0"/>
                <w:sz w:val="24"/>
              </w:rPr>
            </w:pPr>
          </w:p>
        </w:tc>
        <w:tc>
          <w:tcPr>
            <w:tcW w:w="1985"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一般公共预算</w:t>
            </w:r>
          </w:p>
        </w:tc>
        <w:tc>
          <w:tcPr>
            <w:tcW w:w="1134"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w:t>
            </w:r>
          </w:p>
        </w:tc>
        <w:tc>
          <w:tcPr>
            <w:tcW w:w="1559"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2268" w:type="dxa"/>
            <w:vAlign w:val="center"/>
          </w:tcPr>
          <w:p>
            <w:pPr>
              <w:widowControl/>
              <w:jc w:val="center"/>
              <w:rPr>
                <w:rFonts w:hint="eastAsia" w:ascii="仿宋_GB2312" w:eastAsia="仿宋_GB2312" w:cs="宋体" w:hAnsiTheme="minorEastAsia"/>
                <w:b/>
                <w:bCs/>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因公出国（境）费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公务接待费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公务用车购置及运行费（小计）</w:t>
            </w:r>
            <w:r>
              <w:rPr>
                <w:rFonts w:hint="eastAsia" w:ascii="仿宋_GB2312" w:hAnsi="MS Gothic" w:eastAsia="仿宋_GB2312" w:cs="MS Gothic"/>
                <w:b/>
                <w:bCs/>
                <w:kern w:val="0"/>
                <w:sz w:val="24"/>
                <w:cs/>
              </w:rPr>
              <w:t>‎</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其中：公务用车购置费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 xml:space="preserve">      公务用车运行费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备注：新疆维吾尔自治区喀什地区麦盖提县供销社</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年没有使用财政拨款“三公”经费安排的支出，财政拨款“三公”经费支出情况表为空表。</w:t>
      </w:r>
    </w:p>
    <w:p>
      <w:pPr>
        <w:widowControl/>
        <w:spacing w:line="20" w:lineRule="exact"/>
        <w:jc w:val="left"/>
        <w:rPr>
          <w:rFonts w:hint="eastAsia" w:ascii="仿宋_GB2312" w:hAnsi="宋体" w:eastAsia="仿宋_GB2312" w:cs="宋体"/>
          <w:b/>
          <w:bCs/>
          <w:color w:val="000000"/>
          <w:kern w:val="0"/>
          <w:sz w:val="18"/>
          <w:szCs w:val="18"/>
        </w:rPr>
      </w:pPr>
      <w:r>
        <w:rPr>
          <w:rFonts w:ascii="仿宋_GB2312" w:hAnsi="宋体" w:eastAsia="仿宋_GB2312" w:cs="宋体"/>
          <w:b/>
          <w:bCs/>
          <w:color w:val="000000"/>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w:t>
      </w:r>
      <w:r>
        <w:rPr>
          <w:rFonts w:ascii="宋体" w:hAnsi="宋体"/>
          <w:bCs/>
          <w:kern w:val="0"/>
          <w:sz w:val="20"/>
          <w:szCs w:val="20"/>
        </w:rPr>
        <w:t>11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tbl>
      <w:tblPr>
        <w:tblStyle w:val="12"/>
        <w:tblW w:w="10065" w:type="dxa"/>
        <w:jc w:val="center"/>
        <w:tblInd w:w="0" w:type="dxa"/>
        <w:tblLayout w:type="fixed"/>
        <w:tblCellMar>
          <w:top w:w="0" w:type="dxa"/>
          <w:left w:w="108" w:type="dxa"/>
          <w:bottom w:w="0" w:type="dxa"/>
          <w:right w:w="108" w:type="dxa"/>
        </w:tblCellMar>
      </w:tblPr>
      <w:tblGrid>
        <w:gridCol w:w="8222"/>
        <w:gridCol w:w="1843"/>
      </w:tblGrid>
      <w:tr>
        <w:tblPrEx>
          <w:tblLayout w:type="fixed"/>
          <w:tblCellMar>
            <w:top w:w="0" w:type="dxa"/>
            <w:left w:w="108" w:type="dxa"/>
            <w:bottom w:w="0" w:type="dxa"/>
            <w:right w:w="108" w:type="dxa"/>
          </w:tblCellMar>
        </w:tblPrEx>
        <w:trPr>
          <w:trHeight w:val="357" w:hRule="atLeast"/>
          <w:jc w:val="center"/>
        </w:trPr>
        <w:tc>
          <w:tcPr>
            <w:tcW w:w="8222" w:type="dxa"/>
            <w:vAlign w:val="bottom"/>
          </w:tcPr>
          <w:p>
            <w:pPr>
              <w:widowControl/>
              <w:rPr>
                <w:rFonts w:hint="eastAsia" w:ascii="仿宋_GB2312" w:hAnsi="宋体" w:eastAsia="仿宋_GB2312" w:cs="宋体"/>
                <w:b/>
                <w:bCs/>
                <w:kern w:val="0"/>
                <w:sz w:val="24"/>
              </w:rPr>
            </w:pPr>
            <w:r>
              <w:rPr>
                <w:rFonts w:hint="eastAsia" w:ascii="仿宋_GB2312" w:hAnsi="宋体" w:eastAsia="仿宋_GB2312" w:cs="宋体"/>
                <w:kern w:val="0"/>
                <w:sz w:val="24"/>
              </w:rPr>
              <w:t>编制部门：新疆维吾尔自治区喀什地区麦盖提县供销社</w:t>
            </w:r>
          </w:p>
        </w:tc>
        <w:tc>
          <w:tcPr>
            <w:tcW w:w="1843"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tbl>
      <w:tblPr>
        <w:tblStyle w:val="22"/>
        <w:tblpPr w:leftFromText="180" w:rightFromText="180" w:vertAnchor="text" w:horzAnchor="margin" w:tblpXSpec="center" w:tblpY="47"/>
        <w:tblOverlap w:val="never"/>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163"/>
        <w:gridCol w:w="992"/>
        <w:gridCol w:w="709"/>
        <w:gridCol w:w="709"/>
        <w:gridCol w:w="992"/>
        <w:gridCol w:w="1134"/>
        <w:gridCol w:w="709"/>
        <w:gridCol w:w="708"/>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trPr>
        <w:tc>
          <w:tcPr>
            <w:tcW w:w="1951"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tc>
        <w:tc>
          <w:tcPr>
            <w:tcW w:w="1163"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3402"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财政拨款</w:t>
            </w:r>
          </w:p>
        </w:tc>
        <w:tc>
          <w:tcPr>
            <w:tcW w:w="3544"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blHeader/>
        </w:trPr>
        <w:tc>
          <w:tcPr>
            <w:tcW w:w="1951" w:type="dxa"/>
            <w:vMerge w:val="continue"/>
            <w:vAlign w:val="center"/>
          </w:tcPr>
          <w:p>
            <w:pPr>
              <w:widowControl/>
              <w:jc w:val="center"/>
              <w:rPr>
                <w:rFonts w:hint="eastAsia" w:ascii="仿宋_GB2312" w:eastAsia="仿宋_GB2312" w:cs="宋体" w:hAnsiTheme="minorEastAsia"/>
                <w:b/>
                <w:bCs/>
                <w:kern w:val="0"/>
                <w:sz w:val="20"/>
                <w:szCs w:val="20"/>
              </w:rPr>
            </w:pPr>
          </w:p>
        </w:tc>
        <w:tc>
          <w:tcPr>
            <w:tcW w:w="1163" w:type="dxa"/>
            <w:vMerge w:val="continue"/>
            <w:vAlign w:val="center"/>
          </w:tcPr>
          <w:p>
            <w:pPr>
              <w:rPr>
                <w:rFonts w:hint="eastAsia" w:ascii="仿宋_GB2312" w:eastAsia="仿宋_GB2312" w:cs="宋体" w:hAnsiTheme="minorEastAsia"/>
                <w:b/>
                <w:bCs/>
                <w:kern w:val="0"/>
                <w:sz w:val="20"/>
                <w:szCs w:val="20"/>
              </w:rPr>
            </w:pP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7"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3" w:type="dxa"/>
            <w:vMerge w:val="restart"/>
            <w:vAlign w:val="center"/>
          </w:tcPr>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tblHeader/>
        </w:trPr>
        <w:tc>
          <w:tcPr>
            <w:tcW w:w="1951"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63"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34"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3" w:type="dxa"/>
            <w:vMerge w:val="continue"/>
            <w:vAlign w:val="center"/>
          </w:tcPr>
          <w:p>
            <w:pPr>
              <w:widowControl/>
              <w:spacing w:line="280" w:lineRule="exact"/>
              <w:jc w:val="center"/>
              <w:rPr>
                <w:rFonts w:hint="eastAsia"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rPr>
              <w:t>麦盖提县克孜勒阿瓦提乡英阿瓦提村等12个村高标准农田建设项目</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665.20</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665.20</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665.20</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jc w:val="center"/>
              <w:rPr>
                <w:rFonts w:ascii="仿宋_GB2312" w:eastAsia="仿宋_GB2312"/>
                <w:b/>
                <w:bCs/>
                <w:sz w:val="18"/>
                <w:szCs w:val="18"/>
              </w:rPr>
            </w:pPr>
          </w:p>
        </w:tc>
        <w:tc>
          <w:tcPr>
            <w:tcW w:w="1163" w:type="dxa"/>
            <w:vAlign w:val="center"/>
          </w:tcPr>
          <w:p>
            <w:pPr>
              <w:jc w:val="center"/>
              <w:rPr>
                <w:rFonts w:ascii="仿宋_GB2312" w:eastAsia="仿宋_GB2312"/>
                <w:b/>
                <w:bCs/>
                <w:sz w:val="18"/>
                <w:szCs w:val="18"/>
              </w:rPr>
            </w:pPr>
            <w:r>
              <w:rPr>
                <w:rFonts w:hint="eastAsia" w:ascii="仿宋_GB2312" w:eastAsia="仿宋_GB2312"/>
                <w:b/>
                <w:bCs/>
                <w:sz w:val="18"/>
                <w:szCs w:val="18"/>
              </w:rPr>
              <w:t>总计</w:t>
            </w:r>
          </w:p>
        </w:tc>
        <w:tc>
          <w:tcPr>
            <w:tcW w:w="992" w:type="dxa"/>
            <w:vAlign w:val="center"/>
          </w:tcPr>
          <w:p>
            <w:pPr>
              <w:jc w:val="center"/>
              <w:rPr>
                <w:rFonts w:ascii="仿宋_GB2312" w:eastAsia="仿宋_GB2312"/>
                <w:b/>
                <w:bCs/>
                <w:sz w:val="18"/>
                <w:szCs w:val="18"/>
              </w:rPr>
            </w:pPr>
            <w:r>
              <w:rPr>
                <w:rFonts w:hint="eastAsia" w:ascii="仿宋_GB2312" w:eastAsia="仿宋_GB2312"/>
                <w:b/>
                <w:bCs/>
                <w:sz w:val="18"/>
                <w:szCs w:val="18"/>
              </w:rPr>
              <w:t>665.20</w:t>
            </w:r>
          </w:p>
        </w:tc>
        <w:tc>
          <w:tcPr>
            <w:tcW w:w="709" w:type="dxa"/>
            <w:vAlign w:val="center"/>
          </w:tcPr>
          <w:p>
            <w:pPr>
              <w:widowControl/>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992" w:type="dxa"/>
            <w:vAlign w:val="center"/>
          </w:tcPr>
          <w:p>
            <w:pPr>
              <w:jc w:val="center"/>
              <w:rPr>
                <w:rFonts w:ascii="仿宋_GB2312" w:eastAsia="仿宋_GB2312"/>
                <w:b/>
                <w:bCs/>
                <w:sz w:val="18"/>
                <w:szCs w:val="18"/>
              </w:rPr>
            </w:pPr>
            <w:r>
              <w:rPr>
                <w:rFonts w:hint="eastAsia" w:ascii="仿宋_GB2312" w:eastAsia="仿宋_GB2312"/>
                <w:b/>
                <w:bCs/>
                <w:sz w:val="18"/>
                <w:szCs w:val="18"/>
              </w:rPr>
              <w:t>665.20</w:t>
            </w:r>
          </w:p>
        </w:tc>
        <w:tc>
          <w:tcPr>
            <w:tcW w:w="1134" w:type="dxa"/>
            <w:vAlign w:val="center"/>
          </w:tcPr>
          <w:p>
            <w:pPr>
              <w:jc w:val="center"/>
              <w:rPr>
                <w:rFonts w:ascii="仿宋_GB2312" w:eastAsia="仿宋_GB2312"/>
                <w:b/>
                <w:bCs/>
                <w:sz w:val="18"/>
                <w:szCs w:val="18"/>
              </w:rPr>
            </w:pPr>
          </w:p>
        </w:tc>
        <w:tc>
          <w:tcPr>
            <w:tcW w:w="709" w:type="dxa"/>
            <w:vAlign w:val="center"/>
          </w:tcPr>
          <w:p>
            <w:pPr>
              <w:jc w:val="center"/>
              <w:rPr>
                <w:rFonts w:ascii="仿宋_GB2312" w:eastAsia="仿宋_GB2312"/>
                <w:b/>
                <w:bCs/>
                <w:sz w:val="18"/>
                <w:szCs w:val="18"/>
              </w:rPr>
            </w:pPr>
          </w:p>
        </w:tc>
        <w:tc>
          <w:tcPr>
            <w:tcW w:w="708" w:type="dxa"/>
            <w:vAlign w:val="center"/>
          </w:tcPr>
          <w:p>
            <w:pPr>
              <w:jc w:val="center"/>
              <w:rPr>
                <w:rFonts w:ascii="仿宋_GB2312" w:eastAsia="仿宋_GB2312"/>
                <w:b/>
                <w:bCs/>
                <w:sz w:val="18"/>
                <w:szCs w:val="18"/>
              </w:rPr>
            </w:pPr>
          </w:p>
        </w:tc>
        <w:tc>
          <w:tcPr>
            <w:tcW w:w="993" w:type="dxa"/>
            <w:vAlign w:val="center"/>
          </w:tcPr>
          <w:p>
            <w:pPr>
              <w:jc w:val="center"/>
              <w:rPr>
                <w:rFonts w:ascii="仿宋_GB2312" w:eastAsia="仿宋_GB2312"/>
                <w:b/>
                <w:bCs/>
                <w:sz w:val="18"/>
                <w:szCs w:val="18"/>
              </w:rPr>
            </w:pPr>
          </w:p>
        </w:tc>
      </w:tr>
    </w:tbl>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spacing w:line="600" w:lineRule="exact"/>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第三部分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部门预算情况说明</w:t>
      </w:r>
    </w:p>
    <w:p>
      <w:pPr>
        <w:spacing w:line="560" w:lineRule="exact"/>
        <w:jc w:val="center"/>
        <w:rPr>
          <w:rFonts w:hint="eastAsia" w:ascii="黑体" w:hAnsi="黑体" w:eastAsia="黑体"/>
          <w:kern w:val="0"/>
          <w:sz w:val="32"/>
          <w:szCs w:val="32"/>
        </w:rPr>
      </w:pP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一、关于新疆维吾尔自治区喀什地区麦盖提县供销社</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按照全口径预算的原则，新疆维吾尔自治区喀什地区麦盖提县供销社</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年所有收入和支出均纳入部门预算管理。收支总预算834.79万元。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收入预算包括：一般公共预算、财政拨款结转结余。</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支出预算包括：社会保障和就业支出、卫生健康支出、商业服务业等支出、住房保障支出、其他支出。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二、关于新疆维吾尔自治区喀什地区麦盖提县供销社</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年收入预算情况说明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新疆维吾尔自治区喀什地区麦盖提县供销社收入预算834.79万元，其中：</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一般公共预算169.59万元，占20.32%,比上年预算增加33.57万元，增长24.68%，主要原因是：本年预算人员增加，人员工资福利支出增加，预算数相应增加。</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MS Gothic" w:eastAsia="仿宋_GB2312" w:cs="MS Gothic"/>
          <w:kern w:val="0"/>
          <w:sz w:val="32"/>
          <w:szCs w:val="32"/>
          <w:cs/>
        </w:rPr>
        <w:t>‎</w:t>
      </w:r>
      <w:r>
        <w:rPr>
          <w:rFonts w:hint="eastAsia" w:ascii="仿宋_GB2312" w:hAnsi="宋体" w:eastAsia="仿宋_GB2312" w:cs="宋体"/>
          <w:kern w:val="0"/>
          <w:sz w:val="32"/>
          <w:szCs w:val="32"/>
        </w:rPr>
        <w:t>财政拨款结转665.2万元，占79.68%,比上年预算增加665.2万元，增长100%，主要原因是：上年麦盖提县克孜勒阿瓦提乡英阿瓦提村等12个村高标准农田建设项目支出进度缓慢，结转至本年，预算数增加。</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三、关于新疆维吾尔自治区喀什地区麦盖提县供销社</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年支出预算情况说明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新疆维吾尔自治区喀什地区麦盖提县供销社</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年支出预算</w:t>
      </w:r>
      <w:r>
        <w:rPr>
          <w:rFonts w:ascii="仿宋_GB2312" w:hAnsi="宋体" w:eastAsia="仿宋_GB2312" w:cs="宋体"/>
          <w:kern w:val="0"/>
          <w:sz w:val="32"/>
          <w:szCs w:val="32"/>
        </w:rPr>
        <w:t>834.79</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169.59</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20.32</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33.57</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24.68</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本年预算人员增加，人员工资福利支出增加，预算数相应增加。</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665.2</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79.68</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665.2</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100</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上年麦盖提县克孜勒阿瓦提乡英阿瓦提村等12个村高标准农田建设项目支出进度缓慢，结转至本年，预算数增加。</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四、关于新疆维吾尔自治区喀什地区麦盖提县供销社</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年财政拨款收支总预算169.59万元。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收入全部为一般公共预算拨款，无政府性基金预算拨款和国有资本经营预算。</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收入预算包括：一般公共预算拨款169.59万元。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社会保障和就业支出32.45万元，主要用于：退休人员退休费和在职人员养老保险缴费支出；卫生健康支出6.88万元，主要用于：在职人员基本医疗保险支出；商业服务业等支出116.81万元，主要用于：人员工资福利支出及公用经费支出；住房保障支出13.45万元，主要用于：住房公积金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五、关于新疆维吾尔自治区喀什地区麦盖提县供销社</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年一般公共预算当年拨款情况说明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新疆维吾尔自治区喀什地区麦盖提县供销社</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年一般公共预算拨款合计</w:t>
      </w:r>
      <w:r>
        <w:rPr>
          <w:rFonts w:ascii="仿宋_GB2312" w:hAnsi="宋体" w:eastAsia="仿宋_GB2312" w:cs="宋体"/>
          <w:kern w:val="0"/>
          <w:sz w:val="32"/>
          <w:szCs w:val="32"/>
        </w:rPr>
        <w:t>169.59</w:t>
      </w:r>
      <w:r>
        <w:rPr>
          <w:rFonts w:hint="eastAsia" w:ascii="仿宋_GB2312" w:hAnsi="宋体" w:eastAsia="仿宋_GB2312" w:cs="宋体"/>
          <w:kern w:val="0"/>
          <w:sz w:val="32"/>
          <w:szCs w:val="32"/>
        </w:rPr>
        <w:t>万元，其中：</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169.59</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33.57</w:t>
      </w:r>
      <w:r>
        <w:rPr>
          <w:rFonts w:hint="eastAsia" w:ascii="仿宋_GB2312" w:hAnsi="宋体" w:eastAsia="仿宋_GB2312" w:cs="宋体"/>
          <w:kern w:val="0"/>
          <w:sz w:val="32"/>
          <w:szCs w:val="32"/>
        </w:rPr>
        <w:t>万元，</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r>
        <w:rPr>
          <w:rFonts w:ascii="仿宋_GB2312" w:hAnsi="宋体" w:eastAsia="仿宋_GB2312" w:cs="宋体"/>
          <w:kern w:val="0"/>
          <w:sz w:val="32"/>
          <w:szCs w:val="32"/>
        </w:rPr>
        <w:t>24.68</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 xml:space="preserve"> %。主要原因是：</w:t>
      </w:r>
      <w:r>
        <w:rPr>
          <w:rFonts w:ascii="仿宋_GB2312" w:hAnsi="宋体" w:eastAsia="仿宋_GB2312" w:cs="宋体"/>
          <w:kern w:val="0"/>
          <w:sz w:val="32"/>
          <w:szCs w:val="32"/>
        </w:rPr>
        <w:t>本年预算人员增加，人员工资福利支出增加，预算数相应增加。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w:t>
      </w:r>
      <w:bookmarkStart w:id="3" w:name="_Hlk157511263"/>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bookmarkEnd w:id="3"/>
      <w:r>
        <w:rPr>
          <w:rFonts w:ascii="仿宋_GB2312" w:hAnsi="宋体" w:eastAsia="仿宋_GB2312" w:cs="宋体"/>
          <w:kern w:val="0"/>
          <w:sz w:val="32"/>
          <w:szCs w:val="32"/>
        </w:rPr>
        <w:t>0</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年度及</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年度均未安排项目支出预算。</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ascii="仿宋_GB2312" w:hAnsi="宋体" w:eastAsia="仿宋_GB2312" w:cs="宋体"/>
          <w:kern w:val="0"/>
          <w:sz w:val="32"/>
          <w:szCs w:val="32"/>
        </w:rPr>
        <w:t>.社会保障和就业支出（类）32.45万元，占19.13%</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w:t>
      </w:r>
      <w:r>
        <w:rPr>
          <w:rFonts w:ascii="仿宋_GB2312" w:hAnsi="宋体" w:eastAsia="仿宋_GB2312" w:cs="宋体"/>
          <w:kern w:val="0"/>
          <w:sz w:val="32"/>
          <w:szCs w:val="32"/>
        </w:rPr>
        <w:t>.卫生健康支出（类）6.88万元，占4.06%</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w:t>
      </w:r>
      <w:r>
        <w:rPr>
          <w:rFonts w:ascii="仿宋_GB2312" w:hAnsi="宋体" w:eastAsia="仿宋_GB2312" w:cs="宋体"/>
          <w:kern w:val="0"/>
          <w:sz w:val="32"/>
          <w:szCs w:val="32"/>
        </w:rPr>
        <w:t>.商业服务业等支出（类）116.81万元，占68.88%</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w:t>
      </w:r>
      <w:r>
        <w:rPr>
          <w:rFonts w:ascii="仿宋_GB2312" w:hAnsi="宋体" w:eastAsia="仿宋_GB2312" w:cs="宋体"/>
          <w:kern w:val="0"/>
          <w:sz w:val="32"/>
          <w:szCs w:val="32"/>
        </w:rPr>
        <w:t>.住房保障支出（类）13.45万元，占7.93%</w:t>
      </w:r>
      <w:r>
        <w:rPr>
          <w:rFonts w:hint="eastAsia" w:ascii="仿宋_GB2312" w:hAnsi="宋体" w:eastAsia="仿宋_GB2312" w:cs="宋体"/>
          <w:kern w:val="0"/>
          <w:sz w:val="32"/>
          <w:szCs w:val="32"/>
        </w:rPr>
        <w:t>。</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1.社会保障和就业支出（类）行政事业单位养老支出（款）事业单位离退休（项）：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年预算数为16.49万元，比上年预算增加2.09万元，增长14.51%，主要原因是：增加退休人员基础绩效奖，预算数相应增加。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2.社会保障和就业支出（类）行政事业单位养老支出（款）机关事业单位基本养老保险缴费支出（项）：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年预算数为15.96万元，比上年预算增加3.42万元，增长27.27%，主要原因是：本年预算人员增加，基本工资调增，社保基数增加，基本养老保险缴费支出增加。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3.卫生健康支出（类）行政事业单位医疗（款）事业单位医疗（项）：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年预算数为6.88万元，比上年预算增加1.55万元，增长29.08%，主要原因是：本年预算人员增加，工资标准调增，职工工资支出增加，预算数相应增加。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4.商业服务业等支出（类）商业流通事务（款）事业运行（项）：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年预算数为116.81万元，比上年预算增加23.28万元，增长24.89%，主要原因是：本年预算人员增加，工资标准调增，职工工资支出增加，预算数相应增加。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5.住房保障支出（类）住房改革支出（款）住房公积金（项）：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年预算数为13.45万元，比上年预算增加3.23万元，</w:t>
      </w:r>
      <w:bookmarkStart w:id="4" w:name="_Hlk157617573"/>
      <w:r>
        <w:rPr>
          <w:rFonts w:hint="eastAsia" w:ascii="仿宋_GB2312" w:hAnsi="宋体" w:eastAsia="仿宋_GB2312" w:cs="宋体"/>
          <w:kern w:val="0"/>
          <w:sz w:val="32"/>
          <w:szCs w:val="32"/>
        </w:rPr>
        <w:t>增长</w:t>
      </w:r>
      <w:bookmarkEnd w:id="4"/>
      <w:r>
        <w:rPr>
          <w:rFonts w:hint="eastAsia" w:ascii="仿宋_GB2312" w:hAnsi="宋体" w:eastAsia="仿宋_GB2312" w:cs="宋体"/>
          <w:kern w:val="0"/>
          <w:sz w:val="32"/>
          <w:szCs w:val="32"/>
        </w:rPr>
        <w:t>31.60%，主要原因是：本年预算人员增加，工资标准调增，职工工资支出增加，预算数相应增加。</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六、关于新疆维吾尔自治区喀什地区麦盖提县供销社</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年一般公共预算基本支出情况说明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新疆维吾尔自治区喀什地区麦盖提县供销社</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年一般公共预算基本支出</w:t>
      </w:r>
      <w:r>
        <w:rPr>
          <w:rFonts w:ascii="仿宋_GB2312" w:hAnsi="宋体" w:eastAsia="仿宋_GB2312" w:cs="宋体"/>
          <w:kern w:val="0"/>
          <w:sz w:val="32"/>
          <w:szCs w:val="32"/>
        </w:rPr>
        <w:t>169.59</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人员经费166.1万元，主要包括：基本工资、津贴补贴、奖金、绩效工资、机关事业单位基本养老保险缴费、职工基本医疗保险缴费、其他社会保障缴费、住房公积金、退休费。</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公用经费3.49万元，主要包括：办公费、水费、电费、邮电费、差旅费、其他商品和服务支出。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七、关于新疆维吾尔自治区喀什地区麦盖提县供销社</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年一般公共预算项目支出情况说明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新疆维吾尔自治区喀什地区麦盖提县供销社</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年没有使用一般公共预算项目支出，一般公共预算项目支出情况表为空表。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八、关于新疆维吾尔自治区喀什地区麦盖提县供销社</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年政府性基金预算拨款情况说明</w:t>
      </w:r>
    </w:p>
    <w:p>
      <w:pPr>
        <w:spacing w:line="560" w:lineRule="exact"/>
        <w:ind w:firstLine="640" w:firstLineChars="200"/>
        <w:rPr>
          <w:rFonts w:hint="eastAsia" w:ascii="仿宋_GB2312" w:hAnsi="宋体" w:eastAsia="仿宋_GB2312" w:cs="宋体"/>
          <w:kern w:val="0"/>
          <w:sz w:val="32"/>
          <w:szCs w:val="32"/>
        </w:rPr>
      </w:pPr>
      <w:bookmarkStart w:id="5" w:name="_Hlk160636468"/>
      <w:r>
        <w:rPr>
          <w:rFonts w:hint="eastAsia" w:ascii="仿宋_GB2312" w:hAnsi="宋体" w:eastAsia="仿宋_GB2312" w:cs="宋体"/>
          <w:kern w:val="0"/>
          <w:sz w:val="32"/>
          <w:szCs w:val="32"/>
        </w:rPr>
        <w:t>新疆维吾尔自治区喀什地区</w:t>
      </w:r>
      <w:bookmarkEnd w:id="5"/>
      <w:r>
        <w:rPr>
          <w:rFonts w:hint="eastAsia" w:ascii="仿宋_GB2312" w:hAnsi="宋体" w:eastAsia="仿宋_GB2312" w:cs="宋体"/>
          <w:kern w:val="0"/>
          <w:sz w:val="32"/>
          <w:szCs w:val="32"/>
        </w:rPr>
        <w:t>麦盖提县供销社</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年没有使用政府性基金预算拨款安排的支出，政府性基金预算支出情况表为空表。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九、关于新疆维吾尔自治区喀什地区麦盖提县供销社</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年国有资本预算拨款情况说明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新疆维吾尔自治区喀什地区麦盖提县供销社</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年没有使用国有资本经营预算拨款安排的支出，国有资本经营预算支出情况表为空表。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十、关于新疆维吾尔自治区喀什地区麦盖提县供销社</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年财政拨款“三公”经费预算情况说明</w:t>
      </w:r>
    </w:p>
    <w:p>
      <w:pPr>
        <w:spacing w:line="560" w:lineRule="exact"/>
        <w:ind w:firstLine="560" w:firstLineChars="200"/>
        <w:rPr>
          <w:rFonts w:hint="eastAsia" w:ascii="仿宋_GB2312" w:hAnsi="宋体" w:eastAsia="仿宋_GB2312" w:cs="宋体"/>
          <w:kern w:val="0"/>
          <w:sz w:val="32"/>
          <w:szCs w:val="32"/>
        </w:rPr>
      </w:pPr>
      <w:r>
        <w:rPr>
          <w:rFonts w:hint="eastAsia" w:ascii="MS Gothic" w:hAnsi="MS Gothic" w:eastAsia="MS Gothic" w:cs="MS Gothic"/>
          <w:kern w:val="0"/>
          <w:sz w:val="28"/>
          <w:szCs w:val="28"/>
          <w:cs/>
        </w:rPr>
        <w:t>‎</w:t>
      </w:r>
      <w:r>
        <w:rPr>
          <w:rFonts w:ascii="MS Gothic" w:hAnsi="MS Gothic" w:eastAsia="MS Gothic" w:cs="MS Gothic"/>
          <w:kern w:val="0"/>
          <w:sz w:val="28"/>
          <w:szCs w:val="28"/>
          <w:cs/>
        </w:rPr>
        <w:t>‎</w:t>
      </w:r>
      <w:r>
        <w:rPr>
          <w:rFonts w:hint="eastAsia" w:ascii="仿宋_GB2312" w:hAnsi="宋体" w:eastAsia="仿宋_GB2312" w:cs="宋体"/>
          <w:kern w:val="0"/>
          <w:sz w:val="32"/>
          <w:szCs w:val="32"/>
        </w:rPr>
        <w:t>新疆维吾尔自治区喀什地区麦盖提县供销社</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年财政拨款“三公”经费数为0万元，其中：因公出国（境）费0万元，公务用车购置费0万元，公务用车运行费0万元，公务接待费0万元。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年财政拨款“三公”经费比上年预算增加0万元，增长0%，其中：因公出国（境）费增加0万元，增长0%，主要原因是：我部门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年均未安排因公出国（境）费；公务用车购置费增加0万元，增长0%，主要原因是：我部门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年均未安排公务用车购置费；公务用车运行费增加0万元，增长0%，主要原因是：我部门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年均未安排公务用车运行费；公务接待费增加0万元，增长0%，主要原因是：我部门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年均未安排公务接待费。</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十一、关于新疆维吾尔自治区喀什地区麦盖提县供销社</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新疆维吾尔自治区喀什地区</w:t>
      </w:r>
      <w:r>
        <w:rPr>
          <w:rFonts w:ascii="仿宋_GB2312" w:hAnsi="仿宋_GB2312" w:eastAsia="仿宋_GB2312" w:cs="仿宋_GB2312"/>
          <w:kern w:val="0"/>
          <w:sz w:val="32"/>
          <w:szCs w:val="32"/>
        </w:rPr>
        <w:t>麦盖提县供销社</w:t>
      </w:r>
      <w:r>
        <w:rPr>
          <w:rFonts w:hint="eastAsia" w:ascii="仿宋_GB2312" w:hAnsi="仿宋_GB2312" w:eastAsia="仿宋_GB2312" w:cs="仿宋_GB2312"/>
          <w:kern w:val="0"/>
          <w:sz w:val="32"/>
          <w:szCs w:val="32"/>
          <w:lang w:eastAsia="zh-CN"/>
        </w:rPr>
        <w:t>2026</w:t>
      </w: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年上年结转结余665.2万元，包括：财政拨款665.2万元，非财政拨款0万元，其中：</w:t>
      </w:r>
      <w:r>
        <w:rPr>
          <w:rFonts w:hint="eastAsia" w:ascii="MS Gothic" w:hAnsi="MS Gothic" w:eastAsia="MS Gothic" w:cs="MS Gothic"/>
          <w:kern w:val="0"/>
          <w:sz w:val="32"/>
          <w:szCs w:val="32"/>
          <w:cs/>
        </w:rPr>
        <w:t>‎</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1.麦盖提县克孜勒阿瓦提乡英阿瓦提村等12个村高标准农田建设项目665.20</w:t>
      </w:r>
      <w:r>
        <w:rPr>
          <w:rFonts w:hint="eastAsia" w:ascii="仿宋_GB2312" w:hAnsi="仿宋_GB2312" w:eastAsia="仿宋_GB2312" w:cs="仿宋_GB2312"/>
          <w:kern w:val="0"/>
          <w:sz w:val="32"/>
          <w:szCs w:val="32"/>
        </w:rPr>
        <w:t>万元，主要用于：实施高标准农田建设项目。</w:t>
      </w:r>
      <w:r>
        <w:rPr>
          <w:rFonts w:hint="eastAsia" w:ascii="MS Gothic" w:hAnsi="MS Gothic" w:eastAsia="MS Gothic" w:cs="MS Gothic"/>
          <w:kern w:val="0"/>
          <w:sz w:val="32"/>
          <w:szCs w:val="32"/>
          <w:cs/>
        </w:rPr>
        <w:t xml:space="preserve"> ‎</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新疆维吾尔自治区喀什地区麦盖提县供销社</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年的事业单位运行经费财政拨款预算3.49万元，比上年预算增加2.81万元，增长413.24%。主要原因是：本年预算人员增加，公用经费增加，同时增加党员活动经费，预算数相应增加。</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年，新疆维吾尔自治区喀什地区麦盖提县供销社政府采购预算1.85万元，其中：政府采购货物预算1.85万元，政府采购工程预算0.00万元，政府采购服务预算0.00万元。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年，新疆维吾尔自治区喀什地区麦盖提县供销社面向中小企业预留政府采购项目预算金额1.85万元，小微企业预留政府采购项目预算金额1.85万元。</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年底，新疆维吾尔自治区喀什地区麦盖提县供销社及下属各预算单位占用使用国有资产总体情况为：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1.房屋0.00平方米，价值0.00万元。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2.车辆0辆，价值0.00万元；其中：一般公务用车0辆，价值0.00万元；执法执勤用车0辆，价值0.00万元；其他车辆0辆，价值0.00万元。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3.办公家具价值4.96万元。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4.其他资产价值10.72万元。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部门价值50万元以上大型设备0台，部门价值100万元以上大型设备0台。</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年部门预算未安排购置车辆经费，安排购置50万元以上大型设备0台，单位价值100万元以上大型设备0台。</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pPr>
        <w:widowControl/>
        <w:shd w:val="clear" w:color="auto" w:fill="FFFFFF"/>
        <w:spacing w:line="285" w:lineRule="atLeast"/>
        <w:ind w:firstLine="640" w:firstLineChars="200"/>
        <w:jc w:val="left"/>
        <w:rPr>
          <w:rFonts w:hint="eastAsia" w:ascii="MS Gothic" w:hAnsi="MS Gothic" w:eastAsia="MS Gothic" w:cs="MS Gothic"/>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年，本部门预算绩效管理整体预算绩效目标1个，涉及预算金额834.79万元；当年预算安排项目共0个，其中：财政拨款项目涉及预算金额0万元；非财政拨款项目涉及预算金额0万元。具体情况见下表：</w:t>
      </w:r>
      <w:r>
        <w:rPr>
          <w:rFonts w:hint="eastAsia" w:ascii="MS Gothic" w:hAnsi="MS Gothic" w:eastAsia="MS Gothic" w:cs="MS Gothic"/>
          <w:kern w:val="0"/>
          <w:sz w:val="32"/>
          <w:szCs w:val="32"/>
          <w:cs/>
        </w:rPr>
        <w:t>‎</w:t>
      </w:r>
      <w:r>
        <w:rPr>
          <w:rFonts w:ascii="MS Gothic" w:hAnsi="MS Gothic" w:eastAsia="MS Gothic" w:cs="MS Gothic"/>
          <w:kern w:val="0"/>
          <w:sz w:val="28"/>
          <w:szCs w:val="28"/>
        </w:rPr>
        <w:br w:type="page"/>
      </w:r>
    </w:p>
    <w:p>
      <w:pPr>
        <w:widowControl/>
        <w:jc w:val="center"/>
        <w:outlineLvl w:val="4"/>
        <w:rPr>
          <w:rFonts w:hint="eastAsia" w:ascii="仿宋_GB2312" w:hAnsi="宋体" w:eastAsia="仿宋_GB2312" w:cs="仿宋_GB2312"/>
          <w:b/>
          <w:color w:val="000000"/>
          <w:kern w:val="0"/>
          <w:sz w:val="32"/>
          <w:szCs w:val="32"/>
          <w:lang w:bidi="ar"/>
        </w:rPr>
      </w:pPr>
      <w:r>
        <w:rPr>
          <w:rFonts w:hint="eastAsia" w:ascii="仿宋_GB2312" w:hAnsi="宋体" w:eastAsia="仿宋_GB2312" w:cs="仿宋_GB2312"/>
          <w:b/>
          <w:color w:val="000000"/>
          <w:kern w:val="0"/>
          <w:sz w:val="32"/>
          <w:szCs w:val="32"/>
          <w:lang w:bidi="ar"/>
        </w:rPr>
        <w:t>部门整体绩效目标表</w:t>
      </w:r>
    </w:p>
    <w:tbl>
      <w:tblPr>
        <w:tblStyle w:val="12"/>
        <w:tblW w:w="10065" w:type="dxa"/>
        <w:jc w:val="center"/>
        <w:tblInd w:w="0" w:type="dxa"/>
        <w:tblLayout w:type="fixed"/>
        <w:tblCellMar>
          <w:top w:w="0" w:type="dxa"/>
          <w:left w:w="108" w:type="dxa"/>
          <w:bottom w:w="0" w:type="dxa"/>
          <w:right w:w="108" w:type="dxa"/>
        </w:tblCellMar>
      </w:tblPr>
      <w:tblGrid>
        <w:gridCol w:w="1276"/>
        <w:gridCol w:w="1276"/>
        <w:gridCol w:w="2977"/>
        <w:gridCol w:w="1417"/>
        <w:gridCol w:w="1701"/>
        <w:gridCol w:w="1418"/>
      </w:tblGrid>
      <w:tr>
        <w:tblPrEx>
          <w:tblLayout w:type="fixed"/>
          <w:tblCellMar>
            <w:top w:w="0" w:type="dxa"/>
            <w:left w:w="108" w:type="dxa"/>
            <w:bottom w:w="0" w:type="dxa"/>
            <w:right w:w="108" w:type="dxa"/>
          </w:tblCellMar>
        </w:tblPrEx>
        <w:trPr>
          <w:trHeight w:val="516" w:hRule="atLeast"/>
          <w:jc w:val="center"/>
        </w:trPr>
        <w:tc>
          <w:tcPr>
            <w:tcW w:w="10065" w:type="dxa"/>
            <w:gridSpan w:val="6"/>
            <w:tcBorders>
              <w:top w:val="nil"/>
              <w:left w:val="nil"/>
              <w:bottom w:val="nil"/>
              <w:right w:val="nil"/>
            </w:tcBorders>
            <w:vAlign w:val="center"/>
          </w:tcPr>
          <w:p>
            <w:pPr>
              <w:widowControl/>
              <w:jc w:val="center"/>
              <w:textAlignment w:val="center"/>
              <w:rPr>
                <w:rFonts w:hint="eastAsia" w:cs="仿宋_GB2312" w:asciiTheme="majorEastAsia" w:hAnsiTheme="majorEastAsia" w:eastAsiaTheme="majorEastAsia"/>
                <w:b/>
                <w:color w:val="000000"/>
                <w:kern w:val="0"/>
                <w:sz w:val="24"/>
                <w:lang w:bidi="ar"/>
              </w:rPr>
            </w:pPr>
            <w:r>
              <w:rPr>
                <w:rFonts w:hint="eastAsia" w:cs="仿宋_GB2312" w:asciiTheme="majorEastAsia" w:hAnsiTheme="majorEastAsia" w:eastAsiaTheme="majorEastAsia"/>
                <w:b/>
                <w:color w:val="000000"/>
                <w:kern w:val="0"/>
                <w:sz w:val="24"/>
                <w:lang w:bidi="ar"/>
              </w:rPr>
              <w:t>（</w:t>
            </w:r>
            <w:r>
              <w:rPr>
                <w:rFonts w:hint="eastAsia" w:cs="仿宋_GB2312" w:asciiTheme="majorEastAsia" w:hAnsiTheme="majorEastAsia" w:eastAsiaTheme="majorEastAsia"/>
                <w:b/>
                <w:color w:val="000000"/>
                <w:kern w:val="0"/>
                <w:sz w:val="24"/>
                <w:lang w:eastAsia="zh-CN" w:bidi="ar"/>
              </w:rPr>
              <w:t>2026</w:t>
            </w:r>
            <w:r>
              <w:rPr>
                <w:rFonts w:hint="eastAsia" w:cs="仿宋_GB2312" w:asciiTheme="majorEastAsia" w:hAnsiTheme="majorEastAsia" w:eastAsiaTheme="majorEastAsia"/>
                <w:b/>
                <w:color w:val="000000"/>
                <w:kern w:val="0"/>
                <w:sz w:val="24"/>
                <w:lang w:bidi="ar"/>
              </w:rPr>
              <w:t>年）</w:t>
            </w:r>
          </w:p>
        </w:tc>
      </w:tr>
      <w:tr>
        <w:tblPrEx>
          <w:tblLayout w:type="fixed"/>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部门名称（盖章）</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hint="eastAsia" w:cs="宋体" w:asciiTheme="majorEastAsia" w:hAnsiTheme="majorEastAsia" w:eastAsiaTheme="majorEastAsia"/>
                <w:color w:val="000000"/>
                <w:sz w:val="20"/>
                <w:szCs w:val="20"/>
              </w:rPr>
              <w:t>新疆维吾尔自治区喀什地区</w:t>
            </w:r>
            <w:r>
              <w:rPr>
                <w:rFonts w:cs="宋体" w:asciiTheme="majorEastAsia" w:hAnsiTheme="majorEastAsia" w:eastAsiaTheme="majorEastAsia"/>
                <w:color w:val="000000"/>
                <w:sz w:val="20"/>
                <w:szCs w:val="20"/>
              </w:rPr>
              <w:t>麦盖提县供销社</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部门联系人</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古尼其木·艾山</w:t>
            </w:r>
            <w:r>
              <w:rPr>
                <w:rFonts w:hint="eastAsia" w:cs="MS Gothic" w:asciiTheme="majorEastAsia" w:hAnsiTheme="majorEastAsia" w:eastAsiaTheme="majorEastAsia"/>
                <w:color w:val="000000"/>
                <w:sz w:val="20"/>
                <w:szCs w:val="20"/>
                <w:cs/>
              </w:rPr>
              <w:t>‎</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联系电话：</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13201239024</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1344"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top"/>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年度绩效目标</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以习近平新时代中国特色社会主义思想为指导，以服务“三农”为宗旨，全面深化综合改革、着力构建为农服务体系、发展农产品流通、壮大国有企业、夯实基层基础。2.进一步压实攻坚责任、维护社会稳定、紧盯安全生产等工作，努力推动供销系统高质量发展，更好服务乡村振兴，发挥更大的作用。</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676" w:hRule="atLeast"/>
          <w:jc w:val="center"/>
        </w:trPr>
        <w:tc>
          <w:tcPr>
            <w:tcW w:w="2552"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kern w:val="0"/>
                <w:sz w:val="20"/>
                <w:szCs w:val="20"/>
                <w:lang w:bidi="ar"/>
              </w:rPr>
            </w:pPr>
            <w:r>
              <w:rPr>
                <w:rFonts w:hint="eastAsia" w:cs="宋体" w:asciiTheme="majorEastAsia" w:hAnsiTheme="majorEastAsia" w:eastAsiaTheme="majorEastAsia"/>
                <w:b/>
                <w:bCs/>
                <w:color w:val="000000"/>
                <w:kern w:val="0"/>
                <w:sz w:val="20"/>
                <w:szCs w:val="20"/>
                <w:lang w:bidi="ar"/>
              </w:rPr>
              <w:t>年度预算</w:t>
            </w:r>
          </w:p>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（万元）</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资金来源</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资金总额（万元）</w:t>
            </w:r>
          </w:p>
        </w:tc>
      </w:tr>
      <w:tr>
        <w:tblPrEx>
          <w:tblLayout w:type="fixed"/>
          <w:tblCellMar>
            <w:top w:w="0" w:type="dxa"/>
            <w:left w:w="108" w:type="dxa"/>
            <w:bottom w:w="0" w:type="dxa"/>
            <w:right w:w="108" w:type="dxa"/>
          </w:tblCellMar>
        </w:tblPrEx>
        <w:trPr>
          <w:trHeight w:val="684"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财政资金（万元）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上级安排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665.20</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本级安排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169.59</w:t>
            </w:r>
          </w:p>
        </w:tc>
      </w:tr>
      <w:tr>
        <w:tblPrEx>
          <w:tblLayout w:type="fixed"/>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其他资金（万元）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其他</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0.00</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1064"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一级指标</w:t>
            </w:r>
          </w:p>
        </w:tc>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二级指标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三级指标</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指标值</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指标设定依据</w:t>
            </w:r>
          </w:p>
        </w:tc>
        <w:tc>
          <w:tcPr>
            <w:tcW w:w="141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分值权重</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协调帮助本地企业收购各类蔬菜、干鲜果品等农产品数量</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&gt;=4000吨</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30</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全面开展农事化服务亩次</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&gt;=239850亩</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30</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全县储备各类农业生产资料数量</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&gt;=4300吨</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30</w:t>
            </w:r>
          </w:p>
        </w:tc>
      </w:tr>
    </w:tbl>
    <w:p>
      <w:pPr>
        <w:spacing w:line="20" w:lineRule="exact"/>
        <w:jc w:val="center"/>
        <w:rPr>
          <w:rFonts w:hint="eastAsia" w:ascii="宋体" w:hAnsi="宋体" w:cs="宋体"/>
          <w:kern w:val="0"/>
          <w:sz w:val="2"/>
          <w:szCs w:val="2"/>
        </w:rPr>
      </w:pPr>
    </w:p>
    <w:p>
      <w:r>
        <w:br w:type="page"/>
      </w:r>
    </w:p>
    <w:p>
      <w:pPr>
        <w:spacing w:line="20" w:lineRule="exact"/>
        <w:jc w:val="center"/>
        <w:rPr>
          <w:rFonts w:hint="eastAsia" w:ascii="宋体" w:hAnsi="宋体" w:cs="宋体"/>
          <w:kern w:val="0"/>
          <w:sz w:val="2"/>
          <w:szCs w:val="2"/>
        </w:rPr>
      </w:pP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（五）其他需说明的事项</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无本部门办公用房，借用麦盖提县人力资源和社会保障局（人才市场）办公楼办公。</w:t>
      </w:r>
    </w:p>
    <w:p>
      <w:pPr>
        <w:widowControl/>
        <w:jc w:val="left"/>
        <w:rPr>
          <w:rFonts w:hint="eastAsia" w:ascii="黑体" w:hAnsi="黑体" w:eastAsia="黑体"/>
          <w:b/>
          <w:kern w:val="0"/>
          <w:sz w:val="30"/>
          <w:szCs w:val="30"/>
        </w:rPr>
      </w:pPr>
      <w:r>
        <w:rPr>
          <w:rFonts w:ascii="黑体" w:hAnsi="黑体" w:eastAsia="黑体"/>
          <w:b/>
          <w:kern w:val="0"/>
          <w:sz w:val="30"/>
          <w:szCs w:val="30"/>
        </w:rPr>
        <w:br w:type="page"/>
      </w:r>
    </w:p>
    <w:p>
      <w:pPr>
        <w:widowControl/>
        <w:jc w:val="center"/>
        <w:outlineLvl w:val="1"/>
        <w:rPr>
          <w:rFonts w:hint="eastAsia" w:ascii="黑体" w:hAnsi="黑体" w:eastAsia="黑体"/>
          <w:b/>
          <w:kern w:val="0"/>
          <w:sz w:val="32"/>
          <w:szCs w:val="32"/>
        </w:rPr>
      </w:pPr>
      <w:r>
        <w:rPr>
          <w:rFonts w:hint="eastAsia" w:ascii="黑体" w:hAnsi="黑体" w:eastAsia="黑体"/>
          <w:b/>
          <w:kern w:val="0"/>
          <w:sz w:val="32"/>
          <w:szCs w:val="32"/>
        </w:rPr>
        <w:t>第四部分 名词解释</w:t>
      </w:r>
    </w:p>
    <w:p>
      <w:pPr>
        <w:spacing w:line="520" w:lineRule="exact"/>
        <w:ind w:firstLine="642"/>
        <w:rPr>
          <w:rFonts w:hint="eastAsia" w:ascii="仿宋_GB2312" w:hAnsi="宋体" w:eastAsia="仿宋_GB2312" w:cs="宋体"/>
          <w:b/>
          <w:kern w:val="0"/>
          <w:sz w:val="28"/>
          <w:szCs w:val="28"/>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bookmarkStart w:id="6" w:name="_GoBack"/>
      <w:bookmarkEnd w:id="6"/>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MS Gothic">
    <w:panose1 w:val="020B0609070205080204"/>
    <w:charset w:val="80"/>
    <w:family w:val="modern"/>
    <w:pitch w:val="default"/>
    <w:sig w:usb0="E00002FF" w:usb1="6AC7FDFB" w:usb2="00000012" w:usb3="00000000" w:csb0="4002009F" w:csb1="DFD70000"/>
  </w:font>
  <w:font w:name="Courier New">
    <w:panose1 w:val="02070309020205020404"/>
    <w:charset w:val="00"/>
    <w:family w:val="modern"/>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24</w:t>
    </w:r>
    <w:r>
      <w:rPr>
        <w:rFonts w:ascii="宋体" w:hAnsi="宋体" w:eastAsia="宋体"/>
        <w:sz w:val="28"/>
        <w:szCs w:val="28"/>
      </w:rP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DDC7F8B"/>
    <w:rsid w:val="00000D96"/>
    <w:rsid w:val="000032F1"/>
    <w:rsid w:val="00003E2D"/>
    <w:rsid w:val="0000409F"/>
    <w:rsid w:val="00004B78"/>
    <w:rsid w:val="00006B41"/>
    <w:rsid w:val="00010579"/>
    <w:rsid w:val="00011008"/>
    <w:rsid w:val="00011952"/>
    <w:rsid w:val="000149FC"/>
    <w:rsid w:val="00014B3A"/>
    <w:rsid w:val="000165ED"/>
    <w:rsid w:val="00020F89"/>
    <w:rsid w:val="000262C6"/>
    <w:rsid w:val="00026946"/>
    <w:rsid w:val="00026AB8"/>
    <w:rsid w:val="000278CB"/>
    <w:rsid w:val="0003045D"/>
    <w:rsid w:val="00031CE8"/>
    <w:rsid w:val="00034886"/>
    <w:rsid w:val="00035656"/>
    <w:rsid w:val="00036FE9"/>
    <w:rsid w:val="00040429"/>
    <w:rsid w:val="000426BA"/>
    <w:rsid w:val="000432EF"/>
    <w:rsid w:val="000437D2"/>
    <w:rsid w:val="00043D37"/>
    <w:rsid w:val="0004573C"/>
    <w:rsid w:val="00045890"/>
    <w:rsid w:val="00046D5C"/>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D71"/>
    <w:rsid w:val="0007440C"/>
    <w:rsid w:val="00077186"/>
    <w:rsid w:val="0008004F"/>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3BCA"/>
    <w:rsid w:val="000C45D4"/>
    <w:rsid w:val="000C6676"/>
    <w:rsid w:val="000C6E2C"/>
    <w:rsid w:val="000D0A48"/>
    <w:rsid w:val="000D13C6"/>
    <w:rsid w:val="000D1811"/>
    <w:rsid w:val="000D30E4"/>
    <w:rsid w:val="000D3246"/>
    <w:rsid w:val="000D6242"/>
    <w:rsid w:val="000D6F27"/>
    <w:rsid w:val="000E1736"/>
    <w:rsid w:val="000E1B17"/>
    <w:rsid w:val="000E420B"/>
    <w:rsid w:val="000E5C28"/>
    <w:rsid w:val="000E6934"/>
    <w:rsid w:val="000F0580"/>
    <w:rsid w:val="000F1DFC"/>
    <w:rsid w:val="000F3C0B"/>
    <w:rsid w:val="00100916"/>
    <w:rsid w:val="00100D32"/>
    <w:rsid w:val="0010254A"/>
    <w:rsid w:val="00104C91"/>
    <w:rsid w:val="00106142"/>
    <w:rsid w:val="001062B4"/>
    <w:rsid w:val="001069C1"/>
    <w:rsid w:val="001125C9"/>
    <w:rsid w:val="00114905"/>
    <w:rsid w:val="00115FD4"/>
    <w:rsid w:val="001162BD"/>
    <w:rsid w:val="00116F92"/>
    <w:rsid w:val="001209A5"/>
    <w:rsid w:val="001213E4"/>
    <w:rsid w:val="001214FE"/>
    <w:rsid w:val="00121AEF"/>
    <w:rsid w:val="00123416"/>
    <w:rsid w:val="001243B9"/>
    <w:rsid w:val="00124BF6"/>
    <w:rsid w:val="001250C7"/>
    <w:rsid w:val="00125F4C"/>
    <w:rsid w:val="00127DEA"/>
    <w:rsid w:val="00127DFC"/>
    <w:rsid w:val="00132A27"/>
    <w:rsid w:val="00134B1E"/>
    <w:rsid w:val="00135A40"/>
    <w:rsid w:val="00137387"/>
    <w:rsid w:val="001375A3"/>
    <w:rsid w:val="001378B0"/>
    <w:rsid w:val="00140438"/>
    <w:rsid w:val="001412BD"/>
    <w:rsid w:val="00142684"/>
    <w:rsid w:val="001451CF"/>
    <w:rsid w:val="0014706C"/>
    <w:rsid w:val="00147E70"/>
    <w:rsid w:val="00151FC5"/>
    <w:rsid w:val="00156D16"/>
    <w:rsid w:val="00156D1B"/>
    <w:rsid w:val="00157526"/>
    <w:rsid w:val="00161F31"/>
    <w:rsid w:val="001621AC"/>
    <w:rsid w:val="00163342"/>
    <w:rsid w:val="0016482C"/>
    <w:rsid w:val="0017160C"/>
    <w:rsid w:val="00172BE6"/>
    <w:rsid w:val="001737B6"/>
    <w:rsid w:val="00174586"/>
    <w:rsid w:val="00176376"/>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5985"/>
    <w:rsid w:val="0019701F"/>
    <w:rsid w:val="001A227F"/>
    <w:rsid w:val="001A3107"/>
    <w:rsid w:val="001A3875"/>
    <w:rsid w:val="001A4352"/>
    <w:rsid w:val="001A612D"/>
    <w:rsid w:val="001A6236"/>
    <w:rsid w:val="001A7864"/>
    <w:rsid w:val="001B31E1"/>
    <w:rsid w:val="001B3EFB"/>
    <w:rsid w:val="001B6327"/>
    <w:rsid w:val="001B6B54"/>
    <w:rsid w:val="001B7428"/>
    <w:rsid w:val="001B7A92"/>
    <w:rsid w:val="001C02B1"/>
    <w:rsid w:val="001C281D"/>
    <w:rsid w:val="001C2D0D"/>
    <w:rsid w:val="001C48D7"/>
    <w:rsid w:val="001C6C01"/>
    <w:rsid w:val="001C6DB1"/>
    <w:rsid w:val="001C7DAA"/>
    <w:rsid w:val="001D107B"/>
    <w:rsid w:val="001D4B49"/>
    <w:rsid w:val="001D63BF"/>
    <w:rsid w:val="001D7E4D"/>
    <w:rsid w:val="001E1727"/>
    <w:rsid w:val="001E3BB8"/>
    <w:rsid w:val="001E43BE"/>
    <w:rsid w:val="001E5BA0"/>
    <w:rsid w:val="001E648C"/>
    <w:rsid w:val="001F10B6"/>
    <w:rsid w:val="001F125B"/>
    <w:rsid w:val="001F149F"/>
    <w:rsid w:val="001F2054"/>
    <w:rsid w:val="001F26DC"/>
    <w:rsid w:val="001F334A"/>
    <w:rsid w:val="001F3506"/>
    <w:rsid w:val="001F5B5A"/>
    <w:rsid w:val="001F5D0C"/>
    <w:rsid w:val="001F5FAA"/>
    <w:rsid w:val="00200922"/>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5E37"/>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7505"/>
    <w:rsid w:val="00260BD7"/>
    <w:rsid w:val="00260FE7"/>
    <w:rsid w:val="00261CC7"/>
    <w:rsid w:val="0026459F"/>
    <w:rsid w:val="00264BBF"/>
    <w:rsid w:val="00265293"/>
    <w:rsid w:val="002654DC"/>
    <w:rsid w:val="00266B31"/>
    <w:rsid w:val="00271148"/>
    <w:rsid w:val="00271892"/>
    <w:rsid w:val="00271970"/>
    <w:rsid w:val="00271CD5"/>
    <w:rsid w:val="00272F0A"/>
    <w:rsid w:val="00273803"/>
    <w:rsid w:val="00273F0A"/>
    <w:rsid w:val="0027438A"/>
    <w:rsid w:val="00274F40"/>
    <w:rsid w:val="0027656C"/>
    <w:rsid w:val="00276D4A"/>
    <w:rsid w:val="002771BB"/>
    <w:rsid w:val="00280556"/>
    <w:rsid w:val="00280937"/>
    <w:rsid w:val="00281EE8"/>
    <w:rsid w:val="0028210B"/>
    <w:rsid w:val="0028245B"/>
    <w:rsid w:val="00283074"/>
    <w:rsid w:val="0028379A"/>
    <w:rsid w:val="0028405D"/>
    <w:rsid w:val="00284B23"/>
    <w:rsid w:val="00285153"/>
    <w:rsid w:val="00285698"/>
    <w:rsid w:val="0028576C"/>
    <w:rsid w:val="00285BCC"/>
    <w:rsid w:val="00285BFE"/>
    <w:rsid w:val="00286965"/>
    <w:rsid w:val="00290142"/>
    <w:rsid w:val="00297957"/>
    <w:rsid w:val="002A0066"/>
    <w:rsid w:val="002A15E9"/>
    <w:rsid w:val="002A2135"/>
    <w:rsid w:val="002A5744"/>
    <w:rsid w:val="002A5A41"/>
    <w:rsid w:val="002A6B1E"/>
    <w:rsid w:val="002A6B2E"/>
    <w:rsid w:val="002A78C2"/>
    <w:rsid w:val="002B1A6D"/>
    <w:rsid w:val="002B39D7"/>
    <w:rsid w:val="002B50FC"/>
    <w:rsid w:val="002B6F5E"/>
    <w:rsid w:val="002B74BA"/>
    <w:rsid w:val="002C3650"/>
    <w:rsid w:val="002C3B46"/>
    <w:rsid w:val="002C42AA"/>
    <w:rsid w:val="002C44A3"/>
    <w:rsid w:val="002C6CF4"/>
    <w:rsid w:val="002D1754"/>
    <w:rsid w:val="002D2735"/>
    <w:rsid w:val="002D3645"/>
    <w:rsid w:val="002D374A"/>
    <w:rsid w:val="002D5345"/>
    <w:rsid w:val="002D5C90"/>
    <w:rsid w:val="002D6853"/>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36CD"/>
    <w:rsid w:val="00303AB1"/>
    <w:rsid w:val="0030425A"/>
    <w:rsid w:val="00306110"/>
    <w:rsid w:val="00306797"/>
    <w:rsid w:val="003070BB"/>
    <w:rsid w:val="003071E3"/>
    <w:rsid w:val="00307973"/>
    <w:rsid w:val="00311C86"/>
    <w:rsid w:val="00315DD1"/>
    <w:rsid w:val="003177D8"/>
    <w:rsid w:val="00321675"/>
    <w:rsid w:val="003225DD"/>
    <w:rsid w:val="0032532B"/>
    <w:rsid w:val="00326288"/>
    <w:rsid w:val="003309DB"/>
    <w:rsid w:val="00332225"/>
    <w:rsid w:val="00332FD2"/>
    <w:rsid w:val="00333FFF"/>
    <w:rsid w:val="00340222"/>
    <w:rsid w:val="00340257"/>
    <w:rsid w:val="00340E69"/>
    <w:rsid w:val="00341BAE"/>
    <w:rsid w:val="00341E7D"/>
    <w:rsid w:val="003433EE"/>
    <w:rsid w:val="00343F03"/>
    <w:rsid w:val="00344E41"/>
    <w:rsid w:val="00345E58"/>
    <w:rsid w:val="0034677D"/>
    <w:rsid w:val="0034747D"/>
    <w:rsid w:val="00347DE8"/>
    <w:rsid w:val="00350F5B"/>
    <w:rsid w:val="00352976"/>
    <w:rsid w:val="00354680"/>
    <w:rsid w:val="003551D6"/>
    <w:rsid w:val="00356194"/>
    <w:rsid w:val="00357AAC"/>
    <w:rsid w:val="00361420"/>
    <w:rsid w:val="00362EAF"/>
    <w:rsid w:val="00363248"/>
    <w:rsid w:val="0036381E"/>
    <w:rsid w:val="00363A35"/>
    <w:rsid w:val="00363F51"/>
    <w:rsid w:val="00364626"/>
    <w:rsid w:val="00364A66"/>
    <w:rsid w:val="00364FF8"/>
    <w:rsid w:val="00365081"/>
    <w:rsid w:val="00365A75"/>
    <w:rsid w:val="00367FAC"/>
    <w:rsid w:val="0037055E"/>
    <w:rsid w:val="0037060F"/>
    <w:rsid w:val="003707D5"/>
    <w:rsid w:val="0037199D"/>
    <w:rsid w:val="003731B3"/>
    <w:rsid w:val="00373A27"/>
    <w:rsid w:val="00373DF2"/>
    <w:rsid w:val="003743B6"/>
    <w:rsid w:val="00375B79"/>
    <w:rsid w:val="00375DC5"/>
    <w:rsid w:val="003767AD"/>
    <w:rsid w:val="00380040"/>
    <w:rsid w:val="00381599"/>
    <w:rsid w:val="003828A9"/>
    <w:rsid w:val="00384F81"/>
    <w:rsid w:val="00385BFE"/>
    <w:rsid w:val="00386764"/>
    <w:rsid w:val="00391A53"/>
    <w:rsid w:val="00392E94"/>
    <w:rsid w:val="003939CE"/>
    <w:rsid w:val="00393D32"/>
    <w:rsid w:val="00393DAD"/>
    <w:rsid w:val="0039548A"/>
    <w:rsid w:val="003A1559"/>
    <w:rsid w:val="003A3261"/>
    <w:rsid w:val="003A44ED"/>
    <w:rsid w:val="003B05BA"/>
    <w:rsid w:val="003B0DA2"/>
    <w:rsid w:val="003B48BE"/>
    <w:rsid w:val="003B5C7E"/>
    <w:rsid w:val="003B76CB"/>
    <w:rsid w:val="003B7A83"/>
    <w:rsid w:val="003C0D15"/>
    <w:rsid w:val="003C23E0"/>
    <w:rsid w:val="003D0E59"/>
    <w:rsid w:val="003D4B84"/>
    <w:rsid w:val="003D608A"/>
    <w:rsid w:val="003D64AF"/>
    <w:rsid w:val="003E0AF5"/>
    <w:rsid w:val="003E0F98"/>
    <w:rsid w:val="003E2195"/>
    <w:rsid w:val="003E2D15"/>
    <w:rsid w:val="003F0E19"/>
    <w:rsid w:val="003F1E30"/>
    <w:rsid w:val="003F34C3"/>
    <w:rsid w:val="003F4C7F"/>
    <w:rsid w:val="003F638F"/>
    <w:rsid w:val="003F66AF"/>
    <w:rsid w:val="003F6A9D"/>
    <w:rsid w:val="003F6C80"/>
    <w:rsid w:val="003F77FC"/>
    <w:rsid w:val="003F7CF3"/>
    <w:rsid w:val="004002D6"/>
    <w:rsid w:val="00402AAC"/>
    <w:rsid w:val="00403B24"/>
    <w:rsid w:val="00403DA9"/>
    <w:rsid w:val="00405212"/>
    <w:rsid w:val="00405DF0"/>
    <w:rsid w:val="00407E8F"/>
    <w:rsid w:val="00410138"/>
    <w:rsid w:val="00410841"/>
    <w:rsid w:val="00410C1C"/>
    <w:rsid w:val="004115A1"/>
    <w:rsid w:val="00412807"/>
    <w:rsid w:val="00415E53"/>
    <w:rsid w:val="0042040B"/>
    <w:rsid w:val="0042046C"/>
    <w:rsid w:val="00420B1C"/>
    <w:rsid w:val="00421B7A"/>
    <w:rsid w:val="00422876"/>
    <w:rsid w:val="0042458E"/>
    <w:rsid w:val="00424D94"/>
    <w:rsid w:val="00426B83"/>
    <w:rsid w:val="00427085"/>
    <w:rsid w:val="004275A7"/>
    <w:rsid w:val="004313ED"/>
    <w:rsid w:val="0043221B"/>
    <w:rsid w:val="00432378"/>
    <w:rsid w:val="0043304D"/>
    <w:rsid w:val="004337FB"/>
    <w:rsid w:val="0043488F"/>
    <w:rsid w:val="00435C3B"/>
    <w:rsid w:val="00441C43"/>
    <w:rsid w:val="00441D28"/>
    <w:rsid w:val="00441F4B"/>
    <w:rsid w:val="00442AE4"/>
    <w:rsid w:val="0044366B"/>
    <w:rsid w:val="0044495B"/>
    <w:rsid w:val="004479A2"/>
    <w:rsid w:val="00453F7A"/>
    <w:rsid w:val="00454A7D"/>
    <w:rsid w:val="0045551F"/>
    <w:rsid w:val="00455F16"/>
    <w:rsid w:val="00457430"/>
    <w:rsid w:val="00460248"/>
    <w:rsid w:val="00461B03"/>
    <w:rsid w:val="00462501"/>
    <w:rsid w:val="00462E49"/>
    <w:rsid w:val="0046659F"/>
    <w:rsid w:val="00467478"/>
    <w:rsid w:val="00476866"/>
    <w:rsid w:val="00476FD4"/>
    <w:rsid w:val="00480E63"/>
    <w:rsid w:val="00482EDB"/>
    <w:rsid w:val="00484027"/>
    <w:rsid w:val="00486122"/>
    <w:rsid w:val="00486488"/>
    <w:rsid w:val="004865F0"/>
    <w:rsid w:val="00487A20"/>
    <w:rsid w:val="00490A5D"/>
    <w:rsid w:val="00490F7E"/>
    <w:rsid w:val="00491969"/>
    <w:rsid w:val="00492117"/>
    <w:rsid w:val="00492329"/>
    <w:rsid w:val="00492792"/>
    <w:rsid w:val="00493838"/>
    <w:rsid w:val="00494B21"/>
    <w:rsid w:val="00496F91"/>
    <w:rsid w:val="004A04D1"/>
    <w:rsid w:val="004A2590"/>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240B"/>
    <w:rsid w:val="004C45E7"/>
    <w:rsid w:val="004C5F89"/>
    <w:rsid w:val="004C627F"/>
    <w:rsid w:val="004C69C3"/>
    <w:rsid w:val="004C704F"/>
    <w:rsid w:val="004C7054"/>
    <w:rsid w:val="004C7255"/>
    <w:rsid w:val="004C7553"/>
    <w:rsid w:val="004C7F70"/>
    <w:rsid w:val="004D0DEC"/>
    <w:rsid w:val="004D15FB"/>
    <w:rsid w:val="004D1F93"/>
    <w:rsid w:val="004D3102"/>
    <w:rsid w:val="004D4137"/>
    <w:rsid w:val="004D4513"/>
    <w:rsid w:val="004D5ECF"/>
    <w:rsid w:val="004D7CD1"/>
    <w:rsid w:val="004D7E67"/>
    <w:rsid w:val="004E0431"/>
    <w:rsid w:val="004E0808"/>
    <w:rsid w:val="004E0D6A"/>
    <w:rsid w:val="004E1DFF"/>
    <w:rsid w:val="004E3CA9"/>
    <w:rsid w:val="004E3D9D"/>
    <w:rsid w:val="004E737C"/>
    <w:rsid w:val="004E7E29"/>
    <w:rsid w:val="004F2553"/>
    <w:rsid w:val="004F4F80"/>
    <w:rsid w:val="004F5EF7"/>
    <w:rsid w:val="004F77FA"/>
    <w:rsid w:val="004F7B1C"/>
    <w:rsid w:val="00501C09"/>
    <w:rsid w:val="00501D3C"/>
    <w:rsid w:val="00502129"/>
    <w:rsid w:val="00503595"/>
    <w:rsid w:val="00505AB8"/>
    <w:rsid w:val="00506072"/>
    <w:rsid w:val="005073BF"/>
    <w:rsid w:val="00510486"/>
    <w:rsid w:val="005108EC"/>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5E46"/>
    <w:rsid w:val="0052609D"/>
    <w:rsid w:val="005271B4"/>
    <w:rsid w:val="0052787F"/>
    <w:rsid w:val="005278B3"/>
    <w:rsid w:val="00527A91"/>
    <w:rsid w:val="00527F3E"/>
    <w:rsid w:val="005307E7"/>
    <w:rsid w:val="005328A3"/>
    <w:rsid w:val="0053461E"/>
    <w:rsid w:val="00534961"/>
    <w:rsid w:val="0053676F"/>
    <w:rsid w:val="00537782"/>
    <w:rsid w:val="00544AC4"/>
    <w:rsid w:val="00544C7D"/>
    <w:rsid w:val="0054586F"/>
    <w:rsid w:val="005474F1"/>
    <w:rsid w:val="00547B4F"/>
    <w:rsid w:val="005513B3"/>
    <w:rsid w:val="00551D2B"/>
    <w:rsid w:val="00553588"/>
    <w:rsid w:val="00554786"/>
    <w:rsid w:val="00556697"/>
    <w:rsid w:val="0056203D"/>
    <w:rsid w:val="00565C5B"/>
    <w:rsid w:val="00565E8D"/>
    <w:rsid w:val="00566E17"/>
    <w:rsid w:val="0056772B"/>
    <w:rsid w:val="005702BC"/>
    <w:rsid w:val="00571733"/>
    <w:rsid w:val="00571F58"/>
    <w:rsid w:val="005720E0"/>
    <w:rsid w:val="00573BC9"/>
    <w:rsid w:val="00574BF8"/>
    <w:rsid w:val="00575596"/>
    <w:rsid w:val="0058032E"/>
    <w:rsid w:val="0058124A"/>
    <w:rsid w:val="0058131A"/>
    <w:rsid w:val="005823EC"/>
    <w:rsid w:val="00584772"/>
    <w:rsid w:val="00584B4C"/>
    <w:rsid w:val="005868FB"/>
    <w:rsid w:val="00590B1F"/>
    <w:rsid w:val="00590EA2"/>
    <w:rsid w:val="00591EE3"/>
    <w:rsid w:val="005920F4"/>
    <w:rsid w:val="00592727"/>
    <w:rsid w:val="00593166"/>
    <w:rsid w:val="005953E4"/>
    <w:rsid w:val="00595CFA"/>
    <w:rsid w:val="0059639F"/>
    <w:rsid w:val="00596CC0"/>
    <w:rsid w:val="005A2AAB"/>
    <w:rsid w:val="005A3258"/>
    <w:rsid w:val="005A36AB"/>
    <w:rsid w:val="005A3AD0"/>
    <w:rsid w:val="005A6347"/>
    <w:rsid w:val="005A6691"/>
    <w:rsid w:val="005A6B68"/>
    <w:rsid w:val="005A7AF6"/>
    <w:rsid w:val="005B180C"/>
    <w:rsid w:val="005B3B8A"/>
    <w:rsid w:val="005B4AEA"/>
    <w:rsid w:val="005B4B3C"/>
    <w:rsid w:val="005B5066"/>
    <w:rsid w:val="005B6709"/>
    <w:rsid w:val="005C1A7A"/>
    <w:rsid w:val="005C2577"/>
    <w:rsid w:val="005C50D9"/>
    <w:rsid w:val="005C53AC"/>
    <w:rsid w:val="005C5B15"/>
    <w:rsid w:val="005C6DCD"/>
    <w:rsid w:val="005D098D"/>
    <w:rsid w:val="005D1F72"/>
    <w:rsid w:val="005D48F3"/>
    <w:rsid w:val="005D52FF"/>
    <w:rsid w:val="005D5331"/>
    <w:rsid w:val="005D57CA"/>
    <w:rsid w:val="005D6305"/>
    <w:rsid w:val="005D7689"/>
    <w:rsid w:val="005E00E7"/>
    <w:rsid w:val="005E00FE"/>
    <w:rsid w:val="005E2094"/>
    <w:rsid w:val="005E2399"/>
    <w:rsid w:val="005E4BBC"/>
    <w:rsid w:val="005E75CA"/>
    <w:rsid w:val="005E7B5F"/>
    <w:rsid w:val="005F19D7"/>
    <w:rsid w:val="005F4AB8"/>
    <w:rsid w:val="005F4CE2"/>
    <w:rsid w:val="006010D2"/>
    <w:rsid w:val="006037FA"/>
    <w:rsid w:val="00605057"/>
    <w:rsid w:val="00605AD9"/>
    <w:rsid w:val="00605D18"/>
    <w:rsid w:val="00607339"/>
    <w:rsid w:val="00611226"/>
    <w:rsid w:val="0061158B"/>
    <w:rsid w:val="006125D3"/>
    <w:rsid w:val="006126D1"/>
    <w:rsid w:val="00613C75"/>
    <w:rsid w:val="00616F23"/>
    <w:rsid w:val="00616F9B"/>
    <w:rsid w:val="0062039E"/>
    <w:rsid w:val="00622E5F"/>
    <w:rsid w:val="006255F1"/>
    <w:rsid w:val="00625BE7"/>
    <w:rsid w:val="00626B83"/>
    <w:rsid w:val="006279F0"/>
    <w:rsid w:val="00627EDB"/>
    <w:rsid w:val="00633A7F"/>
    <w:rsid w:val="00633F5B"/>
    <w:rsid w:val="00634719"/>
    <w:rsid w:val="0063560B"/>
    <w:rsid w:val="00636FE3"/>
    <w:rsid w:val="00640E06"/>
    <w:rsid w:val="00641010"/>
    <w:rsid w:val="006412F1"/>
    <w:rsid w:val="00642854"/>
    <w:rsid w:val="00647E65"/>
    <w:rsid w:val="00651C31"/>
    <w:rsid w:val="0065215F"/>
    <w:rsid w:val="00652FA3"/>
    <w:rsid w:val="006535FD"/>
    <w:rsid w:val="0065452B"/>
    <w:rsid w:val="00654745"/>
    <w:rsid w:val="00656129"/>
    <w:rsid w:val="00656952"/>
    <w:rsid w:val="00656A60"/>
    <w:rsid w:val="00657C75"/>
    <w:rsid w:val="00660081"/>
    <w:rsid w:val="00660B36"/>
    <w:rsid w:val="00662D8D"/>
    <w:rsid w:val="006645AF"/>
    <w:rsid w:val="00666CD7"/>
    <w:rsid w:val="00667925"/>
    <w:rsid w:val="006705CF"/>
    <w:rsid w:val="006708F1"/>
    <w:rsid w:val="00671708"/>
    <w:rsid w:val="00671FD2"/>
    <w:rsid w:val="0067353C"/>
    <w:rsid w:val="00673FEA"/>
    <w:rsid w:val="00674117"/>
    <w:rsid w:val="00674189"/>
    <w:rsid w:val="006752F1"/>
    <w:rsid w:val="00676827"/>
    <w:rsid w:val="00677202"/>
    <w:rsid w:val="0067762D"/>
    <w:rsid w:val="0067771D"/>
    <w:rsid w:val="00680ED4"/>
    <w:rsid w:val="006811F7"/>
    <w:rsid w:val="006824B2"/>
    <w:rsid w:val="006827B3"/>
    <w:rsid w:val="00683193"/>
    <w:rsid w:val="00683EE8"/>
    <w:rsid w:val="006842E7"/>
    <w:rsid w:val="00687957"/>
    <w:rsid w:val="00690345"/>
    <w:rsid w:val="00691D40"/>
    <w:rsid w:val="006943D5"/>
    <w:rsid w:val="006943FD"/>
    <w:rsid w:val="00696F26"/>
    <w:rsid w:val="006970A9"/>
    <w:rsid w:val="006A05B6"/>
    <w:rsid w:val="006A17B4"/>
    <w:rsid w:val="006A4C53"/>
    <w:rsid w:val="006A56FF"/>
    <w:rsid w:val="006A6261"/>
    <w:rsid w:val="006A6275"/>
    <w:rsid w:val="006A69A6"/>
    <w:rsid w:val="006A726B"/>
    <w:rsid w:val="006B0DB0"/>
    <w:rsid w:val="006B12DD"/>
    <w:rsid w:val="006B25E3"/>
    <w:rsid w:val="006B32BE"/>
    <w:rsid w:val="006B48A0"/>
    <w:rsid w:val="006B7481"/>
    <w:rsid w:val="006B79B7"/>
    <w:rsid w:val="006B7BB4"/>
    <w:rsid w:val="006C058F"/>
    <w:rsid w:val="006C189B"/>
    <w:rsid w:val="006C18A3"/>
    <w:rsid w:val="006C4191"/>
    <w:rsid w:val="006C451F"/>
    <w:rsid w:val="006C5D49"/>
    <w:rsid w:val="006C6EFE"/>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656D"/>
    <w:rsid w:val="007071EE"/>
    <w:rsid w:val="00710502"/>
    <w:rsid w:val="00710914"/>
    <w:rsid w:val="00710A27"/>
    <w:rsid w:val="00711ACA"/>
    <w:rsid w:val="007152BB"/>
    <w:rsid w:val="0072059B"/>
    <w:rsid w:val="00721DAA"/>
    <w:rsid w:val="0072228C"/>
    <w:rsid w:val="00723675"/>
    <w:rsid w:val="00724150"/>
    <w:rsid w:val="0072425F"/>
    <w:rsid w:val="007259F6"/>
    <w:rsid w:val="00731AB5"/>
    <w:rsid w:val="00733AD9"/>
    <w:rsid w:val="007362CD"/>
    <w:rsid w:val="0073692E"/>
    <w:rsid w:val="00736A81"/>
    <w:rsid w:val="00740349"/>
    <w:rsid w:val="00741500"/>
    <w:rsid w:val="0074596A"/>
    <w:rsid w:val="00746362"/>
    <w:rsid w:val="007473A9"/>
    <w:rsid w:val="00751B37"/>
    <w:rsid w:val="00752F4E"/>
    <w:rsid w:val="007564C7"/>
    <w:rsid w:val="007574AA"/>
    <w:rsid w:val="00761A28"/>
    <w:rsid w:val="00763B3B"/>
    <w:rsid w:val="00764722"/>
    <w:rsid w:val="007705FA"/>
    <w:rsid w:val="007710BB"/>
    <w:rsid w:val="007717D7"/>
    <w:rsid w:val="007718F3"/>
    <w:rsid w:val="007719EA"/>
    <w:rsid w:val="00771BF5"/>
    <w:rsid w:val="0077213F"/>
    <w:rsid w:val="0077362E"/>
    <w:rsid w:val="007749E5"/>
    <w:rsid w:val="007754D0"/>
    <w:rsid w:val="00780703"/>
    <w:rsid w:val="00782979"/>
    <w:rsid w:val="00783BA9"/>
    <w:rsid w:val="0078551D"/>
    <w:rsid w:val="00785583"/>
    <w:rsid w:val="007870B3"/>
    <w:rsid w:val="00787AF4"/>
    <w:rsid w:val="0079091C"/>
    <w:rsid w:val="007909DC"/>
    <w:rsid w:val="007913AA"/>
    <w:rsid w:val="00791841"/>
    <w:rsid w:val="00791B16"/>
    <w:rsid w:val="00793B18"/>
    <w:rsid w:val="00793E1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12D"/>
    <w:rsid w:val="007B7B0E"/>
    <w:rsid w:val="007C14F6"/>
    <w:rsid w:val="007C159D"/>
    <w:rsid w:val="007C17A0"/>
    <w:rsid w:val="007C1AF3"/>
    <w:rsid w:val="007C297B"/>
    <w:rsid w:val="007C2BE4"/>
    <w:rsid w:val="007C3805"/>
    <w:rsid w:val="007C4C21"/>
    <w:rsid w:val="007C5702"/>
    <w:rsid w:val="007C630F"/>
    <w:rsid w:val="007C6B04"/>
    <w:rsid w:val="007D0F30"/>
    <w:rsid w:val="007D34CE"/>
    <w:rsid w:val="007D3823"/>
    <w:rsid w:val="007D53FB"/>
    <w:rsid w:val="007D5886"/>
    <w:rsid w:val="007D730D"/>
    <w:rsid w:val="007D7DC9"/>
    <w:rsid w:val="007E1245"/>
    <w:rsid w:val="007E1479"/>
    <w:rsid w:val="007E23DE"/>
    <w:rsid w:val="007E24B7"/>
    <w:rsid w:val="007E2B98"/>
    <w:rsid w:val="007E35E6"/>
    <w:rsid w:val="007E7B12"/>
    <w:rsid w:val="007F00D1"/>
    <w:rsid w:val="007F064A"/>
    <w:rsid w:val="007F2147"/>
    <w:rsid w:val="007F2242"/>
    <w:rsid w:val="007F2ACF"/>
    <w:rsid w:val="007F39EC"/>
    <w:rsid w:val="007F3FD4"/>
    <w:rsid w:val="007F72C4"/>
    <w:rsid w:val="00800794"/>
    <w:rsid w:val="00800C53"/>
    <w:rsid w:val="00800E2A"/>
    <w:rsid w:val="00801C11"/>
    <w:rsid w:val="00802130"/>
    <w:rsid w:val="0080288F"/>
    <w:rsid w:val="008028AA"/>
    <w:rsid w:val="008033C6"/>
    <w:rsid w:val="00803A38"/>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32AC9"/>
    <w:rsid w:val="00834F99"/>
    <w:rsid w:val="008370FC"/>
    <w:rsid w:val="00837BB4"/>
    <w:rsid w:val="008407AE"/>
    <w:rsid w:val="00840D41"/>
    <w:rsid w:val="008411A3"/>
    <w:rsid w:val="00841BE8"/>
    <w:rsid w:val="008432B3"/>
    <w:rsid w:val="00843E43"/>
    <w:rsid w:val="00845F98"/>
    <w:rsid w:val="008478F2"/>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7636"/>
    <w:rsid w:val="00871BD1"/>
    <w:rsid w:val="008736D3"/>
    <w:rsid w:val="00874397"/>
    <w:rsid w:val="00876402"/>
    <w:rsid w:val="00876AF7"/>
    <w:rsid w:val="00882F82"/>
    <w:rsid w:val="008837EE"/>
    <w:rsid w:val="008840F1"/>
    <w:rsid w:val="00884806"/>
    <w:rsid w:val="00885136"/>
    <w:rsid w:val="00885758"/>
    <w:rsid w:val="00885CB0"/>
    <w:rsid w:val="008905A4"/>
    <w:rsid w:val="0089073B"/>
    <w:rsid w:val="00890C69"/>
    <w:rsid w:val="00890DB9"/>
    <w:rsid w:val="008915EC"/>
    <w:rsid w:val="008935DC"/>
    <w:rsid w:val="00893932"/>
    <w:rsid w:val="00893ACE"/>
    <w:rsid w:val="00893C74"/>
    <w:rsid w:val="00894982"/>
    <w:rsid w:val="00895052"/>
    <w:rsid w:val="008A0145"/>
    <w:rsid w:val="008A0DEB"/>
    <w:rsid w:val="008A1B76"/>
    <w:rsid w:val="008A2860"/>
    <w:rsid w:val="008A3955"/>
    <w:rsid w:val="008A55BA"/>
    <w:rsid w:val="008A747A"/>
    <w:rsid w:val="008B0CB5"/>
    <w:rsid w:val="008B0E3F"/>
    <w:rsid w:val="008B1ACC"/>
    <w:rsid w:val="008B247A"/>
    <w:rsid w:val="008B253B"/>
    <w:rsid w:val="008B3117"/>
    <w:rsid w:val="008B67DC"/>
    <w:rsid w:val="008B7ABB"/>
    <w:rsid w:val="008C1933"/>
    <w:rsid w:val="008C2021"/>
    <w:rsid w:val="008C334E"/>
    <w:rsid w:val="008C3777"/>
    <w:rsid w:val="008C5FFA"/>
    <w:rsid w:val="008C6DB3"/>
    <w:rsid w:val="008D036C"/>
    <w:rsid w:val="008D0E00"/>
    <w:rsid w:val="008D14EF"/>
    <w:rsid w:val="008D1CFB"/>
    <w:rsid w:val="008D5AED"/>
    <w:rsid w:val="008D6376"/>
    <w:rsid w:val="008D64FC"/>
    <w:rsid w:val="008E1701"/>
    <w:rsid w:val="008E21E0"/>
    <w:rsid w:val="008E29ED"/>
    <w:rsid w:val="008E4B93"/>
    <w:rsid w:val="008E6C92"/>
    <w:rsid w:val="008F05EE"/>
    <w:rsid w:val="008F119F"/>
    <w:rsid w:val="008F355D"/>
    <w:rsid w:val="008F3E39"/>
    <w:rsid w:val="008F4693"/>
    <w:rsid w:val="008F4F6B"/>
    <w:rsid w:val="008F5ADF"/>
    <w:rsid w:val="008F79FB"/>
    <w:rsid w:val="00900676"/>
    <w:rsid w:val="00902114"/>
    <w:rsid w:val="009037AF"/>
    <w:rsid w:val="00903FB9"/>
    <w:rsid w:val="00905A25"/>
    <w:rsid w:val="0090695E"/>
    <w:rsid w:val="009114D3"/>
    <w:rsid w:val="009123C6"/>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34D74"/>
    <w:rsid w:val="009403A3"/>
    <w:rsid w:val="00941EAD"/>
    <w:rsid w:val="009443B8"/>
    <w:rsid w:val="009447BC"/>
    <w:rsid w:val="00946336"/>
    <w:rsid w:val="00946769"/>
    <w:rsid w:val="009469EA"/>
    <w:rsid w:val="0095054B"/>
    <w:rsid w:val="00951AF6"/>
    <w:rsid w:val="009533D4"/>
    <w:rsid w:val="009536BB"/>
    <w:rsid w:val="009553A0"/>
    <w:rsid w:val="00961759"/>
    <w:rsid w:val="00961BCE"/>
    <w:rsid w:val="0096232C"/>
    <w:rsid w:val="00962CBB"/>
    <w:rsid w:val="00962EB8"/>
    <w:rsid w:val="00964DE0"/>
    <w:rsid w:val="0096639F"/>
    <w:rsid w:val="00970C23"/>
    <w:rsid w:val="009724B6"/>
    <w:rsid w:val="0097401B"/>
    <w:rsid w:val="009740D0"/>
    <w:rsid w:val="009751E4"/>
    <w:rsid w:val="00976F95"/>
    <w:rsid w:val="00977343"/>
    <w:rsid w:val="0098180D"/>
    <w:rsid w:val="00981932"/>
    <w:rsid w:val="009834C6"/>
    <w:rsid w:val="00984D5F"/>
    <w:rsid w:val="00985A14"/>
    <w:rsid w:val="009867A3"/>
    <w:rsid w:val="009870C6"/>
    <w:rsid w:val="00987E19"/>
    <w:rsid w:val="009906E7"/>
    <w:rsid w:val="009918DF"/>
    <w:rsid w:val="00992F67"/>
    <w:rsid w:val="00994304"/>
    <w:rsid w:val="009944D1"/>
    <w:rsid w:val="00994B60"/>
    <w:rsid w:val="0099537F"/>
    <w:rsid w:val="009972BE"/>
    <w:rsid w:val="009A1242"/>
    <w:rsid w:val="009A1DE3"/>
    <w:rsid w:val="009A4E23"/>
    <w:rsid w:val="009A632C"/>
    <w:rsid w:val="009A6437"/>
    <w:rsid w:val="009A76A0"/>
    <w:rsid w:val="009A7E06"/>
    <w:rsid w:val="009B07DC"/>
    <w:rsid w:val="009B0924"/>
    <w:rsid w:val="009B2680"/>
    <w:rsid w:val="009B2A1F"/>
    <w:rsid w:val="009B3989"/>
    <w:rsid w:val="009B4CB6"/>
    <w:rsid w:val="009B5C9B"/>
    <w:rsid w:val="009C0030"/>
    <w:rsid w:val="009C0601"/>
    <w:rsid w:val="009C0857"/>
    <w:rsid w:val="009C218F"/>
    <w:rsid w:val="009C3E58"/>
    <w:rsid w:val="009C4FF8"/>
    <w:rsid w:val="009D21C0"/>
    <w:rsid w:val="009D25E1"/>
    <w:rsid w:val="009D2DFF"/>
    <w:rsid w:val="009D3A51"/>
    <w:rsid w:val="009D489A"/>
    <w:rsid w:val="009D4F58"/>
    <w:rsid w:val="009D5AD5"/>
    <w:rsid w:val="009D5FBA"/>
    <w:rsid w:val="009E0791"/>
    <w:rsid w:val="009E18A2"/>
    <w:rsid w:val="009E27A4"/>
    <w:rsid w:val="009E387A"/>
    <w:rsid w:val="009E3A4C"/>
    <w:rsid w:val="009E406C"/>
    <w:rsid w:val="009E5354"/>
    <w:rsid w:val="009E55D9"/>
    <w:rsid w:val="009E6425"/>
    <w:rsid w:val="009F23C2"/>
    <w:rsid w:val="009F2C0F"/>
    <w:rsid w:val="009F44AD"/>
    <w:rsid w:val="009F47ED"/>
    <w:rsid w:val="009F4AE1"/>
    <w:rsid w:val="009F550E"/>
    <w:rsid w:val="009F65CB"/>
    <w:rsid w:val="00A02323"/>
    <w:rsid w:val="00A11CE4"/>
    <w:rsid w:val="00A11D17"/>
    <w:rsid w:val="00A12EC9"/>
    <w:rsid w:val="00A132D9"/>
    <w:rsid w:val="00A14EED"/>
    <w:rsid w:val="00A17511"/>
    <w:rsid w:val="00A21051"/>
    <w:rsid w:val="00A239FE"/>
    <w:rsid w:val="00A23F46"/>
    <w:rsid w:val="00A259C5"/>
    <w:rsid w:val="00A25EBA"/>
    <w:rsid w:val="00A273D8"/>
    <w:rsid w:val="00A27A4E"/>
    <w:rsid w:val="00A32EB2"/>
    <w:rsid w:val="00A335E0"/>
    <w:rsid w:val="00A34E31"/>
    <w:rsid w:val="00A4091F"/>
    <w:rsid w:val="00A42D0D"/>
    <w:rsid w:val="00A44E3D"/>
    <w:rsid w:val="00A4540A"/>
    <w:rsid w:val="00A4565F"/>
    <w:rsid w:val="00A45B90"/>
    <w:rsid w:val="00A51026"/>
    <w:rsid w:val="00A51ECF"/>
    <w:rsid w:val="00A55959"/>
    <w:rsid w:val="00A56713"/>
    <w:rsid w:val="00A62357"/>
    <w:rsid w:val="00A62761"/>
    <w:rsid w:val="00A66D21"/>
    <w:rsid w:val="00A6733D"/>
    <w:rsid w:val="00A70B70"/>
    <w:rsid w:val="00A70D4E"/>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1368"/>
    <w:rsid w:val="00A91DBD"/>
    <w:rsid w:val="00A96186"/>
    <w:rsid w:val="00A97713"/>
    <w:rsid w:val="00AA15F1"/>
    <w:rsid w:val="00AA6A6F"/>
    <w:rsid w:val="00AA6E04"/>
    <w:rsid w:val="00AA7BA9"/>
    <w:rsid w:val="00AA7FEC"/>
    <w:rsid w:val="00AB218C"/>
    <w:rsid w:val="00AB2BE8"/>
    <w:rsid w:val="00AB3096"/>
    <w:rsid w:val="00AB3E60"/>
    <w:rsid w:val="00AB42AE"/>
    <w:rsid w:val="00AB7415"/>
    <w:rsid w:val="00AC16A2"/>
    <w:rsid w:val="00AC3238"/>
    <w:rsid w:val="00AC3644"/>
    <w:rsid w:val="00AC3D0C"/>
    <w:rsid w:val="00AC471C"/>
    <w:rsid w:val="00AC73BD"/>
    <w:rsid w:val="00AC7B09"/>
    <w:rsid w:val="00AD2972"/>
    <w:rsid w:val="00AD2BA9"/>
    <w:rsid w:val="00AD32F2"/>
    <w:rsid w:val="00AD3DEA"/>
    <w:rsid w:val="00AD3F7A"/>
    <w:rsid w:val="00AD43FA"/>
    <w:rsid w:val="00AD7288"/>
    <w:rsid w:val="00AE24F2"/>
    <w:rsid w:val="00AE3DD6"/>
    <w:rsid w:val="00AE6BD1"/>
    <w:rsid w:val="00AF045D"/>
    <w:rsid w:val="00AF20D2"/>
    <w:rsid w:val="00AF2C1E"/>
    <w:rsid w:val="00AF48BD"/>
    <w:rsid w:val="00AF5704"/>
    <w:rsid w:val="00AF6753"/>
    <w:rsid w:val="00AF7ADF"/>
    <w:rsid w:val="00B0180A"/>
    <w:rsid w:val="00B01E3A"/>
    <w:rsid w:val="00B036AF"/>
    <w:rsid w:val="00B06313"/>
    <w:rsid w:val="00B07B6B"/>
    <w:rsid w:val="00B116D9"/>
    <w:rsid w:val="00B12597"/>
    <w:rsid w:val="00B1350B"/>
    <w:rsid w:val="00B169A2"/>
    <w:rsid w:val="00B175D8"/>
    <w:rsid w:val="00B22DD6"/>
    <w:rsid w:val="00B22DDC"/>
    <w:rsid w:val="00B23AA0"/>
    <w:rsid w:val="00B250D5"/>
    <w:rsid w:val="00B25D8E"/>
    <w:rsid w:val="00B3194E"/>
    <w:rsid w:val="00B3336A"/>
    <w:rsid w:val="00B33A46"/>
    <w:rsid w:val="00B33EFA"/>
    <w:rsid w:val="00B3590C"/>
    <w:rsid w:val="00B35D82"/>
    <w:rsid w:val="00B36D4F"/>
    <w:rsid w:val="00B4103A"/>
    <w:rsid w:val="00B417C7"/>
    <w:rsid w:val="00B4388D"/>
    <w:rsid w:val="00B474C8"/>
    <w:rsid w:val="00B47556"/>
    <w:rsid w:val="00B500F2"/>
    <w:rsid w:val="00B51888"/>
    <w:rsid w:val="00B5258A"/>
    <w:rsid w:val="00B52877"/>
    <w:rsid w:val="00B52F85"/>
    <w:rsid w:val="00B53900"/>
    <w:rsid w:val="00B5421E"/>
    <w:rsid w:val="00B56B55"/>
    <w:rsid w:val="00B6176B"/>
    <w:rsid w:val="00B62AFA"/>
    <w:rsid w:val="00B6495A"/>
    <w:rsid w:val="00B66BA4"/>
    <w:rsid w:val="00B67AB1"/>
    <w:rsid w:val="00B70E49"/>
    <w:rsid w:val="00B71577"/>
    <w:rsid w:val="00B73384"/>
    <w:rsid w:val="00B73FD7"/>
    <w:rsid w:val="00B74DED"/>
    <w:rsid w:val="00B75D34"/>
    <w:rsid w:val="00B763B8"/>
    <w:rsid w:val="00B7648B"/>
    <w:rsid w:val="00B76C91"/>
    <w:rsid w:val="00B7726B"/>
    <w:rsid w:val="00B8200E"/>
    <w:rsid w:val="00B83D73"/>
    <w:rsid w:val="00B84DA6"/>
    <w:rsid w:val="00B855FA"/>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B14FE"/>
    <w:rsid w:val="00BB177A"/>
    <w:rsid w:val="00BB1D9F"/>
    <w:rsid w:val="00BB51A9"/>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BB"/>
    <w:rsid w:val="00BE7ED9"/>
    <w:rsid w:val="00BF181D"/>
    <w:rsid w:val="00BF1B72"/>
    <w:rsid w:val="00BF4B38"/>
    <w:rsid w:val="00C011BE"/>
    <w:rsid w:val="00C03670"/>
    <w:rsid w:val="00C03D59"/>
    <w:rsid w:val="00C04809"/>
    <w:rsid w:val="00C05161"/>
    <w:rsid w:val="00C077DE"/>
    <w:rsid w:val="00C07C8A"/>
    <w:rsid w:val="00C1021E"/>
    <w:rsid w:val="00C12E0B"/>
    <w:rsid w:val="00C1524D"/>
    <w:rsid w:val="00C15C62"/>
    <w:rsid w:val="00C15D19"/>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D4D"/>
    <w:rsid w:val="00C3466A"/>
    <w:rsid w:val="00C348AC"/>
    <w:rsid w:val="00C36EB3"/>
    <w:rsid w:val="00C377AD"/>
    <w:rsid w:val="00C40B21"/>
    <w:rsid w:val="00C42D35"/>
    <w:rsid w:val="00C43210"/>
    <w:rsid w:val="00C43471"/>
    <w:rsid w:val="00C43B61"/>
    <w:rsid w:val="00C443FC"/>
    <w:rsid w:val="00C45031"/>
    <w:rsid w:val="00C450B9"/>
    <w:rsid w:val="00C454D8"/>
    <w:rsid w:val="00C45D34"/>
    <w:rsid w:val="00C45E6A"/>
    <w:rsid w:val="00C46A08"/>
    <w:rsid w:val="00C51A58"/>
    <w:rsid w:val="00C53274"/>
    <w:rsid w:val="00C5363A"/>
    <w:rsid w:val="00C549C2"/>
    <w:rsid w:val="00C55002"/>
    <w:rsid w:val="00C55B17"/>
    <w:rsid w:val="00C64809"/>
    <w:rsid w:val="00C64946"/>
    <w:rsid w:val="00C6553D"/>
    <w:rsid w:val="00C66172"/>
    <w:rsid w:val="00C67B0D"/>
    <w:rsid w:val="00C7421B"/>
    <w:rsid w:val="00C77269"/>
    <w:rsid w:val="00C812F4"/>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226"/>
    <w:rsid w:val="00CD18A2"/>
    <w:rsid w:val="00CD1CC5"/>
    <w:rsid w:val="00CD4E86"/>
    <w:rsid w:val="00CD5053"/>
    <w:rsid w:val="00CE195C"/>
    <w:rsid w:val="00CE41D0"/>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A6C"/>
    <w:rsid w:val="00D13F7A"/>
    <w:rsid w:val="00D142B6"/>
    <w:rsid w:val="00D167E7"/>
    <w:rsid w:val="00D20E19"/>
    <w:rsid w:val="00D2254D"/>
    <w:rsid w:val="00D231A6"/>
    <w:rsid w:val="00D26873"/>
    <w:rsid w:val="00D26D6F"/>
    <w:rsid w:val="00D30138"/>
    <w:rsid w:val="00D30FDF"/>
    <w:rsid w:val="00D31875"/>
    <w:rsid w:val="00D3196A"/>
    <w:rsid w:val="00D31CC6"/>
    <w:rsid w:val="00D32F83"/>
    <w:rsid w:val="00D3361E"/>
    <w:rsid w:val="00D3468A"/>
    <w:rsid w:val="00D355BD"/>
    <w:rsid w:val="00D35660"/>
    <w:rsid w:val="00D36770"/>
    <w:rsid w:val="00D36946"/>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565"/>
    <w:rsid w:val="00D559B2"/>
    <w:rsid w:val="00D55F56"/>
    <w:rsid w:val="00D56470"/>
    <w:rsid w:val="00D57273"/>
    <w:rsid w:val="00D576DF"/>
    <w:rsid w:val="00D57F3C"/>
    <w:rsid w:val="00D60256"/>
    <w:rsid w:val="00D6078F"/>
    <w:rsid w:val="00D63335"/>
    <w:rsid w:val="00D63D95"/>
    <w:rsid w:val="00D70018"/>
    <w:rsid w:val="00D72599"/>
    <w:rsid w:val="00D72882"/>
    <w:rsid w:val="00D7339B"/>
    <w:rsid w:val="00D740DF"/>
    <w:rsid w:val="00D75D0E"/>
    <w:rsid w:val="00D760E3"/>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1BF4"/>
    <w:rsid w:val="00DA4061"/>
    <w:rsid w:val="00DA5485"/>
    <w:rsid w:val="00DB0788"/>
    <w:rsid w:val="00DB28F1"/>
    <w:rsid w:val="00DB3955"/>
    <w:rsid w:val="00DB457A"/>
    <w:rsid w:val="00DB491F"/>
    <w:rsid w:val="00DB4C6E"/>
    <w:rsid w:val="00DB513B"/>
    <w:rsid w:val="00DB5975"/>
    <w:rsid w:val="00DC09C1"/>
    <w:rsid w:val="00DC2A75"/>
    <w:rsid w:val="00DC2B12"/>
    <w:rsid w:val="00DC2DD6"/>
    <w:rsid w:val="00DC315B"/>
    <w:rsid w:val="00DC37EE"/>
    <w:rsid w:val="00DC53FC"/>
    <w:rsid w:val="00DC5FC2"/>
    <w:rsid w:val="00DD064F"/>
    <w:rsid w:val="00DD0FEE"/>
    <w:rsid w:val="00DD1862"/>
    <w:rsid w:val="00DD19A5"/>
    <w:rsid w:val="00DD2243"/>
    <w:rsid w:val="00DD2420"/>
    <w:rsid w:val="00DD2477"/>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148E"/>
    <w:rsid w:val="00DF2C21"/>
    <w:rsid w:val="00DF7B20"/>
    <w:rsid w:val="00E00B0E"/>
    <w:rsid w:val="00E0581B"/>
    <w:rsid w:val="00E05A68"/>
    <w:rsid w:val="00E05BB4"/>
    <w:rsid w:val="00E077EB"/>
    <w:rsid w:val="00E077F9"/>
    <w:rsid w:val="00E1002A"/>
    <w:rsid w:val="00E10C5E"/>
    <w:rsid w:val="00E11C32"/>
    <w:rsid w:val="00E1201E"/>
    <w:rsid w:val="00E132C4"/>
    <w:rsid w:val="00E14133"/>
    <w:rsid w:val="00E14763"/>
    <w:rsid w:val="00E14F42"/>
    <w:rsid w:val="00E1655E"/>
    <w:rsid w:val="00E174AA"/>
    <w:rsid w:val="00E21050"/>
    <w:rsid w:val="00E2195B"/>
    <w:rsid w:val="00E22074"/>
    <w:rsid w:val="00E2371C"/>
    <w:rsid w:val="00E25EC6"/>
    <w:rsid w:val="00E26321"/>
    <w:rsid w:val="00E273DC"/>
    <w:rsid w:val="00E304F7"/>
    <w:rsid w:val="00E30B6A"/>
    <w:rsid w:val="00E32D56"/>
    <w:rsid w:val="00E346CA"/>
    <w:rsid w:val="00E3537F"/>
    <w:rsid w:val="00E35C95"/>
    <w:rsid w:val="00E361B1"/>
    <w:rsid w:val="00E36A29"/>
    <w:rsid w:val="00E36CDF"/>
    <w:rsid w:val="00E36D40"/>
    <w:rsid w:val="00E36E54"/>
    <w:rsid w:val="00E3702A"/>
    <w:rsid w:val="00E372CF"/>
    <w:rsid w:val="00E40A51"/>
    <w:rsid w:val="00E41BDE"/>
    <w:rsid w:val="00E41D5B"/>
    <w:rsid w:val="00E4490C"/>
    <w:rsid w:val="00E45580"/>
    <w:rsid w:val="00E4772C"/>
    <w:rsid w:val="00E5014A"/>
    <w:rsid w:val="00E50391"/>
    <w:rsid w:val="00E5147F"/>
    <w:rsid w:val="00E51792"/>
    <w:rsid w:val="00E53865"/>
    <w:rsid w:val="00E54713"/>
    <w:rsid w:val="00E55211"/>
    <w:rsid w:val="00E55CFB"/>
    <w:rsid w:val="00E56404"/>
    <w:rsid w:val="00E56FB3"/>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749C5"/>
    <w:rsid w:val="00E76859"/>
    <w:rsid w:val="00E77387"/>
    <w:rsid w:val="00E777AA"/>
    <w:rsid w:val="00E81C77"/>
    <w:rsid w:val="00E8311A"/>
    <w:rsid w:val="00E8489A"/>
    <w:rsid w:val="00E85199"/>
    <w:rsid w:val="00E85BC9"/>
    <w:rsid w:val="00E86916"/>
    <w:rsid w:val="00E87419"/>
    <w:rsid w:val="00E908AC"/>
    <w:rsid w:val="00E90E98"/>
    <w:rsid w:val="00E92E98"/>
    <w:rsid w:val="00E94903"/>
    <w:rsid w:val="00E95168"/>
    <w:rsid w:val="00E95DCD"/>
    <w:rsid w:val="00EA0FDA"/>
    <w:rsid w:val="00EA3C04"/>
    <w:rsid w:val="00EA4343"/>
    <w:rsid w:val="00EA500A"/>
    <w:rsid w:val="00EA5761"/>
    <w:rsid w:val="00EA5B03"/>
    <w:rsid w:val="00EA6519"/>
    <w:rsid w:val="00EA724D"/>
    <w:rsid w:val="00EA7DD2"/>
    <w:rsid w:val="00EB0475"/>
    <w:rsid w:val="00EB102C"/>
    <w:rsid w:val="00EB1368"/>
    <w:rsid w:val="00EB2E4B"/>
    <w:rsid w:val="00EB369A"/>
    <w:rsid w:val="00EB5E31"/>
    <w:rsid w:val="00EB60F8"/>
    <w:rsid w:val="00EB6709"/>
    <w:rsid w:val="00EB6DD1"/>
    <w:rsid w:val="00EB794C"/>
    <w:rsid w:val="00EC2321"/>
    <w:rsid w:val="00EC3084"/>
    <w:rsid w:val="00EC30D0"/>
    <w:rsid w:val="00EC30FC"/>
    <w:rsid w:val="00EC3D9F"/>
    <w:rsid w:val="00EC5107"/>
    <w:rsid w:val="00EC7124"/>
    <w:rsid w:val="00EC7A62"/>
    <w:rsid w:val="00ED09CD"/>
    <w:rsid w:val="00ED2D63"/>
    <w:rsid w:val="00ED3DDB"/>
    <w:rsid w:val="00ED4518"/>
    <w:rsid w:val="00ED4AF1"/>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3AB5"/>
    <w:rsid w:val="00F13C23"/>
    <w:rsid w:val="00F14578"/>
    <w:rsid w:val="00F15FE2"/>
    <w:rsid w:val="00F21586"/>
    <w:rsid w:val="00F2591B"/>
    <w:rsid w:val="00F25DB3"/>
    <w:rsid w:val="00F31C66"/>
    <w:rsid w:val="00F321DD"/>
    <w:rsid w:val="00F32D66"/>
    <w:rsid w:val="00F33D16"/>
    <w:rsid w:val="00F3589E"/>
    <w:rsid w:val="00F3627D"/>
    <w:rsid w:val="00F42D66"/>
    <w:rsid w:val="00F45205"/>
    <w:rsid w:val="00F45A48"/>
    <w:rsid w:val="00F4640B"/>
    <w:rsid w:val="00F47DBC"/>
    <w:rsid w:val="00F502FB"/>
    <w:rsid w:val="00F50E4F"/>
    <w:rsid w:val="00F51CB6"/>
    <w:rsid w:val="00F5209D"/>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7EAB"/>
    <w:rsid w:val="00FB26B4"/>
    <w:rsid w:val="00FB4474"/>
    <w:rsid w:val="00FB7CCF"/>
    <w:rsid w:val="00FC227A"/>
    <w:rsid w:val="00FC313E"/>
    <w:rsid w:val="00FC3208"/>
    <w:rsid w:val="00FC57A8"/>
    <w:rsid w:val="00FC5E01"/>
    <w:rsid w:val="00FC6103"/>
    <w:rsid w:val="00FC6B18"/>
    <w:rsid w:val="00FD07D3"/>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315D"/>
    <w:rsid w:val="00FF352D"/>
    <w:rsid w:val="00FF49D9"/>
    <w:rsid w:val="00FF6873"/>
    <w:rsid w:val="010550DD"/>
    <w:rsid w:val="020C3215"/>
    <w:rsid w:val="0DA76EF7"/>
    <w:rsid w:val="0F5A7EF5"/>
    <w:rsid w:val="10B61AF9"/>
    <w:rsid w:val="15934688"/>
    <w:rsid w:val="197E2E13"/>
    <w:rsid w:val="1EB23894"/>
    <w:rsid w:val="24257BFD"/>
    <w:rsid w:val="24342035"/>
    <w:rsid w:val="27156329"/>
    <w:rsid w:val="2A3F6DCB"/>
    <w:rsid w:val="2BCB4E87"/>
    <w:rsid w:val="2C066061"/>
    <w:rsid w:val="2D9D11C8"/>
    <w:rsid w:val="3013205B"/>
    <w:rsid w:val="30361475"/>
    <w:rsid w:val="33701023"/>
    <w:rsid w:val="337B1A67"/>
    <w:rsid w:val="33C15BE0"/>
    <w:rsid w:val="384B24CE"/>
    <w:rsid w:val="399563E3"/>
    <w:rsid w:val="3DDC7F8B"/>
    <w:rsid w:val="3E217B1B"/>
    <w:rsid w:val="40751C9F"/>
    <w:rsid w:val="407E44CB"/>
    <w:rsid w:val="42857728"/>
    <w:rsid w:val="437D2DD8"/>
    <w:rsid w:val="44F77FF8"/>
    <w:rsid w:val="46E10BF3"/>
    <w:rsid w:val="474546EB"/>
    <w:rsid w:val="4D95357E"/>
    <w:rsid w:val="4E05412E"/>
    <w:rsid w:val="4EBE0E61"/>
    <w:rsid w:val="50017CAB"/>
    <w:rsid w:val="56A85281"/>
    <w:rsid w:val="57722EBB"/>
    <w:rsid w:val="57AD1090"/>
    <w:rsid w:val="60A83866"/>
    <w:rsid w:val="65DC0272"/>
    <w:rsid w:val="6AF712BC"/>
    <w:rsid w:val="6D302958"/>
    <w:rsid w:val="6D8C4A9A"/>
    <w:rsid w:val="6DF74CFB"/>
    <w:rsid w:val="6F107FC5"/>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99" w:semiHidden="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uiPriority w:val="1"/>
  </w:style>
  <w:style w:type="table" w:default="1" w:styleId="12">
    <w:name w:val="Normal Table"/>
    <w:semiHidden/>
    <w:unhideWhenUsed/>
    <w:uiPriority w:val="99"/>
    <w:tblPr>
      <w:tblLayout w:type="fixed"/>
      <w:tblCellMar>
        <w:top w:w="0" w:type="dxa"/>
        <w:left w:w="108" w:type="dxa"/>
        <w:bottom w:w="0" w:type="dxa"/>
        <w:right w:w="108" w:type="dxa"/>
      </w:tblCellMar>
    </w:tblPr>
  </w:style>
  <w:style w:type="paragraph" w:styleId="3">
    <w:name w:val="annotation subject"/>
    <w:basedOn w:val="4"/>
    <w:next w:val="4"/>
    <w:link w:val="15"/>
    <w:qFormat/>
    <w:uiPriority w:val="0"/>
    <w:rPr>
      <w:b/>
      <w:bCs/>
    </w:rPr>
  </w:style>
  <w:style w:type="paragraph" w:styleId="4">
    <w:name w:val="annotation text"/>
    <w:basedOn w:val="1"/>
    <w:link w:val="14"/>
    <w:qFormat/>
    <w:uiPriority w:val="0"/>
    <w:pPr>
      <w:jc w:val="left"/>
    </w:pPr>
  </w:style>
  <w:style w:type="paragraph" w:styleId="5">
    <w:name w:val="Balloon Text"/>
    <w:basedOn w:val="1"/>
    <w:link w:val="16"/>
    <w:qFormat/>
    <w:uiPriority w:val="0"/>
    <w:rPr>
      <w:sz w:val="18"/>
      <w:szCs w:val="18"/>
    </w:rPr>
  </w:style>
  <w:style w:type="paragraph" w:styleId="6">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7">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8">
    <w:name w:val="HTML Preformatted"/>
    <w:basedOn w:val="1"/>
    <w:link w:val="20"/>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0">
    <w:name w:val="Strong"/>
    <w:basedOn w:val="9"/>
    <w:qFormat/>
    <w:uiPriority w:val="0"/>
    <w:rPr>
      <w:b/>
      <w:bCs/>
    </w:rPr>
  </w:style>
  <w:style w:type="character" w:styleId="11">
    <w:name w:val="annotation reference"/>
    <w:basedOn w:val="9"/>
    <w:qFormat/>
    <w:uiPriority w:val="0"/>
    <w:rPr>
      <w:sz w:val="21"/>
      <w:szCs w:val="21"/>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4">
    <w:name w:val="批注文字 字符"/>
    <w:basedOn w:val="9"/>
    <w:link w:val="4"/>
    <w:qFormat/>
    <w:uiPriority w:val="0"/>
    <w:rPr>
      <w:kern w:val="2"/>
      <w:sz w:val="21"/>
      <w:szCs w:val="24"/>
    </w:rPr>
  </w:style>
  <w:style w:type="character" w:customStyle="1" w:styleId="15">
    <w:name w:val="批注主题 字符"/>
    <w:basedOn w:val="14"/>
    <w:link w:val="3"/>
    <w:qFormat/>
    <w:uiPriority w:val="0"/>
    <w:rPr>
      <w:b/>
      <w:bCs/>
      <w:kern w:val="2"/>
      <w:sz w:val="21"/>
      <w:szCs w:val="24"/>
    </w:rPr>
  </w:style>
  <w:style w:type="character" w:customStyle="1" w:styleId="16">
    <w:name w:val="批注框文本 字符"/>
    <w:basedOn w:val="9"/>
    <w:link w:val="5"/>
    <w:qFormat/>
    <w:uiPriority w:val="0"/>
    <w:rPr>
      <w:kern w:val="2"/>
      <w:sz w:val="18"/>
      <w:szCs w:val="18"/>
    </w:rPr>
  </w:style>
  <w:style w:type="paragraph" w:customStyle="1" w:styleId="17">
    <w:name w:val="修订1"/>
    <w:hidden/>
    <w:semiHidden/>
    <w:qFormat/>
    <w:uiPriority w:val="99"/>
    <w:rPr>
      <w:rFonts w:ascii="Times New Roman" w:hAnsi="Times New Roman" w:eastAsia="宋体" w:cs="Times New Roman"/>
      <w:kern w:val="2"/>
      <w:sz w:val="21"/>
      <w:szCs w:val="24"/>
      <w:lang w:val="en-US" w:eastAsia="zh-CN" w:bidi="ar-SA"/>
    </w:rPr>
  </w:style>
  <w:style w:type="paragraph" w:styleId="18">
    <w:name w:val="List Paragraph"/>
    <w:basedOn w:val="1"/>
    <w:qFormat/>
    <w:uiPriority w:val="99"/>
    <w:pPr>
      <w:ind w:firstLine="420" w:firstLineChars="200"/>
    </w:pPr>
  </w:style>
  <w:style w:type="character" w:customStyle="1" w:styleId="19">
    <w:name w:val="页眉 字符"/>
    <w:basedOn w:val="9"/>
    <w:link w:val="7"/>
    <w:qFormat/>
    <w:uiPriority w:val="0"/>
    <w:rPr>
      <w:kern w:val="2"/>
      <w:sz w:val="18"/>
      <w:szCs w:val="18"/>
    </w:rPr>
  </w:style>
  <w:style w:type="character" w:customStyle="1" w:styleId="20">
    <w:name w:val="HTML 预设格式 字符"/>
    <w:basedOn w:val="9"/>
    <w:link w:val="8"/>
    <w:qFormat/>
    <w:uiPriority w:val="99"/>
    <w:rPr>
      <w:rFonts w:ascii="宋体" w:hAnsi="宋体"/>
      <w:sz w:val="24"/>
      <w:szCs w:val="24"/>
    </w:rPr>
  </w:style>
  <w:style w:type="character" w:customStyle="1" w:styleId="21">
    <w:name w:val="name"/>
    <w:basedOn w:val="9"/>
    <w:qFormat/>
    <w:uiPriority w:val="0"/>
  </w:style>
  <w:style w:type="table" w:customStyle="1" w:styleId="22">
    <w:name w:val="网格型1"/>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3">
    <w:name w:val="标题 1 字符"/>
    <w:basedOn w:val="9"/>
    <w:link w:val="2"/>
    <w:qFormat/>
    <w:uiPriority w:val="0"/>
    <w:rPr>
      <w:b/>
      <w:bCs/>
      <w:kern w:val="44"/>
      <w:sz w:val="44"/>
      <w:szCs w:val="44"/>
    </w:rPr>
  </w:style>
  <w:style w:type="paragraph" w:customStyle="1" w:styleId="24">
    <w:name w:val="修订2"/>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00EE17-9281-424F-AD5B-06F9E514D7E3}">
  <ds:schemaRefs/>
</ds:datastoreItem>
</file>

<file path=docProps/app.xml><?xml version="1.0" encoding="utf-8"?>
<Properties xmlns="http://schemas.openxmlformats.org/officeDocument/2006/extended-properties" xmlns:vt="http://schemas.openxmlformats.org/officeDocument/2006/docPropsVTypes">
  <Template>Normal.dotm</Template>
  <Manager>海哥</Manager>
  <Company>喀什跃达共创信息技术有限责任公司</Company>
  <Pages>3</Pages>
  <Words>1776</Words>
  <Characters>10124</Characters>
  <Lines>84</Lines>
  <Paragraphs>23</Paragraphs>
  <TotalTime>2956</TotalTime>
  <ScaleCrop>false</ScaleCrop>
  <LinksUpToDate>false</LinksUpToDate>
  <CharactersWithSpaces>11877</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word文档</cp:category>
  <dcterms:created xsi:type="dcterms:W3CDTF">2024-03-27T11:20:00Z</dcterms:created>
  <dc:creator>海哥</dc:creator>
  <dc:description>2024年预算公开报告</dc:description>
  <cp:keywords>2024年预算公开报告</cp:keywords>
  <cp:lastModifiedBy>Administrator</cp:lastModifiedBy>
  <dcterms:modified xsi:type="dcterms:W3CDTF">2026-02-12T03:15:02Z</dcterms:modified>
  <dc:subject>预算公开报告</dc:subject>
  <dc:title>预算公开报告</dc:title>
  <cp:revision>32767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ICV">
    <vt:lpwstr>1B91C5EB150743FC93A8AD9CE8312A8A</vt:lpwstr>
  </property>
</Properties>
</file>