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新疆维吾尔自治区喀什地区麦盖提县医疗保障局</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一、关于新疆维吾尔自治区喀什地区麦盖提县医疗保障局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二、关于新疆维吾尔自治区喀什地区麦盖提县医疗保障局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三、关于新疆维吾尔自治区喀什地区麦盖提县医疗保障局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四、关于新疆维吾尔自治区喀什地区麦盖提县医疗保障局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五、关于新疆维吾尔自治区喀什地区麦盖提县医疗保障局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六、关于新疆维吾尔自治区喀什地区麦盖提县医疗保障局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七、关于新疆维吾尔自治区喀什地区麦盖提县医疗保障局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八、关于新疆维吾尔自治区喀什地区麦盖提县医疗保障局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九、关于新疆维吾尔自治区喀什地区麦盖提县医疗保障局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十、关于新疆维吾尔自治区喀什地区麦盖提县医疗保障局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麦盖提县医疗保障局</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贯彻落实国家和自治区医疗保险、生育保险、人身意外伤害保险、医疗救助等医疗保障制度，提出县医疗保障制度的政策、规划和标准并组织实施；落实全县医疗保险、生育保险、大病保险、大额医疗补助、公务员医疗补助、企事业单位补充医疗保险、长期护理保险、医疗救助、离休人员医疗保障等政策、管理办法并组织实施。</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2、拟订并实施医疗保障基金监督管理办法，建立健全医疗保障基金安全防控机制，承担推进医疗保障基金支付方式改革工作，编制全县医疗保障基金预决算草案。</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3、贯彻落实本县关于医疗保障筹资和待遇政策，完善动态调整和区域调剂平衡机制，统筹城乡医疗保障待遇标准，建立健全与筹资水平相适应的待遇调整机制。落实并组织实施长期护理保险制度改革方案。</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贯彻落实国家、自治区、地区药品、医用耗材价格和医疗服务项目、医疗服务设施收费等政策并监督实施，执行自治区制定的药品、医用耗材的招标采购政策并监督实施，建立健全医保支付医药服务价格合理确定和动态调整机制，建立市场主导的社会医药服务价格形成机制，建立医药服务价格信息监测和信息发布制度。</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5、贯彻落实国家、自治区、地区药品、医用耗材、医疗服务项目、医疗服务设施等医保目录和支付标准，建立动态调整机制。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6、制定定点医药机构协议和支付管理办法并组织实施，建立健全医疗保障信用评价体系和信息披露制度，监督管理纳入医保范围内的医疗服务行为和医疗费用，依法查处医疗保障、生育保险领域违法违规行为。</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全县医疗保障经办管理、公共服务体系和信息化建设。贯彻落实国家和自治区跨省异地就医管理和费用结算政策，组织制定全县异地就医和费用结算政策，建立健全医疗保障关系转移接续制度，监督指导医疗保障经办机构开展业务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8、承办县委、政府交办的其他任务。</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麦盖提县医疗保障局</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办公室、财务室、征缴科、待遇支付科、基金监管科。</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新疆维吾尔自治区喀什地区麦盖提县医疗保障局实有人数</w:t>
      </w:r>
      <w:r>
        <w:rPr>
          <w:rFonts w:ascii="仿宋_GB2312" w:hAnsi="宋体" w:eastAsia="仿宋_GB2312" w:cs="宋体"/>
          <w:kern w:val="0"/>
          <w:sz w:val="32"/>
          <w:szCs w:val="32"/>
        </w:rPr>
        <w:t>18</w:t>
      </w:r>
      <w:r>
        <w:rPr>
          <w:rFonts w:hint="eastAsia" w:ascii="仿宋_GB2312" w:hAnsi="宋体" w:eastAsia="仿宋_GB2312" w:cs="宋体"/>
          <w:kern w:val="0"/>
          <w:sz w:val="32"/>
          <w:szCs w:val="32"/>
        </w:rPr>
        <w:t>人，其中：在职16人，增加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3"/>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编制部门：新疆维吾尔自治区喀什地区麦盖提县医疗保障局</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294.61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294.61</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292.78</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1.83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237.84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294.61</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294.61</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3"/>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编制部门：新疆维吾尔自治区喀什地区麦盖提县医疗保障局</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31.59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31.59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31.59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31.59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31.59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31.59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29.74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29.74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29.74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237.84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237.84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236.01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13.88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13.88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13.88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12.83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12.83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12.83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医疗保障管理事务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223.96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223.96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222.13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220.13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220.13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220.13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06</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医疗保障经办事务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其他医疗保障管理事务支出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25.18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25.18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25.18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25.18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25.18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25.18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25.18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25.18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25.18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294.61</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294.61</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292.78</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1.83</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编制部门：新疆维吾尔自治区喀什地区麦盖提县医疗保障局</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31.59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31.59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31.59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31.59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237.84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234.01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医疗保障管理事务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223.96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220.13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220.13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220.13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06</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医疗保障经办事务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其他医疗保障管理事务支出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25.18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25.18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25.18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25.18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25.18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25.18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294.61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290.78</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3.83</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编制部门：新疆维吾尔自治区喀什地区麦盖提县医疗保障局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3"/>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294.61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294.61</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31.59</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31.59</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237.84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237.84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25.18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25.18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294.61</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294.61</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294.61</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编制部门：新疆维吾尔自治区喀什地区麦盖提县医疗保障局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31.59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31.59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31.59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31.59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29.74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29.74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237.84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234.01</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13.88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13.88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医疗保障管理事务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223.96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220.13</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220.13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220.13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06</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医疗保障经办事务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1.83</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其他医疗保障管理事务支出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294.61</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290.78</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3.83</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编制部门：新疆维吾尔自治区喀什地区麦盖提县医疗保障局</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282.41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282.41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75.50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58.48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58.48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33.81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33.81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29.74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25.18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取暖费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290.78</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284.19</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6.59</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3"/>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编制部门：新疆维吾尔自治区喀什地区麦盖提县医疗保障局</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3"/>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卫生健康支出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3.83</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1.83</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医疗保障管理事务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3.83</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1.83</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06</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医疗保障经办事务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年全民参保及医疗服务经费项目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1.83</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1.83</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210</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15</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其他医疗保障管理事务支出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年离休医疗费补助项目</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2.00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3.83</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2.00</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1.83</w:t>
            </w: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9"/>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编制部门：新疆维吾尔自治区喀什地区麦盖提县医疗保障局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备注：新疆维吾尔自治区喀什地区麦盖提县医疗保障局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编制部门：新疆维吾尔自治区喀什地区麦盖提县医疗保障局</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备注：新疆维吾尔自治区喀什地区麦盖提县医疗保障局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编制部门：新疆维吾尔自治区喀什地区麦盖提县医疗保障局</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备注：新疆维吾尔自治区喀什地区麦盖提县医疗保障局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3"/>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编制部门：新疆维吾尔自治区喀什地区麦盖提县医疗保障局</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备注：新疆维吾尔自治区喀什地区麦盖提县医疗保障局</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一、关于新疆维吾尔自治区喀什地区麦盖提县医疗保障局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按照全口径预算的原则，新疆维吾尔自治区喀什地区麦盖提县医疗保障局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年所有收入和支出均纳入部门预算管理。收支总预算294.61万元。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二、关于新疆维吾尔自治区喀什地区麦盖提县医疗保障局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新疆维吾尔自治区喀什地区麦盖提县医疗保障局收入预算294.61万元，其中：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一般公共预算292.78万元，占99.38%,比上年预算增加33.49万元，增长12.92%，主要原因是：本年新增1人，在职人员工资调增，工资福利支出增加，预算数增加。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1.83万元，占0.62%,比上年预算减少4.06万元，下降68.93%，主要原因是：本年上级部门对医保专项资金的分配政策进行了优化和调整，资金自上而下削减，导致分配到县级资金额度也相应减少，预算数减少。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三、关于新疆维吾尔自治区喀什地区麦盖提县医疗保障局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新疆维吾尔自治区喀什地区麦盖提县医疗保障局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294.61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290.78</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98.7</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34.49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13.46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本年新增1人，在职人员工资调增，工资福利支出增加，预算数增加。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3.83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1.3</w:t>
      </w:r>
      <w:r>
        <w:rPr>
          <w:rFonts w:hint="eastAsia" w:ascii="仿宋_GB2312" w:hAnsi="宋体" w:eastAsia="仿宋_GB2312" w:cs="宋体"/>
          <w:kern w:val="0"/>
          <w:sz w:val="32"/>
          <w:szCs w:val="32"/>
        </w:rPr>
        <w:t>%，比上年预算减少5.06万元，下降56.92%，主要原因是：</w:t>
      </w:r>
      <w:r>
        <w:rPr>
          <w:rFonts w:ascii="仿宋_GB2312" w:hAnsi="宋体" w:eastAsia="仿宋_GB2312" w:cs="宋体"/>
          <w:kern w:val="0"/>
          <w:sz w:val="32"/>
          <w:szCs w:val="32"/>
        </w:rPr>
        <w:t>本年上级部门对医保专项资金的分配政策进行了优化和调整，资金自上而下削减，导致分配到县级资金额度也相应减少，预算数减少。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四、关于新疆维吾尔自治区喀什地区麦盖提县医疗保障局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年财政拨款收支总预算294.61万元。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收入预算包括：一般公共预算拨款294.61万元。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31.59万元，主要用于：缴纳在职人员养老保险，退休人员退休费；卫生健康支出237.84万元，主要用于：人员工资，基本医疗保险、公务员医疗补助以及其他社会保障缴费；住房保障支出25.18万元，主要用于：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五、关于新疆维吾尔自治区喀什地区麦盖提县医疗保障局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新疆维吾尔自治区喀什地区麦盖提县医疗保障局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294.61</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290.78</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34.49</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13.46</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本年新增1人，在职人员工资调增，工资福利支出增加，预算数增加。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3.83</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5.06</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bookmarkEnd w:id="3"/>
      <w:r>
        <w:rPr>
          <w:rFonts w:ascii="仿宋_GB2312" w:hAnsi="宋体" w:eastAsia="仿宋_GB2312" w:cs="宋体"/>
          <w:kern w:val="0"/>
          <w:sz w:val="32"/>
          <w:szCs w:val="32"/>
        </w:rPr>
        <w:t>56.92</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本年上级部门对医保专项资金的分配政策进行了优化和调整，资金自上而下削减，导致分配到县级资金额度也相应减少，预算数减少。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.社会保障和就业支出（类）31.59万元，占10.72%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.卫生健康支出（类）237.84万元，占80.73%</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.住房保障支出（类）25.18万元，占8.55%</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年预算数为1.85万元，比上年预算增加0.28万元，</w:t>
      </w:r>
      <w:bookmarkStart w:id="4" w:name="_Hlk157617573"/>
      <w:r>
        <w:rPr>
          <w:rFonts w:hint="eastAsia" w:ascii="仿宋_GB2312" w:hAnsi="宋体" w:eastAsia="仿宋_GB2312" w:cs="宋体"/>
          <w:kern w:val="0"/>
          <w:sz w:val="32"/>
          <w:szCs w:val="32"/>
        </w:rPr>
        <w:t>增长17.83%，主要原因是：本年增加1名退休人员，增加退休人员活动经费，预算数增加。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年预算数为29.74万元，比上年预算增加4.23万元，增长16.58%，主要原因是：本年新增1名在职人员，在职人员社保基数调增，基本养老保险费支出增加，预算数增加。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年预算数为12.83万元，比上年预算增加1.99万元，增长18.36%，主要原因是：本年新增1名在职人员，在职人员社保基数调增，医疗保险费支出增加，预算数增加。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年预算数为1.05万元，比上年预算增加0.11万元，增长11.70%，主要原因是：本年在职人员社保基数调增，公务员医疗补助支出增加，预算数增加。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5.卫生健康支出（类）医疗保障管理事务（款）行政运行（项）：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年预算数为220.13万元，比上年预算增加23.58万元，增长12.00%，主要原因是：本年新增1名在职人员，在职人员工资调增，工资福利支出增加，预算数增加。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6.卫生健康支出（类）医疗保障管理事务（款）医疗保障经办事务（项）：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年预算数为1.83万元，比上年预算减少4.06万元，下降68.93%，主要原因是：本年上级部门对医保专项资金的分配政策进行了优化和调整，资金自上而下削减，导致分配到县级资金额度也相应减少，预算数减少。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7.卫生健康支出（类）医疗保障管理事务（款）其他医疗保障管理事务支出（项）：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年预算数为2.00万元，比上年预算减少1.00万元，下降33.33%，主要原因是：本年我县减少1名离休人员，相应减少项目支出，导致预算数减少。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年预算数为25.18万元，比上年预算增加4.30万元，增长</w:t>
      </w:r>
      <w:bookmarkEnd w:id="4"/>
      <w:r>
        <w:rPr>
          <w:rFonts w:hint="eastAsia" w:ascii="仿宋_GB2312" w:hAnsi="宋体" w:eastAsia="仿宋_GB2312" w:cs="宋体"/>
          <w:kern w:val="0"/>
          <w:sz w:val="32"/>
          <w:szCs w:val="32"/>
        </w:rPr>
        <w:t>20.59%，主要原因是：本年新增在职人员1名，在职人员住房公积金基数调增，住房保障支出增加，预算数增加。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六、关于新疆维吾尔自治区喀什地区麦盖提县医疗保障局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新疆维吾尔自治区喀什地区麦盖提县医疗保障局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290.78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人员经费284.19万元，主要包括：基本工资、津贴补贴、奖金、绩效工资、机关事业单位基本养老保险缴费、职工基本医疗保险缴费、公务员医疗补助缴费、其他社会保障缴费、住房公积金、退休费、奖励金。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公用经费6.59万元，主要包括：办公费、水费、电费、邮电费、取暖费、差旅费、其他商品和服务支出。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七、关于新疆维吾尔自治区喀什地区麦盖提县医疗保障局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年全民参保及医疗服务经费项目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设立的政策依据：喀地财社【</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】93号《</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年自治区财政全民参保及医疗服务经费补助资金预算的通知》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预算安排规模：1.83万元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项目承担单位：新疆维吾尔自治区喀什地区麦盖提县医疗保障局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资金分配情况：用于政策宣传1.2万元，经办能力服务提升0.63万元，共计1.83万元。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年离休医疗费补助项目</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设立的政策依据：新政发【2000】84号《新疆维吾尔自治区离休人员、老红军医疗管理暂行办法》</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项目承担单位：新疆维吾尔自治区喀什地区麦盖提县医疗保障局</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资金分配情况：主要用于发放离休人员周转金，10000元/人/年的标准，共计2万元。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八、关于新疆维吾尔自治区喀什地区麦盖提县医疗保障局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麦盖提县医疗保障局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九、关于新疆维吾尔自治区喀什地区麦盖提县医疗保障局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新疆维吾尔自治区喀什地区麦盖提县医疗保障局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十、关于新疆维吾尔自治区喀什地区麦盖提县医疗保障局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新疆维吾尔自治区喀什地区麦盖提县医疗保障局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十一、关于新疆维吾尔自治区喀什地区麦盖提县医疗保障局</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麦盖提县医疗保障局</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新疆维吾尔自治区喀什地区麦盖提县医疗保障局</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年的机关运行经费财政拨款预算6.59万元，比上年预算增加0.39万元，增长6.29%。主要原因是：本年新增1名在职人员、公用经费增加，同时增加党员活动经费，预算数增加。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年，新疆维吾尔自治区喀什地区麦盖提县医疗保障局政府采购预算4.07万元，其中：政府采购货物预算2.27万元，政府采购工程预算0.00万元，政府采购服务预算1.80万元。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年，新疆维吾尔自治区喀什地区麦盖提县医疗保障局面向中小企业预留政府采购项目预算金额4.07万元，小微企业预留政府采购项目预算金额4.07万元。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年底，新疆维吾尔自治区喀什地区麦盖提县医疗保障局及下属各预算单位占用使用国有资产总体情况为：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3.办公家具价值6.97万元。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4.其他资产价值43.33万元。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年，本部门预算绩效管理整体预算绩效目标1个，涉及预算金额294.61万元；当年预算安排项目共2个，其中：财政拨款项目涉及预算金额3.83万元；非财政拨款项目涉及预算金额0万元。具体情况见下表：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3"/>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麦盖提县医疗保障局</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杨敏</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16699870866</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贯彻落实国家和自治区、地区医疗保险、生育保险、大病保险、大额医疗补助、公务员医疗补助、医疗救助等医疗保障制度，执行医疗保障政策法规，宣传各项医疗保障政策，扩大参保覆盖面。2.负责办理医疗、生育保险登记。受理参保对象的缴费申报，核定缴费额；建立管理参保人员缴费记录和医疗保障待遇权益记录；负责按规定办理参保对象医疗保险转移接续手续；负责核算医疗、生育、医疗救助等各项待遇；负责跨省、疆内异地就医备案及资金结算等经办服务。3.承担县域内定点医疗机构服务协议签订、管理、监督、考核工作；开展服务规范化、标准化建设；落实医疗保障经办机构内部控制制度。4.负责全县医疗保障经办管理、公共服务体系和信息化建设。监督指导医疗保障经办机构开展业务工作；5.承办县委、政府交办的其他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1.83</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292.78</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基本医疗保险参保人数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&gt;=22.90万人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公立医疗机构通过省级集中采购平台采购药品金额占全部采购药品（不含中药饮片）金额的比例</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&gt;=43%</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基本医疗保险参保率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全区支付改革方式覆盖率（统筹地区）</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职工基本医疗保险政策范围内住院费用基金支付比例</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&gt;=86%</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城乡居民医保政策范围内住院费用报销比例</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15</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麦盖提县医疗保障局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年全民参保及医疗服务经费项目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周虎</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1.83</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1.83</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年度投入1.83万元，主要用于保障全县基本医疗保险22.9万人参保登记计划实施及不少于40次宣传活动工作，项目的实施有利于提高县域医疗保障服务质量，保障参保人员权益，提升基金使用效率，使国家医保惠民的知晓率有很大的提高，群众的参保自觉性进一步提高，持续巩固和提升参保成果，建立长效机制，推动</w:t>
            </w:r>
            <w:r>
              <w:rPr>
                <w:rFonts w:hint="eastAsia" w:asciiTheme="majorEastAsia" w:hAnsiTheme="majorEastAsia" w:eastAsiaTheme="majorEastAsia"/>
                <w:sz w:val="18"/>
                <w:szCs w:val="18"/>
              </w:rPr>
              <w:t>医疗保险</w:t>
            </w:r>
            <w:r>
              <w:rPr>
                <w:rFonts w:asciiTheme="majorEastAsia" w:hAnsiTheme="majorEastAsia" w:eastAsiaTheme="majorEastAsia"/>
                <w:sz w:val="18"/>
                <w:szCs w:val="18"/>
              </w:rPr>
              <w:t>全覆盖，确保</w:t>
            </w:r>
            <w:r>
              <w:rPr>
                <w:rFonts w:hint="eastAsia" w:asciiTheme="majorEastAsia" w:hAnsiTheme="majorEastAsia" w:eastAsiaTheme="majorEastAsia"/>
                <w:sz w:val="18"/>
                <w:szCs w:val="18"/>
              </w:rPr>
              <w:t>医疗保险</w:t>
            </w:r>
            <w:r>
              <w:rPr>
                <w:rFonts w:asciiTheme="majorEastAsia" w:hAnsiTheme="majorEastAsia" w:eastAsiaTheme="majorEastAsia"/>
                <w:sz w:val="18"/>
                <w:szCs w:val="18"/>
              </w:rPr>
              <w:t>制度长期稳定运行，适应社会发展和群众需求的变化。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基本医疗参保人数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&gt;=22.9万人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22.9万人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开展宣传活动次数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&gt;=40次</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基本医疗保险参保率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&gt;=99%</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99%</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年11月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年10月24日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政策宣传成本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经办能力服务提升成本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&lt;=0.63万元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效益指标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医保政策知晓率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推动社会保险全覆盖</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有效推动</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基本医疗保险参保群众满意度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麦盖提县医疗保障局</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年离休医疗费补助项目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周虎</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计划总投资2万元，主要用于2名老解放离休人员周转金发放，离休人员在定点医疗机构就医时，产生的医疗费从周转金中抵扣。项目的实施有效提升了医疗保障水平，缓解离休人员就医负担，提升离休人员幸福感和离休人员生活质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离休人员数量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补助费用覆盖率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定点医疗机构信息更新及时率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年4月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年3月22日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周转金发放人均成本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&lt;=1万元/人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1万元/人</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改善离休人员生活质量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有效改善</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改善</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离休人员满意度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我部门在麦盖提县行政服务大厅合署办公。</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31B"/>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1069"/>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57B8"/>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230E"/>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648E9"/>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0481"/>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E6906"/>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6E1C"/>
    <w:rsid w:val="00237128"/>
    <w:rsid w:val="00237FD5"/>
    <w:rsid w:val="00240F64"/>
    <w:rsid w:val="00241D4D"/>
    <w:rsid w:val="0024417B"/>
    <w:rsid w:val="002471ED"/>
    <w:rsid w:val="00250E5E"/>
    <w:rsid w:val="002523C1"/>
    <w:rsid w:val="002531EA"/>
    <w:rsid w:val="00253765"/>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1B26"/>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4E8D"/>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533"/>
    <w:rsid w:val="00357AAC"/>
    <w:rsid w:val="00361420"/>
    <w:rsid w:val="00362762"/>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C7BEB"/>
    <w:rsid w:val="003D0E59"/>
    <w:rsid w:val="003D4B84"/>
    <w:rsid w:val="003D54AD"/>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1FCC"/>
    <w:rsid w:val="00442AE4"/>
    <w:rsid w:val="0044366B"/>
    <w:rsid w:val="0044495B"/>
    <w:rsid w:val="004479A2"/>
    <w:rsid w:val="00453706"/>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15"/>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160A"/>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3FB5"/>
    <w:rsid w:val="00544AC4"/>
    <w:rsid w:val="00544C7D"/>
    <w:rsid w:val="0054586F"/>
    <w:rsid w:val="005474F1"/>
    <w:rsid w:val="00547B4F"/>
    <w:rsid w:val="005513B3"/>
    <w:rsid w:val="00551D2B"/>
    <w:rsid w:val="00553588"/>
    <w:rsid w:val="00554786"/>
    <w:rsid w:val="00556697"/>
    <w:rsid w:val="005600E2"/>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3203"/>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08C2"/>
    <w:rsid w:val="005B180C"/>
    <w:rsid w:val="005B3B8A"/>
    <w:rsid w:val="005B4AEA"/>
    <w:rsid w:val="005B4B3C"/>
    <w:rsid w:val="005B5066"/>
    <w:rsid w:val="005B64A9"/>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8BF"/>
    <w:rsid w:val="00616F23"/>
    <w:rsid w:val="0062039E"/>
    <w:rsid w:val="00625BE7"/>
    <w:rsid w:val="00626B83"/>
    <w:rsid w:val="00626C7E"/>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4B0C"/>
    <w:rsid w:val="00687957"/>
    <w:rsid w:val="00690345"/>
    <w:rsid w:val="00691D40"/>
    <w:rsid w:val="006943D5"/>
    <w:rsid w:val="006943FD"/>
    <w:rsid w:val="00696F26"/>
    <w:rsid w:val="006970A9"/>
    <w:rsid w:val="006A05B6"/>
    <w:rsid w:val="006A164E"/>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574E5"/>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382"/>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5EE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48EE"/>
    <w:rsid w:val="008C5502"/>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039F"/>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31B8"/>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20"/>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287A"/>
    <w:rsid w:val="00B1350B"/>
    <w:rsid w:val="00B169A2"/>
    <w:rsid w:val="00B175D8"/>
    <w:rsid w:val="00B22DD6"/>
    <w:rsid w:val="00B22DDC"/>
    <w:rsid w:val="00B23AA0"/>
    <w:rsid w:val="00B24089"/>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62"/>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695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0380"/>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5E2"/>
    <w:rsid w:val="00D20E19"/>
    <w:rsid w:val="00D231A6"/>
    <w:rsid w:val="00D237B8"/>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1B1"/>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044"/>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3553"/>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8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1FEC1211"/>
    <w:rsid w:val="24257BFD"/>
    <w:rsid w:val="27156329"/>
    <w:rsid w:val="2A3F6DCB"/>
    <w:rsid w:val="2BCB4E87"/>
    <w:rsid w:val="2C066061"/>
    <w:rsid w:val="2D706F4A"/>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834391"/>
    <w:rsid w:val="7E9843C6"/>
    <w:rsid w:val="7FA72671"/>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13">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semiHidden/>
    <w:unhideWhenUsed/>
    <w:qFormat/>
    <w:uiPriority w:val="0"/>
    <w:pPr>
      <w:spacing w:after="120"/>
    </w:pPr>
  </w:style>
  <w:style w:type="paragraph" w:styleId="4">
    <w:name w:val="annotation subject"/>
    <w:basedOn w:val="5"/>
    <w:next w:val="5"/>
    <w:link w:val="16"/>
    <w:qFormat/>
    <w:uiPriority w:val="0"/>
    <w:rPr>
      <w:b/>
      <w:bCs/>
    </w:rPr>
  </w:style>
  <w:style w:type="paragraph" w:styleId="5">
    <w:name w:val="annotation text"/>
    <w:basedOn w:val="1"/>
    <w:link w:val="15"/>
    <w:qFormat/>
    <w:uiPriority w:val="0"/>
    <w:pPr>
      <w:jc w:val="left"/>
    </w:pPr>
  </w:style>
  <w:style w:type="paragraph" w:styleId="6">
    <w:name w:val="Balloon Text"/>
    <w:basedOn w:val="1"/>
    <w:link w:val="17"/>
    <w:qFormat/>
    <w:uiPriority w:val="0"/>
    <w:rPr>
      <w:sz w:val="18"/>
      <w:szCs w:val="18"/>
    </w:rPr>
  </w:style>
  <w:style w:type="paragraph" w:styleId="7">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HTML Preformatted"/>
    <w:basedOn w:val="1"/>
    <w:link w:val="2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1">
    <w:name w:val="Strong"/>
    <w:basedOn w:val="10"/>
    <w:qFormat/>
    <w:uiPriority w:val="0"/>
    <w:rPr>
      <w:b/>
      <w:bCs/>
    </w:rPr>
  </w:style>
  <w:style w:type="character" w:styleId="12">
    <w:name w:val="annotation reference"/>
    <w:basedOn w:val="10"/>
    <w:qFormat/>
    <w:uiPriority w:val="0"/>
    <w:rPr>
      <w:sz w:val="21"/>
      <w:szCs w:val="21"/>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
    <w:name w:val="批注文字 字符"/>
    <w:basedOn w:val="10"/>
    <w:link w:val="5"/>
    <w:qFormat/>
    <w:uiPriority w:val="0"/>
    <w:rPr>
      <w:kern w:val="2"/>
      <w:sz w:val="21"/>
      <w:szCs w:val="24"/>
    </w:rPr>
  </w:style>
  <w:style w:type="character" w:customStyle="1" w:styleId="16">
    <w:name w:val="批注主题 字符"/>
    <w:basedOn w:val="15"/>
    <w:link w:val="4"/>
    <w:qFormat/>
    <w:uiPriority w:val="0"/>
    <w:rPr>
      <w:b/>
      <w:bCs/>
      <w:kern w:val="2"/>
      <w:sz w:val="21"/>
      <w:szCs w:val="24"/>
    </w:rPr>
  </w:style>
  <w:style w:type="character" w:customStyle="1" w:styleId="17">
    <w:name w:val="批注框文本 字符"/>
    <w:basedOn w:val="10"/>
    <w:link w:val="6"/>
    <w:qFormat/>
    <w:uiPriority w:val="0"/>
    <w:rPr>
      <w:kern w:val="2"/>
      <w:sz w:val="18"/>
      <w:szCs w:val="18"/>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qFormat/>
    <w:uiPriority w:val="99"/>
    <w:pPr>
      <w:ind w:firstLine="420" w:firstLineChars="200"/>
    </w:pPr>
  </w:style>
  <w:style w:type="character" w:customStyle="1" w:styleId="20">
    <w:name w:val="页眉 字符"/>
    <w:basedOn w:val="10"/>
    <w:link w:val="8"/>
    <w:qFormat/>
    <w:uiPriority w:val="0"/>
    <w:rPr>
      <w:kern w:val="2"/>
      <w:sz w:val="18"/>
      <w:szCs w:val="18"/>
    </w:rPr>
  </w:style>
  <w:style w:type="character" w:customStyle="1" w:styleId="21">
    <w:name w:val="HTML 预设格式 字符"/>
    <w:basedOn w:val="10"/>
    <w:link w:val="9"/>
    <w:qFormat/>
    <w:uiPriority w:val="99"/>
    <w:rPr>
      <w:rFonts w:ascii="宋体" w:hAnsi="宋体"/>
      <w:sz w:val="24"/>
      <w:szCs w:val="24"/>
    </w:rPr>
  </w:style>
  <w:style w:type="character" w:customStyle="1" w:styleId="22">
    <w:name w:val="name"/>
    <w:basedOn w:val="10"/>
    <w:qFormat/>
    <w:uiPriority w:val="0"/>
  </w:style>
  <w:style w:type="table" w:customStyle="1" w:styleId="23">
    <w:name w:val="网格型1"/>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
    <w:name w:val="标题 1 字符"/>
    <w:basedOn w:val="10"/>
    <w:link w:val="3"/>
    <w:qFormat/>
    <w:uiPriority w:val="0"/>
    <w:rPr>
      <w:b/>
      <w:bCs/>
      <w:kern w:val="44"/>
      <w:sz w:val="44"/>
      <w:szCs w:val="44"/>
    </w:rPr>
  </w:style>
  <w:style w:type="paragraph" w:customStyle="1" w:styleId="25">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2282</Words>
  <Characters>13008</Characters>
  <Lines>108</Lines>
  <Paragraphs>30</Paragraphs>
  <TotalTime>2961</TotalTime>
  <ScaleCrop>false</ScaleCrop>
  <LinksUpToDate>false</LinksUpToDate>
  <CharactersWithSpaces>15260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2026-02-12T04:16:58Z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