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新疆维吾尔自治区喀什地区麦盖提县司法局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麦盖提县司法局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1、承担全面依法治县重大问题的政策研究，协调有关方面提出全面依法治县中长期规划建议；负责有关重大决策部署督察工作。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2、承办上级法律、法规、规章草案征求意见建议的工作。负责协调实施规范性文件中的有关争议和问题；负责行政规范性文件合法性审核、备案工作。组织开展政府规范性文件清理工作。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承担统筹推进法治政府建设的责任；指导、监督政府各部门、各乡镇依法行政工作；负责行政执法的监督管理、综合协调工作，承担推进行政执法体制改革有关工作，推进严格规范公正文明执法；指导、监督全县行政复议和行政应诉工作；负责行政复议和应诉办理工作；推动人民参与和促进法治建设；指导依法治理和法治创建工作；负责人民监督员选任管理工作；指导、人民调解、行政调解、人民陪审员选任工作，推进司法所建设；负责促进和谐预防犯罪宣传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4、承担统筹规划法治社会建设的责任；负责拟订全县法治宣传教育规划；组织实施普法宣传工作。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5、负责拟订公共法律服务体系建设规划并指导实施，统筹和布局城乡、区域法律服务资源。</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6、负责协同推进本行业社会组织党建工作，指导全县司法行政系统的队伍建设和思想工作；负责全县司法行政系统警务管理和警务督察工作。负责全县司法行政系统计划、财务、装备及后勤保障工作。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7、承办县委、县人民政府和地区司法局交办的其他任务。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麦盖提县司法局</w:t>
      </w:r>
      <w:r>
        <w:rPr>
          <w:rFonts w:hint="eastAsia" w:ascii="仿宋_GB2312" w:hAnsi="黑体" w:eastAsia="仿宋_GB2312" w:cs="宋体"/>
          <w:bCs/>
          <w:kern w:val="0"/>
          <w:sz w:val="32"/>
          <w:szCs w:val="32"/>
        </w:rPr>
        <w:t>无下属预算单位，下设7个股室，分别是：</w:t>
      </w:r>
      <w:r>
        <w:rPr>
          <w:rFonts w:hint="eastAsia" w:ascii="仿宋_GB2312" w:hAnsi="宋体" w:eastAsia="仿宋_GB2312" w:cs="宋体"/>
          <w:kern w:val="0"/>
          <w:sz w:val="32"/>
          <w:szCs w:val="32"/>
        </w:rPr>
        <w:t>办公室、政工警务股、政策法规股、依法治县与普法股、基层工作股、公共法律服务管理股、行政复议与应诉股。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新疆维吾尔自治区喀什地区麦盖提县司法局实有人数</w:t>
      </w:r>
      <w:r>
        <w:rPr>
          <w:rFonts w:ascii="仿宋_GB2312" w:hAnsi="宋体" w:eastAsia="仿宋_GB2312" w:cs="宋体"/>
          <w:kern w:val="0"/>
          <w:sz w:val="32"/>
          <w:szCs w:val="32"/>
        </w:rPr>
        <w:t>57</w:t>
      </w:r>
      <w:r>
        <w:rPr>
          <w:rFonts w:hint="eastAsia" w:ascii="仿宋_GB2312" w:hAnsi="宋体" w:eastAsia="仿宋_GB2312" w:cs="宋体"/>
          <w:kern w:val="0"/>
          <w:sz w:val="32"/>
          <w:szCs w:val="32"/>
        </w:rPr>
        <w:t>人，其中：在职44人，减少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1211.68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1211.68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978.68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35.69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1247.37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1247.37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公共安全支出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1018.57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982.88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司法</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1018.57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982.88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709.88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其他司法支出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308.69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7.29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7.29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1247.37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1211.68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978.68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233.00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35.69</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公共安全支出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司法</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709.88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其他司法支出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7.29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1247.37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938.68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308.69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1211.68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1211.68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982.88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982.88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109.24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109.24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45.31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45.31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1211.68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1211.68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1211.68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公共安全支出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982.88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709.88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司法</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982.88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709.88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709.88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其他司法支出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1211.68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938.68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273.00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838.62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838.62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938.68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859.35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79.33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编制部门：新疆维吾尔自治区喀什地区麦盖提县司法局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公共安全支出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司法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其他项目四</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其他项目五</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其他项目六</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其他司法支出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其他项目七</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273.00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223.00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23.00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27.00</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备注：新疆维吾尔自治区喀什地区麦盖提县司法局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备注：新疆维吾尔自治区喀什地区麦盖提县司法局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编制部门：新疆维吾尔自治区喀什地区麦盖提县司法局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41.80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41.80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41.80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编制部门：新疆维吾尔自治区喀什地区麦盖提县司法局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其他结转项目一</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6.12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6.12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6.12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其他结转项目二</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21.00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其他结转项目三</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7.50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7.50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7.50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其他结转项目四</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1.07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35.69</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35.69</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年所有收入和支出均纳入部门预算管理。收支总预算1247.37万元。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新疆维吾尔自治区喀什地区麦盖提县司法局收入预算1247.37万元，其中：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一般公共预算978.68万元，占78.46%,比上年预算减少229.89万元，下降19.02%，主要原因是：县级保障项目资金减少，较上年减少人民调解案补项目及安置教育经费项目。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233万元，占18.68%,比上年预算增加81万元，增长53.29%，主要原因是：本年度业务工作任务繁重，增加转移支付资金的预算安排，增加了BJBS经费及重点乡镇司法所业务经费。</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财政拨款结转35.69万元，占2.86%,比上年预算增加32.62万元，增长1062.54%，主要原因是：上年车辆购置批复下发时间较晚，财政年底扎账，导致预留购置车辆的装备费和办案费未形成支出。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1247.37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938.68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75.25</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25.79</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因工作岗位调整，人员减少，导致比上年预算减少。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308.69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24.75</w:t>
      </w:r>
      <w:r>
        <w:rPr>
          <w:rFonts w:hint="eastAsia" w:ascii="仿宋_GB2312" w:hAnsi="宋体" w:eastAsia="仿宋_GB2312" w:cs="宋体"/>
          <w:kern w:val="0"/>
          <w:sz w:val="32"/>
          <w:szCs w:val="32"/>
        </w:rPr>
        <w:t>%，比上年预算减少90.48万元，下降22.67%，主要原因是：</w:t>
      </w:r>
      <w:r>
        <w:rPr>
          <w:rFonts w:ascii="仿宋_GB2312" w:hAnsi="宋体" w:eastAsia="仿宋_GB2312" w:cs="宋体"/>
          <w:kern w:val="0"/>
          <w:sz w:val="32"/>
          <w:szCs w:val="32"/>
        </w:rPr>
        <w:t>县级保障项目资金减少，较上年减少人民调解案补项目及AZJY经费项目。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年财政拨款收支总预算1211.68万元。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收入预算包括：一般公共预算拨款1211.68万元。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公共安全支出982.88万元，主要用于：业务工作开展的专项经费支出、单位职工的基本工资、津贴补贴及绩效工资等；社会保障和就业支出109.24万元，主要用于：干部职工养老保险、失业保险及工伤保险支出；卫生健康支出45.31万元，主要用于：干部职工基本医疗保险、公务员补助、大病医疗补助等支出；住房保障支出74.25万元，主要用于：干部职工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1211.68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938.68</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25.79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因工作岗位调整，人员减少，工资福利支出减少，导致比上年预算减少。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273</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123.1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31.08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县级保障项目资金减少，较上年减少人民调解案补项目、AZJY经费项目及适应性人员培训项目。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.公共安全支出（类）982.88万元，占81.12%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.社会保障和就业支出（类）109.24万元，占9.02%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.卫生健康支出（类）45.31万元，占3.74%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.住房保障支出（类）74.25万元，占6.13%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1.公共安全支出（类）司法（款）行政运行（项）：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年预算数为709.88万元，比上年预算减少27.47万元，</w:t>
      </w:r>
      <w:bookmarkStart w:id="4" w:name="_Hlk157617573"/>
      <w:r>
        <w:rPr>
          <w:rFonts w:hint="eastAsia" w:ascii="仿宋_GB2312" w:hAnsi="宋体" w:eastAsia="仿宋_GB2312" w:cs="宋体"/>
          <w:kern w:val="0"/>
          <w:sz w:val="32"/>
          <w:szCs w:val="32"/>
        </w:rPr>
        <w:t>下降3.73%，主要原因是：工作变动原因，人员减少，工资福利支出减少，导致经费减少。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2.公共安全支出（类）司法（款）其他司法支出（项）：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年预算数为273.00万元，比上年预算减少123.10万元，下降31.08%，主要原因是：县级保障项目资金减少，较上年减少人民调解案补项目、AZJY经费项目及适应性人员培训项目。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年预算数为21.02万元，比上年预算增加3.67万元，增长21.15%，主要原因是：退休人员奖励性绩效调增，导致比上年预算增加。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年预算数为88.22万元，比上年预算减少1.94万元，下降2.15%，主要原因是：工作调整，人员减少，导致比上年预算减少。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年预算数为38.02万元，比上年预算减少0.30万元，下降0.78%，主要原因是：工作调整，人员减少，导致比上年预算减少。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年预算数为7.29万元，比上年预算减少0.40万元，下降5.20%，主要原因是：工作调整，人员减少，导致比上年预算减少。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年预算数为74.25万元，比上年预算增加0.65万元，增长</w:t>
      </w:r>
      <w:bookmarkEnd w:id="4"/>
      <w:r>
        <w:rPr>
          <w:rFonts w:hint="eastAsia" w:ascii="仿宋_GB2312" w:hAnsi="宋体" w:eastAsia="仿宋_GB2312" w:cs="宋体"/>
          <w:kern w:val="0"/>
          <w:sz w:val="32"/>
          <w:szCs w:val="32"/>
        </w:rPr>
        <w:t>0.88%，主要原因是：工资基数调整，导致公积金比上年预算增加。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938.68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859.35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公用经费79.33万元，主要包括：办公费、水费、电费、邮电费、取暖费、差旅费、公务用车运行维护费、其他商品和服务支出。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（2）项目名称：其他项目二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（3）项目名称：其他项目三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（4）项目名称：其他项目四</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（5）项目名称：其他项目五</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（6）项目名称：其他项目六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（7）项目名称：其他项目七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年财政拨款“三公”经费数为41.8万元，其中：因公出国（境）费0万元，公务用车购置费0万元，公务用车运行费41.8万元，公务接待费0万元。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十一、关于新疆维吾尔自治区喀什地区麦盖提县司法局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麦盖提县司法局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年上年结转结余35.69万元，包括：财政拨款35.69万元，非财政拨款0万元，其中：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1.其他结转项目一6.12</w:t>
      </w:r>
      <w:r>
        <w:rPr>
          <w:rFonts w:hint="eastAsia" w:ascii="仿宋_GB2312" w:hAnsi="仿宋_GB2312" w:eastAsia="仿宋_GB2312" w:cs="仿宋_GB2312"/>
          <w:kern w:val="0"/>
          <w:sz w:val="32"/>
          <w:szCs w:val="32"/>
        </w:rPr>
        <w:t>万元，主要用于：项目支出情况完全不予公开。</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2.其他结转项目二21.00</w:t>
      </w:r>
      <w:r>
        <w:rPr>
          <w:rFonts w:hint="eastAsia" w:ascii="仿宋_GB2312" w:hAnsi="仿宋_GB2312" w:eastAsia="仿宋_GB2312" w:cs="仿宋_GB2312"/>
          <w:kern w:val="0"/>
          <w:sz w:val="32"/>
          <w:szCs w:val="32"/>
        </w:rPr>
        <w:t>万元，主要用于：项目支出情况完全不予公开。</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3.其他结转项目三7.50</w:t>
      </w:r>
      <w:r>
        <w:rPr>
          <w:rFonts w:hint="eastAsia" w:ascii="仿宋_GB2312" w:hAnsi="仿宋_GB2312" w:eastAsia="仿宋_GB2312" w:cs="仿宋_GB2312"/>
          <w:kern w:val="0"/>
          <w:sz w:val="32"/>
          <w:szCs w:val="32"/>
        </w:rPr>
        <w:t>万元，主要用于：项目支出情况完全不予公开。</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4.其他结转项目四1.07</w:t>
      </w:r>
      <w:r>
        <w:rPr>
          <w:rFonts w:hint="eastAsia" w:ascii="仿宋_GB2312" w:hAnsi="仿宋_GB2312" w:eastAsia="仿宋_GB2312" w:cs="仿宋_GB2312"/>
          <w:kern w:val="0"/>
          <w:sz w:val="32"/>
          <w:szCs w:val="32"/>
        </w:rPr>
        <w:t>万元，主要用于：项目支出情况完全不予公开。</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新疆维吾尔自治区喀什地区麦盖提县司法局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年的机关运行经费财政拨款预算79.33万元，比上年预算减少0.06万元，下降0.08%。主要原因是：工作调整，人员减少，基本公用经费支出减少，机关运行经费相应减少。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年，新疆维吾尔自治区喀什地区麦盖提县司法局政府采购预算178.06万元，其中：政府采购货物预算43.46万元，政府采购工程预算23.00万元，政府采购服务预算111.60万元。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年，新疆维吾尔自治区喀什地区麦盖提县司法局面向中小企业预留政府采购项目预算金额178.06万元，小微企业预留政府采购项目预算金额178.06万元。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年底，新疆维吾尔自治区喀什地区麦盖提县司法局及下属各预算单位占用使用国有资产总体情况为：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1.房屋319.70平方米，价值37.37万元。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2.车辆12辆，价值147.06万元；其中：一般公务用车6辆，价值37.00万元；执法执勤用车3辆，价值44.08万元；其他车辆3辆，价值65.98万元。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年，本部门预算绩效管理整体预算绩效目标1个，涉及预算金额1247.37万元；当年预算安排项目共7个，其中：财政拨款项目涉及预算金额273万元；非财政拨款项目涉及预算金额0万元。具体情况见下表：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麦盖提县司法局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5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金娟</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15026328221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保障</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年单位4</w:t>
            </w:r>
            <w:r>
              <w:rPr>
                <w:rFonts w:hint="eastAsia" w:cs="宋体" w:asciiTheme="majorEastAsia" w:hAnsiTheme="majorEastAsia" w:eastAsiaTheme="majorEastAsia"/>
                <w:color w:val="000000"/>
                <w:sz w:val="20"/>
                <w:szCs w:val="20"/>
              </w:rPr>
              <w:t>4</w:t>
            </w:r>
            <w:r>
              <w:rPr>
                <w:rFonts w:cs="宋体" w:asciiTheme="majorEastAsia" w:hAnsiTheme="majorEastAsia" w:eastAsiaTheme="majorEastAsia"/>
                <w:color w:val="000000"/>
                <w:sz w:val="20"/>
                <w:szCs w:val="20"/>
              </w:rPr>
              <w:t>名干部职工工资、社保、公积金、养老保险及机关正常运转等支出，扎实推进公共法律服务体系建设，积极推进村（社区）公共法律服务落地落实，充分整合村（社区）法律资源，实现村（社区）公共法律服务工作室标准化建设100%；放宽经济困难标准，使法律援助覆盖人群逐步拓展至低收入群体；深入开展矛盾纠纷“大排查大化解”专项行动，发挥法治规范保障作用；深入推进依法治县和全民普法，完成全年普法宣传活动200场次，法</w:t>
            </w:r>
            <w:r>
              <w:rPr>
                <w:rFonts w:hint="eastAsia" w:cs="宋体" w:asciiTheme="majorEastAsia" w:hAnsiTheme="majorEastAsia" w:eastAsiaTheme="majorEastAsia"/>
                <w:color w:val="000000"/>
                <w:sz w:val="20"/>
                <w:szCs w:val="20"/>
              </w:rPr>
              <w:t>治</w:t>
            </w:r>
            <w:r>
              <w:rPr>
                <w:rFonts w:cs="宋体" w:asciiTheme="majorEastAsia" w:hAnsiTheme="majorEastAsia" w:eastAsiaTheme="majorEastAsia"/>
                <w:color w:val="000000"/>
                <w:sz w:val="20"/>
                <w:szCs w:val="20"/>
              </w:rPr>
              <w:t>宣传覆盖率达90%以上。</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268.69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978.68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人民调解事项数量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&gt;=5500件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法律援助数量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开展法治宣传教育活动次数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法援评查率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考核标准</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法律援助结案率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考核标准</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1.本次未公开项目支出绩效目标表共有11个，全部为sm项目，涉及资金308.69万元，不予公开。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5F9F"/>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540"/>
    <w:rsid w:val="000D1811"/>
    <w:rsid w:val="000D30E4"/>
    <w:rsid w:val="000D3246"/>
    <w:rsid w:val="000D6242"/>
    <w:rsid w:val="000D6F27"/>
    <w:rsid w:val="000E0E92"/>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24EC"/>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420C"/>
    <w:rsid w:val="001B6327"/>
    <w:rsid w:val="001B6B54"/>
    <w:rsid w:val="001B7428"/>
    <w:rsid w:val="001B7A92"/>
    <w:rsid w:val="001C02B1"/>
    <w:rsid w:val="001C281D"/>
    <w:rsid w:val="001C2D0D"/>
    <w:rsid w:val="001C48D7"/>
    <w:rsid w:val="001C6C01"/>
    <w:rsid w:val="001C6DB1"/>
    <w:rsid w:val="001C7DAA"/>
    <w:rsid w:val="001D107B"/>
    <w:rsid w:val="001D4B49"/>
    <w:rsid w:val="001D6212"/>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610"/>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7483"/>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4CE8"/>
    <w:rsid w:val="00496F91"/>
    <w:rsid w:val="004A04D1"/>
    <w:rsid w:val="004A2590"/>
    <w:rsid w:val="004A31F2"/>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461C"/>
    <w:rsid w:val="004E5298"/>
    <w:rsid w:val="004E737C"/>
    <w:rsid w:val="004E7D1F"/>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57A9"/>
    <w:rsid w:val="005868FB"/>
    <w:rsid w:val="005903B3"/>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9CA"/>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35DD"/>
    <w:rsid w:val="00625BE7"/>
    <w:rsid w:val="00626B83"/>
    <w:rsid w:val="006279F0"/>
    <w:rsid w:val="00627B67"/>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259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4AC9"/>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148E"/>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488E"/>
    <w:rsid w:val="00A11CE4"/>
    <w:rsid w:val="00A11D17"/>
    <w:rsid w:val="00A125D8"/>
    <w:rsid w:val="00A12EC9"/>
    <w:rsid w:val="00A132D9"/>
    <w:rsid w:val="00A14A0E"/>
    <w:rsid w:val="00A14EED"/>
    <w:rsid w:val="00A17511"/>
    <w:rsid w:val="00A239FE"/>
    <w:rsid w:val="00A23F46"/>
    <w:rsid w:val="00A259C5"/>
    <w:rsid w:val="00A25EBA"/>
    <w:rsid w:val="00A273D8"/>
    <w:rsid w:val="00A27A4E"/>
    <w:rsid w:val="00A32504"/>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5B0E"/>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031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CF5"/>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129B"/>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311"/>
    <w:rsid w:val="00C12E0B"/>
    <w:rsid w:val="00C1524D"/>
    <w:rsid w:val="00C15C62"/>
    <w:rsid w:val="00C15D19"/>
    <w:rsid w:val="00C172F9"/>
    <w:rsid w:val="00C17BC4"/>
    <w:rsid w:val="00C17F7C"/>
    <w:rsid w:val="00C20975"/>
    <w:rsid w:val="00C21B6D"/>
    <w:rsid w:val="00C22039"/>
    <w:rsid w:val="00C221EC"/>
    <w:rsid w:val="00C236BE"/>
    <w:rsid w:val="00C24999"/>
    <w:rsid w:val="00C25329"/>
    <w:rsid w:val="00C257A8"/>
    <w:rsid w:val="00C25995"/>
    <w:rsid w:val="00C26321"/>
    <w:rsid w:val="00C26585"/>
    <w:rsid w:val="00C27D7B"/>
    <w:rsid w:val="00C30153"/>
    <w:rsid w:val="00C30B36"/>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77E7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528A"/>
    <w:rsid w:val="00CA7909"/>
    <w:rsid w:val="00CB17F5"/>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0A9"/>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0964"/>
    <w:rsid w:val="00E61A26"/>
    <w:rsid w:val="00E6229A"/>
    <w:rsid w:val="00E6258C"/>
    <w:rsid w:val="00E625AA"/>
    <w:rsid w:val="00E62E9A"/>
    <w:rsid w:val="00E638A3"/>
    <w:rsid w:val="00E63C03"/>
    <w:rsid w:val="00E647DA"/>
    <w:rsid w:val="00E64D35"/>
    <w:rsid w:val="00E65089"/>
    <w:rsid w:val="00E6563A"/>
    <w:rsid w:val="00E65A0D"/>
    <w:rsid w:val="00E65A20"/>
    <w:rsid w:val="00E669D6"/>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0D3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A730185"/>
    <w:rsid w:val="0DA76EF7"/>
    <w:rsid w:val="0F5A7EF5"/>
    <w:rsid w:val="10B61AF9"/>
    <w:rsid w:val="197E2E13"/>
    <w:rsid w:val="1EB23894"/>
    <w:rsid w:val="24257BFD"/>
    <w:rsid w:val="26307A1F"/>
    <w:rsid w:val="27156329"/>
    <w:rsid w:val="2A3F6DCB"/>
    <w:rsid w:val="2BCB4E87"/>
    <w:rsid w:val="2C066061"/>
    <w:rsid w:val="2D9D11C8"/>
    <w:rsid w:val="2F1B61BD"/>
    <w:rsid w:val="3013205B"/>
    <w:rsid w:val="30361475"/>
    <w:rsid w:val="33701023"/>
    <w:rsid w:val="337B1A67"/>
    <w:rsid w:val="33C15BE0"/>
    <w:rsid w:val="384B24CE"/>
    <w:rsid w:val="399563E3"/>
    <w:rsid w:val="3DDC7F8B"/>
    <w:rsid w:val="3E217B1B"/>
    <w:rsid w:val="40751C9F"/>
    <w:rsid w:val="407E44CB"/>
    <w:rsid w:val="410F6757"/>
    <w:rsid w:val="42857728"/>
    <w:rsid w:val="437D2DD8"/>
    <w:rsid w:val="44F77FF8"/>
    <w:rsid w:val="46E10BF3"/>
    <w:rsid w:val="474546EB"/>
    <w:rsid w:val="4BE1527C"/>
    <w:rsid w:val="4D95357E"/>
    <w:rsid w:val="4E05412E"/>
    <w:rsid w:val="4EBE0E61"/>
    <w:rsid w:val="50017CAB"/>
    <w:rsid w:val="56A85281"/>
    <w:rsid w:val="57722EBB"/>
    <w:rsid w:val="57AD1090"/>
    <w:rsid w:val="5840540A"/>
    <w:rsid w:val="5E6504B7"/>
    <w:rsid w:val="60A83866"/>
    <w:rsid w:val="65DC0272"/>
    <w:rsid w:val="6AF712BC"/>
    <w:rsid w:val="6D302958"/>
    <w:rsid w:val="6D8C4A9A"/>
    <w:rsid w:val="6DF74CFB"/>
    <w:rsid w:val="6E435612"/>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2075</Words>
  <Characters>11832</Characters>
  <Lines>98</Lines>
  <Paragraphs>27</Paragraphs>
  <TotalTime>2978</TotalTime>
  <ScaleCrop>false</ScaleCrop>
  <LinksUpToDate>false</LinksUpToDate>
  <CharactersWithSpaces>13880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cp:lastPrinted>2025-04-16T08:56:00Z</cp:lastPrinted>
  <dcterms:modified xsi:type="dcterms:W3CDTF">2026-02-12T03:49:45Z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06181F5D831745A5ABD98AA9B9B10B48</vt:lpwstr>
  </property>
</Properties>
</file>