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新疆维吾尔自治区喀什地区麦盖提县商务和工业信息化局</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一、关于新疆维吾尔自治区喀什地区麦盖提县商务和工业信息化局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二、关于新疆维吾尔自治区喀什地区麦盖提县商务和工业信息化局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三、关于新疆维吾尔自治区喀什地区麦盖提县商务和工业信息化局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四、关于新疆维吾尔自治区喀什地区麦盖提县商务和工业信息化局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五、关于新疆维吾尔自治区喀什地区麦盖提县商务和工业信息化局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六、关于新疆维吾尔自治区喀什地区麦盖提县商务和工业信息化局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七、关于新疆维吾尔自治区喀什地区麦盖提县商务和工业信息化局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八、关于新疆维吾尔自治区喀什地区麦盖提县商务和工业信息化局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九、关于新疆维吾尔自治区喀什地区麦盖提县商务和工业信息化局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十、关于新疆维吾尔自治区喀什地区麦盖提县商务和工业信息化局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麦盖提县商务和工业信息化局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1、拟订全县经济和信息化发展规划、年度计划并组织实施。</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2、根据国家、自治区产业政策，拟定全县产业规划及扶持政策，并组织实施和监督检查。</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3、指导全县产业合理布局和结构调整，促进一、二、三产业协调发展。</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4、拟订工业和信息产业优化布局、结构调整的政策措施并组织实施，组织协调重点产业调整和规划制订与实施。</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5、协调推进流通产业结构调整，指导流通企业改革，商贸服务业和社区商业发展，提出促进商贸中小企业发展的政策建议，推动流通标准化和连锁经营、物流配送、电子商务等现代流通方式的发展。</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负责全县商务和经济信息化领域各行业的管理，监测分析工业经济运行态势，指导中小企业改革与发展，协调解决有关重大问题，并负责本县工业企业节能减排的综合协调和监督管理工作，对全县商贸流通企业加强监督管理，指导商业服务行业的协调发展，调查研究流通行业重大问题，提出政策建议。</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麦盖提县商务和工业信息化局</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3</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行政办公室、麦盖提县招商服务中心、麦盖提县招商物流中心。</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新疆维吾尔自治区喀什地区麦盖提县商务和工业信息化局实有人数</w:t>
      </w:r>
      <w:r>
        <w:rPr>
          <w:rFonts w:ascii="仿宋_GB2312" w:hAnsi="宋体" w:eastAsia="仿宋_GB2312" w:cs="宋体"/>
          <w:kern w:val="0"/>
          <w:sz w:val="32"/>
          <w:szCs w:val="32"/>
        </w:rPr>
        <w:t>36</w:t>
      </w:r>
      <w:r>
        <w:rPr>
          <w:rFonts w:hint="eastAsia" w:ascii="仿宋_GB2312" w:hAnsi="宋体" w:eastAsia="仿宋_GB2312" w:cs="宋体"/>
          <w:kern w:val="0"/>
          <w:sz w:val="32"/>
          <w:szCs w:val="32"/>
        </w:rPr>
        <w:t>人，其中：在职19人，增加</w:t>
      </w:r>
      <w:r>
        <w:rPr>
          <w:rFonts w:ascii="仿宋_GB2312" w:hAnsi="宋体" w:eastAsia="仿宋_GB2312" w:cs="宋体"/>
          <w:kern w:val="0"/>
          <w:sz w:val="32"/>
          <w:szCs w:val="32"/>
        </w:rPr>
        <w:t>2</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17</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编制部门：新疆维吾尔自治区喀什地区麦盖提县商务和工业信息化局</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1196.20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1498.24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1196.20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1172.20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24.00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69.90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2889.01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61.47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3368.48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3368.48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3254.90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113.58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4564.68</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4564.68</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编制部门：新疆维吾尔自治区喀什地区麦盖提县商务和工业信息化局</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一般公共服务支出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1498.24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1056.24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1056.24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442.00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商贸事务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1498.24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1056.24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1056.24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442.00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行政运行</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1498.24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1056.24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1056.24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442.00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69.90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69.90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69.90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69.90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69.90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69.90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行政单位离退休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35.74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35.74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35.74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34.16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34.16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34.16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17.14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17.14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17.14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17.14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17.14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17.14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14.73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14.73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14.73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公务员医疗补助</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资源勘探工业信息等支出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2889.01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2889.01</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制造业</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2775.43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2775.43</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04</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纺织业</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2745.43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2745.43</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其他制造业支出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30.00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超长期特别国债安排的支出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113.58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113.58</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制造业</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113.58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113.58</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216</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商业服务业等支出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61.47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37.47</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216</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商业流通事务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37.47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37.47</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216</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其他商业流通事务支出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37.47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37.47</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216</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06</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涉外发展服务支出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216</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06</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其他涉外发展服务支出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28.92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28.92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28.92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28.92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28.92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28.92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28.92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28.92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28.92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4564.68</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1196.20</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1172.20</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24.00</w:t>
            </w: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3368.48</w:t>
            </w: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编制部门：新疆维吾尔自治区喀什地区麦盖提县商务和工业信息化局</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一般公共服务支出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1498.24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261.41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1236.83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商贸事务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1498.24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261.41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1236.83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行政运行</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1498.24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261.41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1236.83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69.90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69.90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69.90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69.90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行政单位离退休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35.74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35.74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34.16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34.16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17.14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17.14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17.14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17.14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14.73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14.73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公务员医疗补助</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资源勘探工业信息等支出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2889.01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2889.01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制造业</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2775.43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2775.43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04</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纺织业</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2745.43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2745.43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其他制造业支出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30.00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超长期特别国债安排的支出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113.58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113.58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制造业</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113.58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113.58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216</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商业服务业等支出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61.47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61.47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216</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商业流通事务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37.47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37.47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216</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其他商业流通事务支出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37.47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37.47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216</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06</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涉外发展服务支出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216</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06</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其他涉外发展服务支出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28.92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28.92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28.92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28.92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28.92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28.92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4564.68</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377.37</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4187.31</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编制部门：新疆维吾尔自治区喀什地区麦盖提县商务和工业信息化局</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2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113"/>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235"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111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1196.20</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1056.24</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1056.24</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1196.20</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69.90</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69.90</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17.14</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17.14</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24.00</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24.00</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28.92</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28.92</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1113"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1196.20</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1196.20</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1196.20</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编制部门：新疆维吾尔自治区喀什地区麦盖提县商务和工业信息化局</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一般公共服务支出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1056.24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261.41</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794.83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13</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商贸事务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1056.24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261.41</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794.83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13</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行政运行</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1056.24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261.41</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794.83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69.90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69.90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69.90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69.90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行政单位离退休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35.74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35.74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34.16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34.16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17.14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17.14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17.14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17.14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14.73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14.73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216</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商业服务业等支出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216</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06</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涉外发展服务支出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216</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06</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99</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其他涉外发展服务支出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28.92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28.92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28.92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28.92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28.92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28.92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1196.20</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377.37</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818.83</w:t>
            </w: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编制部门：新疆维吾尔自治区喀什地区麦盖提县商务和工业信息化局</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327.44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327.44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85.63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85.63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85.21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85.21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50.97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50.97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21.66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21.66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34.16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34.16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14.73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14.73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0.89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0.89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28.92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28.92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14.99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06</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公务接待费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公务用车运行维护费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6.65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34.94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34.94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34.36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34.36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生活补助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377.37</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362.38</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14.99</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编制部门：新疆维吾尔自治区喀什地区麦盖提县商务和工业信息化局</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一般公共服务支出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794.83</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794.83</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商贸事务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794.83</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794.83</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行政运行</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其他项目一</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794.83</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794.83</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216</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商业服务业等支出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24.00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24.00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216</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06</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涉外发展服务支出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24.00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24.00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216</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06</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其他涉外发展服务支出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年中央外经贸发展专项资金</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24.00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24.00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818.83</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818.83</w:t>
            </w: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编制部门：新疆维吾尔自治区喀什地区麦盖提县商务和工业信息化局</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备注：新疆维吾尔自治区喀什地区麦盖提县商务和工业信息化局</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编制部门：新疆维吾尔自治区喀什地区麦盖提县商务和工业信息化局</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备注：新疆维吾尔自治区喀什地区麦盖提县商务和工业信息化局</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编制部门：新疆维吾尔自治区喀什地区麦盖提县商务和工业信息化局</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7.65</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7.65</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1.00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1.00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6.65</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6.65</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6.65</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6.65</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编制部门：新疆维吾尔自治区喀什地区麦盖提县商务和工业信息化局</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rPr>
              <w:t>中央纺织服装专项资金</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442.00</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442.00</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442.00</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年纺织服装企业贷款贴息资金</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812.24</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812.24</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812.24</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年第三批自治区纺织服装专项资金</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1933.19</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1933.19</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1933.19</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年自治区战略性新兴产业专项资金</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30.00</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30.00</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30.00</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年第二批超长期特别国债支持消费品领域以旧换新中央资金</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32.50</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32.50</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32.50</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年超长期特别国债支持消费品领域以旧换新资金</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81.08</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81.08</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81.08</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年第二批超长期特别国债支持地方消费品领域以旧换新自治区配套资金</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1.71</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1.71</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1.71</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年自治区第一批家电促消费和以旧换新补贴活动资金项目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5.43</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5.43</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5.43</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年汽车以旧换新补贴自治区财政资金项目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0.33</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0.33</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0.33</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年汽车以旧换新补贴中央财政资金项目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30.00</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30.00</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30.00</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3368.48</w:t>
            </w: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3368.48</w:t>
            </w: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一、关于新疆维吾尔自治区喀什地区麦盖提县商务和工业信息化局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按照全口径预算的原则，新疆维吾尔自治区喀什地区麦盖提县商务和工业信息化局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年所有收入和支出均纳入部门预算管理。收支总预算4564.68万元。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收入预算包括：一般公共预算、财政拨款结转结余。</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支出预算包括：一般公共服务支出、社会保障和就业支出、卫生健康支出、资源勘探工业信息等支出、商业服务业等支出、住房保障支出。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二、关于新疆维吾尔自治区喀什地区麦盖提县商务和工业信息化局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新疆维吾尔自治区喀什地区麦盖提县商务和工业信息化局收入预算4564.68万元，其中：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一般公共预算1172.2万元，占25.68%,比上年预算减少412.73万元，下降26.04%，主要原因是：减少麦盖提县电子商务进农村综合示范项目后续项目。</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w:t>
      </w: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24万元，占0.53%,比上年预算减少15万元，下降38.46%，主要原因是：根据企业申报资料送地区，地区审核不通过的企业，不予与拨付资金，同时核减该资金。</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财政拨款结转3368.48万元，占73.79%,比上年预算增加2787.23万元，增长479.52%，主要原因是：结转</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年纺织服装企业贷款贴息资金项目和</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年第三批自治区纺织服装专项资金项目，结转资金增加。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三、关于新疆维吾尔自治区喀什地区麦盖提县商务和工业信息化局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新疆维吾尔自治区喀什地区麦盖提县商务和工业信息化局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4564.68</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377.37</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8.27</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63.44</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20.21</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人员增加2人，工资福利支出增加。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4187.31</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91.73</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2296.06</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121.4</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结转</w:t>
      </w:r>
      <w:r>
        <w:rPr>
          <w:rFonts w:hint="eastAsia" w:ascii="仿宋_GB2312" w:hAnsi="宋体" w:eastAsia="仿宋_GB2312" w:cs="宋体"/>
          <w:kern w:val="0"/>
          <w:sz w:val="32"/>
          <w:szCs w:val="32"/>
          <w:lang w:eastAsia="zh-CN"/>
        </w:rPr>
        <w:t>2025</w:t>
      </w:r>
      <w:r>
        <w:rPr>
          <w:rFonts w:ascii="仿宋_GB2312" w:hAnsi="宋体" w:eastAsia="仿宋_GB2312" w:cs="宋体"/>
          <w:kern w:val="0"/>
          <w:sz w:val="32"/>
          <w:szCs w:val="32"/>
        </w:rPr>
        <w:t>年纺织服装企业贷款贴息资金项目和</w:t>
      </w:r>
      <w:r>
        <w:rPr>
          <w:rFonts w:hint="eastAsia" w:ascii="仿宋_GB2312" w:hAnsi="宋体" w:eastAsia="仿宋_GB2312" w:cs="宋体"/>
          <w:kern w:val="0"/>
          <w:sz w:val="32"/>
          <w:szCs w:val="32"/>
          <w:lang w:eastAsia="zh-CN"/>
        </w:rPr>
        <w:t>2025</w:t>
      </w:r>
      <w:r>
        <w:rPr>
          <w:rFonts w:ascii="仿宋_GB2312" w:hAnsi="宋体" w:eastAsia="仿宋_GB2312" w:cs="宋体"/>
          <w:kern w:val="0"/>
          <w:sz w:val="32"/>
          <w:szCs w:val="32"/>
        </w:rPr>
        <w:t>年第三批自治区纺织服装专项资金项目，项目支出预算增加。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四、关于新疆维吾尔自治区喀什地区麦盖提县商务和工业信息化局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年财政拨款收支总预算1196.2万元。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收入预算包括：一般公共预算拨款1196.2万元。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一般公共预算支出包括：一般公共服务支出1056.24万元，主要用于：</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年纺织服装企业贷款贴息资金，</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年自治区战略性新兴产业专项资金，</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第三批自治区纺织服装专项资金；社会保障和就业支出69.90万元，主要用于：发放离退休人员工资及缴纳职工基本养老保险费用；卫生健康支出17.14万元，主要用于：缴纳在职人员的基本医疗保险及大病医疗保险；商业服务业等支出24.00万元，主要用于：</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年中央外经贸发展专项资金；住房保障支出28.92万元，主要用于：职工住房公积金的缴纳。</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五、关于新疆维吾尔自治区喀什地区麦盖提县商务和工业信息化局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新疆维吾尔自治区喀什地区麦盖提县商务和工业信息化局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1196.2</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377.37</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63.44</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20.21</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人员增加，工资福利支出增加。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818.83</w:t>
      </w:r>
      <w:r>
        <w:rPr>
          <w:rFonts w:hint="eastAsia" w:ascii="仿宋_GB2312" w:hAnsi="宋体" w:eastAsia="仿宋_GB2312" w:cs="宋体"/>
          <w:kern w:val="0"/>
          <w:sz w:val="32"/>
          <w:szCs w:val="32"/>
        </w:rPr>
        <w:t>万元，比上年预算减少</w:t>
      </w:r>
      <w:r>
        <w:rPr>
          <w:rFonts w:ascii="仿宋_GB2312" w:hAnsi="宋体" w:eastAsia="仿宋_GB2312" w:cs="宋体"/>
          <w:kern w:val="0"/>
          <w:sz w:val="32"/>
          <w:szCs w:val="32"/>
        </w:rPr>
        <w:t>491.17</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下降</w:t>
      </w:r>
      <w:bookmarkEnd w:id="3"/>
      <w:r>
        <w:rPr>
          <w:rFonts w:ascii="仿宋_GB2312" w:hAnsi="宋体" w:eastAsia="仿宋_GB2312" w:cs="宋体"/>
          <w:kern w:val="0"/>
          <w:sz w:val="32"/>
          <w:szCs w:val="32"/>
        </w:rPr>
        <w:t>37.49</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减少麦盖提县电子商务进农村综合示范项目后续项目。</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.一般公共服务支出（类）1056.24万元，占88.30%</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.社会保障和就业支出（类）69.90万元，占5.84%</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.卫生健康支出（类）17.14万元，占1.43%</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ascii="仿宋_GB2312" w:hAnsi="宋体" w:eastAsia="仿宋_GB2312" w:cs="宋体"/>
          <w:kern w:val="0"/>
          <w:sz w:val="32"/>
          <w:szCs w:val="32"/>
        </w:rPr>
        <w:t>.商业服务业等支出（类）24.00万元，占2.01%</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w:t>
      </w:r>
      <w:r>
        <w:rPr>
          <w:rFonts w:ascii="仿宋_GB2312" w:hAnsi="宋体" w:eastAsia="仿宋_GB2312" w:cs="宋体"/>
          <w:kern w:val="0"/>
          <w:sz w:val="32"/>
          <w:szCs w:val="32"/>
        </w:rPr>
        <w:t>.住房保障支出（类）28.92万元，占2.42%</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1.一般公共服务支出（类）商贸事务（款）行政运行（项）：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年预算数为1056.24万元，比上年预算增加831.42万元，增长369.82%，主要原因是：增加人员工资及项目支出，项目支出分别为：1、</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年纺织服装企业贷款贴息资金；2、</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年自治区战略性新兴产业专项资金；3、</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年第三批自治区纺织服装专项资金。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2.社会保障和就业支出（类）行政事业单位养老支出（款）行政单位离退休（项）：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年预算数为35.74万元，比上年预算增加11.12万元，增长45.17%，主要原因是：人员增加，发放离退休人员工资及缴纳职工基本养老保险费用增加。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年预算数为34.16万元，比上年预算增加6.31万元，增长22.66%，主要原因是：人员增加，在职人员行政事业单位养老保险增加。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4.卫生健康支出（类）行政事业单位医疗（款）行政单位医疗（项）：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年预算数为14.73万元，比上年预算增加2.89万元，增长24.41%，主要原因是：人员增加，在职人员的基本医疗保险及大病医疗保险增加。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5.卫生健康支出（类）行政事业单位医疗（款）公务员医疗补助（项）：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年预算数为2.41万元，比上年预算增加0.42万元，增长21.11%，主要原因是：人员增加，在职人员的公务员医疗补助增加。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6.商业服务业等支出（类）涉外发展服务支出（款）其他涉外发展服务支出（项）：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年预算数为24.00万元，比上年预算减少3.00万元，下降11.11%，主要原因是：根据企业申报资料送地区，地区审核不通过的企业，不予与拨付资金，同时核减该资金。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年预算数为28.92万元，比上年预算增加6.11万元，增长26.79%，主要原因是：人员增加，职工住房公积金的缴纳增加。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8.一般公共服务支出（类）商贸事务（款）招商引资（项）：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年预算数为0.00万元，比上年预算减少1271.00万元，下降100.00%，主要原因是：我部门本年该科目未安排预算。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9.其他支出（类）其他支出（款）其他支出（项）：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年预算数为0.00万元，比上年预算减少12.00万元，</w:t>
      </w:r>
      <w:bookmarkStart w:id="4" w:name="_Hlk157617573"/>
      <w:r>
        <w:rPr>
          <w:rFonts w:hint="eastAsia" w:ascii="仿宋_GB2312" w:hAnsi="宋体" w:eastAsia="仿宋_GB2312" w:cs="宋体"/>
          <w:kern w:val="0"/>
          <w:sz w:val="32"/>
          <w:szCs w:val="32"/>
        </w:rPr>
        <w:t>下降</w:t>
      </w:r>
      <w:bookmarkEnd w:id="4"/>
      <w:r>
        <w:rPr>
          <w:rFonts w:hint="eastAsia" w:ascii="仿宋_GB2312" w:hAnsi="宋体" w:eastAsia="仿宋_GB2312" w:cs="宋体"/>
          <w:kern w:val="0"/>
          <w:sz w:val="32"/>
          <w:szCs w:val="32"/>
        </w:rPr>
        <w:t>100.00%，主要原因是：我部门本年该科目未安排预算。</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六、关于新疆维吾尔自治区喀什地区麦盖提县商务和工业信息化局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新疆维吾尔自治区喀什地区麦盖提县商务和工业信息化局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377.37</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362.38万元，主要包括：基本工资、津贴补贴、奖金、绩效工资、机关事业单位基本养老保险缴费、职工基本医疗保险缴费、公务员医疗补助缴费、其他社会保障缴费、住房公积金、其他工资福利支出、退休费、生活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公用经费14.99万元，主要包括：办公费、水费、电费、邮电费、差旅费、公务接待费、公务用车运行维护费、其他商品和服务支出。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七、关于新疆维吾尔自治区喀什地区麦盖提县商务和工业信息化局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（1）项目名称：其他项目一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预算安排规模：794.83万元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年中央外经贸发展专项资金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设立的政策依据：喀地财企[</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]32号-关于提前下达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年中央外经贸发展专项资金预算的通知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预算安排规模：24.00万元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项目承担单位：新疆维吾尔自治区喀什地区麦盖提县商务和工业信息化局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资金分配情况：24.00万元全部用于组织企业项目申报遴选的补助。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八、关于新疆维吾尔自治区喀什地区麦盖提县商务和工业信息化局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麦盖提县商务和工业信息化局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九、关于新疆维吾尔自治区喀什地区麦盖提县商务和工业信息化局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新疆维吾尔自治区喀什地区麦盖提县商务和工业信息化局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十、关于新疆维吾尔自治区喀什地区麦盖提县商务和工业信息化局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新疆维吾尔自治区喀什地区麦盖提县商务和工业信息化局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年财政拨款“三公”经费数为7.65万元，其中：因公出国（境）费0万元，公务用车购置费0万元，公务用车运行费6.65万元，公务接待费1万元。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年财政拨款“三公”经费比上年预算增加1万元，增长15.04%，其中：因公出国（境）费增加0万元，增长0%，主要原因是：我部门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年均未安排公务用车购置费；公务用车运行费增加0万元，增长0%，主要原因是：相较于上年度，我部门公务用车运行费无增减变动；公务接待费增加1万元，增长100%，主要原因是：招商客商人员增多，经费增加。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十一、关于新疆维吾尔自治区喀什地区麦盖提县商务和工业信息化局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麦盖提县商务和工业信息化局</w:t>
      </w:r>
      <w:r>
        <w:rPr>
          <w:rFonts w:hint="eastAsia" w:ascii="仿宋_GB2312" w:hAnsi="仿宋_GB2312" w:eastAsia="仿宋_GB2312" w:cs="仿宋_GB2312"/>
          <w:kern w:val="0"/>
          <w:sz w:val="32"/>
          <w:szCs w:val="32"/>
          <w:lang w:eastAsia="zh-CN"/>
        </w:rPr>
        <w:t>2026</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年上年结转结余3368.48万元，包括：财政拨款3368.48万元，非财政拨款0万元，其中：</w:t>
      </w:r>
      <w:r>
        <w:rPr>
          <w:rFonts w:hint="eastAsia" w:ascii="MS Gothic" w:hAnsi="MS Gothic" w:eastAsia="MS Gothic" w:cs="MS Gothic"/>
          <w:kern w:val="0"/>
          <w:sz w:val="32"/>
          <w:szCs w:val="32"/>
          <w:cs/>
        </w:rPr>
        <w:t>‎</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1.中央纺织服装专项资金442.00</w:t>
      </w:r>
      <w:r>
        <w:rPr>
          <w:rFonts w:hint="eastAsia" w:ascii="仿宋_GB2312" w:hAnsi="仿宋_GB2312" w:eastAsia="仿宋_GB2312" w:cs="仿宋_GB2312"/>
          <w:kern w:val="0"/>
          <w:sz w:val="32"/>
          <w:szCs w:val="32"/>
        </w:rPr>
        <w:t>万元，主要用于：企业流动资金贷款贴息、印染补贴。</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2.</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年纺织服装企业贷款贴息资金812.24</w:t>
      </w:r>
      <w:r>
        <w:rPr>
          <w:rFonts w:hint="eastAsia" w:ascii="仿宋_GB2312" w:hAnsi="仿宋_GB2312" w:eastAsia="仿宋_GB2312" w:cs="仿宋_GB2312"/>
          <w:kern w:val="0"/>
          <w:sz w:val="32"/>
          <w:szCs w:val="32"/>
        </w:rPr>
        <w:t>万元，主要用于：企业流动资金贷款贴息。</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3.</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年第三批自治区纺织服装专项资金1933.19</w:t>
      </w:r>
      <w:r>
        <w:rPr>
          <w:rFonts w:hint="eastAsia" w:ascii="仿宋_GB2312" w:hAnsi="仿宋_GB2312" w:eastAsia="仿宋_GB2312" w:cs="仿宋_GB2312"/>
          <w:kern w:val="0"/>
          <w:sz w:val="32"/>
          <w:szCs w:val="32"/>
        </w:rPr>
        <w:t>万元，主要用于：企业电费、运费补贴。</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4.</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年自治区战略性新兴产业专项资金30.00</w:t>
      </w:r>
      <w:r>
        <w:rPr>
          <w:rFonts w:hint="eastAsia" w:ascii="仿宋_GB2312" w:hAnsi="仿宋_GB2312" w:eastAsia="仿宋_GB2312" w:cs="仿宋_GB2312"/>
          <w:kern w:val="0"/>
          <w:sz w:val="32"/>
          <w:szCs w:val="32"/>
        </w:rPr>
        <w:t>万元，主要用于：完成重点战略性兴产业建设项目。</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5.</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年第二批超长期特别国债支持消费品领域以旧换新中央资金32.50</w:t>
      </w:r>
      <w:r>
        <w:rPr>
          <w:rFonts w:hint="eastAsia" w:ascii="仿宋_GB2312" w:hAnsi="仿宋_GB2312" w:eastAsia="仿宋_GB2312" w:cs="仿宋_GB2312"/>
          <w:kern w:val="0"/>
          <w:sz w:val="32"/>
          <w:szCs w:val="32"/>
        </w:rPr>
        <w:t>万元，主要用于：汽车以旧换新补贴、家电以旧换新等资金。</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6.</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年超长期特别国债支持消费品领域以旧换新资金81.08</w:t>
      </w:r>
      <w:r>
        <w:rPr>
          <w:rFonts w:hint="eastAsia" w:ascii="仿宋_GB2312" w:hAnsi="仿宋_GB2312" w:eastAsia="仿宋_GB2312" w:cs="仿宋_GB2312"/>
          <w:kern w:val="0"/>
          <w:sz w:val="32"/>
          <w:szCs w:val="32"/>
        </w:rPr>
        <w:t>万元，主要用于：汽车以旧换新补贴、家电以旧换新等资金。</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7.</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年第二批超长期特别国债支持地方消费品领域以旧换新自治区配套资金1.71</w:t>
      </w:r>
      <w:r>
        <w:rPr>
          <w:rFonts w:hint="eastAsia" w:ascii="仿宋_GB2312" w:hAnsi="仿宋_GB2312" w:eastAsia="仿宋_GB2312" w:cs="仿宋_GB2312"/>
          <w:kern w:val="0"/>
          <w:sz w:val="32"/>
          <w:szCs w:val="32"/>
        </w:rPr>
        <w:t>万元，主要用于：汽车以旧换新补贴、家电以旧换新等资金。</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8.</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年自治区第一批家电促消费和以旧换新补贴活动资金项目5.43</w:t>
      </w:r>
      <w:r>
        <w:rPr>
          <w:rFonts w:hint="eastAsia" w:ascii="仿宋_GB2312" w:hAnsi="仿宋_GB2312" w:eastAsia="仿宋_GB2312" w:cs="仿宋_GB2312"/>
          <w:kern w:val="0"/>
          <w:sz w:val="32"/>
          <w:szCs w:val="32"/>
        </w:rPr>
        <w:t>万元，主要用于：汽车以旧换新补贴、家电以旧换新等资金。</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9.</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年汽车以旧换新补贴自治区财政资金项目0.33</w:t>
      </w:r>
      <w:r>
        <w:rPr>
          <w:rFonts w:hint="eastAsia" w:ascii="仿宋_GB2312" w:hAnsi="仿宋_GB2312" w:eastAsia="仿宋_GB2312" w:cs="仿宋_GB2312"/>
          <w:kern w:val="0"/>
          <w:sz w:val="32"/>
          <w:szCs w:val="32"/>
        </w:rPr>
        <w:t>万元，主要用于：汽车以旧换新补贴、家电以旧换新等资金。</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10.</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年汽车以旧换新补贴中央财政资金项目30.00</w:t>
      </w:r>
      <w:r>
        <w:rPr>
          <w:rFonts w:hint="eastAsia" w:ascii="仿宋_GB2312" w:hAnsi="仿宋_GB2312" w:eastAsia="仿宋_GB2312" w:cs="仿宋_GB2312"/>
          <w:kern w:val="0"/>
          <w:sz w:val="32"/>
          <w:szCs w:val="32"/>
        </w:rPr>
        <w:t>万元，主要用于：汽车以旧换新补贴、家电以旧换新等资金。</w:t>
      </w:r>
      <w:r>
        <w:rPr>
          <w:rFonts w:hint="eastAsia" w:ascii="MS Gothic" w:hAnsi="MS Gothic" w:eastAsia="MS Gothic" w:cs="MS Gothic"/>
          <w:kern w:val="0"/>
          <w:sz w:val="32"/>
          <w:szCs w:val="32"/>
          <w:cs/>
        </w:rPr>
        <w:t xml:space="preserve"> ‎</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新疆维吾尔自治区喀什地区麦盖提县商务和工业信息化局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年的机关运行经费财政拨款预算14.99万元，比上年预算增加1.71万元，增长12.88%。主要原因是：人员增加，公用经费增加。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年，新疆维吾尔自治区喀什地区麦盖提县商务和工业信息化局政府采购预算7.98万元，其中：政府采购货物预算2.58万元，政府采购工程预算0.00万元，政府采购服务预算5.40万元。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年，新疆维吾尔自治区喀什地区麦盖提县商务和工业信息化局面向中小企业预留政府采购项目预算金额7.98万元，小微企业预留政府采购项目预算金额7.98万元。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年底，新疆维吾尔自治区喀什地区麦盖提县商务和工业信息化局及下属各预算单位占用使用国有资产总体情况为：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1.房屋747.09平方米，价值781337.07万元。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2.车辆2辆，价值318615.00万元；其中：一般公务用车0辆，价值0.00万元；执法执勤用车0辆，价值0.00万元；其他车辆2辆，价值318615.00万元。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3.办公家具价值452431.00万元。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年，本部门预算绩效管理整体预算绩效目标1个，涉及预算金额4564.68万元；当年预算安排项目共2个，其中：财政拨款项目涉及预算金额818.83万元；非财政拨款项目涉及预算金额0万元。具体情况见下表：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2"/>
        <w:tblW w:w="10065" w:type="dxa"/>
        <w:jc w:val="center"/>
        <w:tblInd w:w="0" w:type="dxa"/>
        <w:tblLayout w:type="fixed"/>
        <w:tblCellMar>
          <w:top w:w="0" w:type="dxa"/>
          <w:left w:w="108" w:type="dxa"/>
          <w:bottom w:w="0" w:type="dxa"/>
          <w:right w:w="108" w:type="dxa"/>
        </w:tblCellMar>
      </w:tblPr>
      <w:tblGrid>
        <w:gridCol w:w="1276"/>
        <w:gridCol w:w="1276"/>
        <w:gridCol w:w="2977"/>
        <w:gridCol w:w="1417"/>
        <w:gridCol w:w="1701"/>
        <w:gridCol w:w="1418"/>
      </w:tblGrid>
      <w:tr>
        <w:tblPrEx>
          <w:tblLayout w:type="fixed"/>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新疆维吾尔自治区喀什地区</w:t>
            </w:r>
            <w:r>
              <w:rPr>
                <w:rFonts w:cs="宋体" w:asciiTheme="majorEastAsia" w:hAnsiTheme="majorEastAsia" w:eastAsiaTheme="majorEastAsia"/>
                <w:color w:val="000000"/>
                <w:sz w:val="20"/>
                <w:szCs w:val="20"/>
              </w:rPr>
              <w:t>麦盖提县商务和工业信息化局</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王建华</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17309987116</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一)持续强化招商作用进一步加大棉花和纺织服装主导产业招引力度，重点招引织布、印染、家纺、服装等项目落地，充分利用自治区《关于支持塔克拉玛干沙漠边缘阻击战的九条措施》重点围绕“光伏+”产业进行招商，争取</w:t>
            </w:r>
            <w:r>
              <w:rPr>
                <w:rFonts w:hint="eastAsia" w:cs="宋体" w:asciiTheme="majorEastAsia" w:hAnsiTheme="majorEastAsia" w:eastAsiaTheme="majorEastAsia"/>
                <w:color w:val="000000"/>
                <w:sz w:val="20"/>
                <w:szCs w:val="20"/>
                <w:lang w:eastAsia="zh-CN"/>
              </w:rPr>
              <w:t>2026</w:t>
            </w:r>
            <w:r>
              <w:rPr>
                <w:rFonts w:cs="宋体" w:asciiTheme="majorEastAsia" w:hAnsiTheme="majorEastAsia" w:eastAsiaTheme="majorEastAsia"/>
                <w:color w:val="000000"/>
                <w:sz w:val="20"/>
                <w:szCs w:val="20"/>
              </w:rPr>
              <w:t>年完成招商引资区外到位资金36亿元，同比</w:t>
            </w:r>
            <w:r>
              <w:rPr>
                <w:rFonts w:hint="eastAsia" w:cs="宋体" w:asciiTheme="majorEastAsia" w:hAnsiTheme="majorEastAsia" w:eastAsiaTheme="majorEastAsia"/>
                <w:color w:val="000000"/>
                <w:sz w:val="20"/>
                <w:szCs w:val="20"/>
                <w:lang w:eastAsia="zh-CN"/>
              </w:rPr>
              <w:t>2025</w:t>
            </w:r>
            <w:r>
              <w:rPr>
                <w:rFonts w:cs="宋体" w:asciiTheme="majorEastAsia" w:hAnsiTheme="majorEastAsia" w:eastAsiaTheme="majorEastAsia"/>
                <w:color w:val="000000"/>
                <w:sz w:val="20"/>
                <w:szCs w:val="20"/>
              </w:rPr>
              <w:t>目标任务增长20%。(二)深入推进新型工业化发展做好企业入规培育。在巩固和服务好现有规上工业企业的同时，对全县规模以下工业企业和重点项目全面排查，实施好“抓大、壮小、扶微”工程，培育扩大规上企业数量，形成工业发展新支撑。</w:t>
            </w:r>
            <w:r>
              <w:rPr>
                <w:rFonts w:hint="eastAsia" w:cs="宋体" w:asciiTheme="majorEastAsia" w:hAnsiTheme="majorEastAsia" w:eastAsiaTheme="majorEastAsia"/>
                <w:color w:val="000000"/>
                <w:sz w:val="20"/>
                <w:szCs w:val="20"/>
                <w:lang w:eastAsia="zh-CN"/>
              </w:rPr>
              <w:t>2026</w:t>
            </w:r>
            <w:r>
              <w:rPr>
                <w:rFonts w:cs="宋体" w:asciiTheme="majorEastAsia" w:hAnsiTheme="majorEastAsia" w:eastAsiaTheme="majorEastAsia"/>
                <w:color w:val="000000"/>
                <w:sz w:val="20"/>
                <w:szCs w:val="20"/>
              </w:rPr>
              <w:t>年计划新增规上企业7家助推</w:t>
            </w:r>
            <w:r>
              <w:rPr>
                <w:rFonts w:hint="eastAsia" w:cs="宋体" w:asciiTheme="majorEastAsia" w:hAnsiTheme="majorEastAsia" w:eastAsiaTheme="majorEastAsia"/>
                <w:color w:val="000000"/>
                <w:sz w:val="20"/>
                <w:szCs w:val="20"/>
                <w:lang w:eastAsia="zh-CN"/>
              </w:rPr>
              <w:t>2026</w:t>
            </w:r>
            <w:r>
              <w:rPr>
                <w:rFonts w:cs="宋体" w:asciiTheme="majorEastAsia" w:hAnsiTheme="majorEastAsia" w:eastAsiaTheme="majorEastAsia"/>
                <w:color w:val="000000"/>
                <w:sz w:val="20"/>
                <w:szCs w:val="20"/>
              </w:rPr>
              <w:t>年计划新增的7家规上企业入库纳统，为工业经济提供新增长点。(三)不断激发内外贸经济活力紧盯指标发展补短板。一是进一步压实责任，严格按照年初制定目标，加大对限上企业对接走访力度，切实了解企业的经营销售动态情况，帮助企业纾难解困；同时督促限上企业每月按时进行统计数据和联网直报，做到填报准确、应报尽报，确保完成年度15%增速的目标任务。</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3392.48</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1172.20</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外出参展或招商推介次数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&gt;=5次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新增</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印发宣传优惠政策资料数量</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&gt;=400本</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新增</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招商引资落地资金</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&gt;=1亿</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新增</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区外招商引资项目个数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&gt;=10个</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新增</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年度走访对接企业数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&gt;=30家</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新增</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麦盖提县商务和工业信息化局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年中央外经贸发展专项资金</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王建华</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24</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24</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本项目资金24万元，主要用于引导国内产业合理布局，促进边境贸易创新发展，拨付资金24万元，扶持2家重点外向型企业。支持服务贸易企业数量逐年增长，达到扩大特色服务出口基地覆盖率。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支持重点外向型企业数量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&gt;=2家</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1家</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运输质量合格率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企业扶持覆盖率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年12月31日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扶持企业平均成本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&lt;=12万元/家</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12万元/家</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改善外经贸企业营商环境</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有效改善</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改善</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获得支持的企业满意度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1.本次未公开项目支出绩效目标表共有1个，全部为sm项目，涉及资金794.83万元，不予公开。</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2724"/>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4C6"/>
    <w:rsid w:val="00072A5F"/>
    <w:rsid w:val="00072D71"/>
    <w:rsid w:val="0007440C"/>
    <w:rsid w:val="0008004F"/>
    <w:rsid w:val="0008375E"/>
    <w:rsid w:val="00083DAA"/>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102A"/>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0F79"/>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0C68"/>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49D7"/>
    <w:rsid w:val="002C4BF4"/>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38D"/>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1559"/>
    <w:rsid w:val="003A3261"/>
    <w:rsid w:val="003A3903"/>
    <w:rsid w:val="003A44ED"/>
    <w:rsid w:val="003B05BA"/>
    <w:rsid w:val="003B0DA2"/>
    <w:rsid w:val="003B48BE"/>
    <w:rsid w:val="003B5C7E"/>
    <w:rsid w:val="003B76CB"/>
    <w:rsid w:val="003B7A83"/>
    <w:rsid w:val="003C0D15"/>
    <w:rsid w:val="003C23E0"/>
    <w:rsid w:val="003D0E59"/>
    <w:rsid w:val="003D4B84"/>
    <w:rsid w:val="003D608A"/>
    <w:rsid w:val="003D64AF"/>
    <w:rsid w:val="003E00E1"/>
    <w:rsid w:val="003E0AF5"/>
    <w:rsid w:val="003E0F98"/>
    <w:rsid w:val="003E2195"/>
    <w:rsid w:val="003E2D15"/>
    <w:rsid w:val="003E4B77"/>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66C"/>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0DA"/>
    <w:rsid w:val="005328A3"/>
    <w:rsid w:val="0053461E"/>
    <w:rsid w:val="00534961"/>
    <w:rsid w:val="0053676F"/>
    <w:rsid w:val="00537782"/>
    <w:rsid w:val="00544AC4"/>
    <w:rsid w:val="00544C7D"/>
    <w:rsid w:val="0054586F"/>
    <w:rsid w:val="005461B7"/>
    <w:rsid w:val="005474F1"/>
    <w:rsid w:val="00547B4F"/>
    <w:rsid w:val="005513B3"/>
    <w:rsid w:val="00551D2B"/>
    <w:rsid w:val="00553588"/>
    <w:rsid w:val="00554786"/>
    <w:rsid w:val="00556697"/>
    <w:rsid w:val="0056203D"/>
    <w:rsid w:val="00565C5B"/>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5F4E"/>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65A0"/>
    <w:rsid w:val="00647E65"/>
    <w:rsid w:val="00651C31"/>
    <w:rsid w:val="0065215F"/>
    <w:rsid w:val="00652FA3"/>
    <w:rsid w:val="006535FD"/>
    <w:rsid w:val="0065452B"/>
    <w:rsid w:val="00654745"/>
    <w:rsid w:val="00656129"/>
    <w:rsid w:val="00656952"/>
    <w:rsid w:val="00656A60"/>
    <w:rsid w:val="00657789"/>
    <w:rsid w:val="00657C75"/>
    <w:rsid w:val="00660081"/>
    <w:rsid w:val="00660B36"/>
    <w:rsid w:val="00661EBC"/>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77A"/>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2B8B"/>
    <w:rsid w:val="006D3237"/>
    <w:rsid w:val="006D3C88"/>
    <w:rsid w:val="006D3F9C"/>
    <w:rsid w:val="006D5C80"/>
    <w:rsid w:val="006D6570"/>
    <w:rsid w:val="006D6758"/>
    <w:rsid w:val="006E14CC"/>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50A7"/>
    <w:rsid w:val="0070656D"/>
    <w:rsid w:val="0070690F"/>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14061"/>
    <w:rsid w:val="00821166"/>
    <w:rsid w:val="00821D2C"/>
    <w:rsid w:val="00822F8A"/>
    <w:rsid w:val="00823248"/>
    <w:rsid w:val="008235FE"/>
    <w:rsid w:val="0082371D"/>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335"/>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08B"/>
    <w:rsid w:val="008D5AED"/>
    <w:rsid w:val="008D6376"/>
    <w:rsid w:val="008D64F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4FDC"/>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5DCE"/>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07329"/>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4D96"/>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20F6"/>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2A70"/>
    <w:rsid w:val="00B9342F"/>
    <w:rsid w:val="00B93744"/>
    <w:rsid w:val="00B93A0F"/>
    <w:rsid w:val="00B945A8"/>
    <w:rsid w:val="00B94BE6"/>
    <w:rsid w:val="00B95832"/>
    <w:rsid w:val="00B97729"/>
    <w:rsid w:val="00BA0301"/>
    <w:rsid w:val="00BA09B5"/>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2B2C"/>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BE4"/>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55F1"/>
    <w:rsid w:val="00CE611A"/>
    <w:rsid w:val="00CE72BF"/>
    <w:rsid w:val="00CF243B"/>
    <w:rsid w:val="00CF2519"/>
    <w:rsid w:val="00CF2BB6"/>
    <w:rsid w:val="00CF42A0"/>
    <w:rsid w:val="00CF75CC"/>
    <w:rsid w:val="00D011C2"/>
    <w:rsid w:val="00D01C13"/>
    <w:rsid w:val="00D02029"/>
    <w:rsid w:val="00D029D5"/>
    <w:rsid w:val="00D02EA2"/>
    <w:rsid w:val="00D03205"/>
    <w:rsid w:val="00D034B5"/>
    <w:rsid w:val="00D046B9"/>
    <w:rsid w:val="00D04DF4"/>
    <w:rsid w:val="00D04F80"/>
    <w:rsid w:val="00D06CDB"/>
    <w:rsid w:val="00D0741E"/>
    <w:rsid w:val="00D07B12"/>
    <w:rsid w:val="00D12E5A"/>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87C63"/>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3E72"/>
    <w:rsid w:val="00DF7B20"/>
    <w:rsid w:val="00E00B0E"/>
    <w:rsid w:val="00E01808"/>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275"/>
    <w:rsid w:val="00E749C5"/>
    <w:rsid w:val="00E76859"/>
    <w:rsid w:val="00E77387"/>
    <w:rsid w:val="00E777AA"/>
    <w:rsid w:val="00E81C77"/>
    <w:rsid w:val="00E8311A"/>
    <w:rsid w:val="00E8489A"/>
    <w:rsid w:val="00E85199"/>
    <w:rsid w:val="00E85BC9"/>
    <w:rsid w:val="00E86916"/>
    <w:rsid w:val="00E871F3"/>
    <w:rsid w:val="00E87419"/>
    <w:rsid w:val="00E908AC"/>
    <w:rsid w:val="00E90E98"/>
    <w:rsid w:val="00E92E98"/>
    <w:rsid w:val="00E94903"/>
    <w:rsid w:val="00E95DCD"/>
    <w:rsid w:val="00EA0FDA"/>
    <w:rsid w:val="00EA29F7"/>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A2C"/>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85A"/>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7C0"/>
    <w:rsid w:val="00FA4A17"/>
    <w:rsid w:val="00FA4C9D"/>
    <w:rsid w:val="00FA521D"/>
    <w:rsid w:val="00FA61CB"/>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0F01C03"/>
    <w:rsid w:val="33701023"/>
    <w:rsid w:val="337B1A67"/>
    <w:rsid w:val="33C15BE0"/>
    <w:rsid w:val="384B24CE"/>
    <w:rsid w:val="399563E3"/>
    <w:rsid w:val="39DD627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Pages>
  <Words>2451</Words>
  <Characters>13977</Characters>
  <Lines>116</Lines>
  <Paragraphs>32</Paragraphs>
  <TotalTime>2958</TotalTime>
  <ScaleCrop>false</ScaleCrop>
  <LinksUpToDate>false</LinksUpToDate>
  <CharactersWithSpaces>16396</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2026-02-12T03:43:51Z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