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outlineLvl w:val="0"/>
        <w:rPr>
          <w:rFonts w:hint="eastAsia" w:ascii="宋体" w:hAnsi="宋体"/>
          <w:b/>
          <w:kern w:val="0"/>
          <w:sz w:val="44"/>
          <w:szCs w:val="44"/>
        </w:rPr>
      </w:pPr>
      <w:r>
        <w:rPr>
          <w:rFonts w:hint="eastAsia" w:ascii="方正小标宋_GBK" w:hAnsi="宋体" w:eastAsia="方正小标宋_GBK"/>
          <w:kern w:val="0"/>
          <w:sz w:val="44"/>
          <w:szCs w:val="44"/>
        </w:rPr>
        <w:t>新疆维吾尔自治区喀什地区麦盖提县尕孜库勒乡中心幼儿园</w:t>
      </w:r>
      <w:r>
        <w:rPr>
          <w:rFonts w:hint="eastAsia" w:ascii="方正小标宋_GBK" w:hAnsi="宋体" w:eastAsia="方正小标宋_GBK"/>
          <w:kern w:val="0"/>
          <w:sz w:val="44"/>
          <w:szCs w:val="44"/>
          <w:lang w:eastAsia="zh-CN"/>
        </w:rPr>
        <w:t>2026</w:t>
      </w:r>
      <w:r>
        <w:rPr>
          <w:rFonts w:hint="eastAsia" w:ascii="方正小标宋_GBK" w:hAnsi="宋体" w:eastAsia="方正小标宋_GBK"/>
          <w:kern w:val="0"/>
          <w:sz w:val="44"/>
          <w:szCs w:val="44"/>
        </w:rPr>
        <w:t>年部门预算公开</w:t>
      </w:r>
    </w:p>
    <w:p>
      <w:pPr>
        <w:widowControl/>
        <w:jc w:val="left"/>
        <w:rPr>
          <w:rFonts w:hint="eastAsia" w:ascii="黑体" w:hAnsi="黑体" w:eastAsia="黑体" w:cs="黑体"/>
          <w:kern w:val="0"/>
          <w:sz w:val="32"/>
          <w:szCs w:val="32"/>
        </w:rPr>
      </w:pPr>
      <w:r>
        <w:rPr>
          <w:rFonts w:hint="eastAsia" w:ascii="黑体" w:hAnsi="黑体" w:eastAsia="黑体" w:cs="黑体"/>
          <w:kern w:val="0"/>
          <w:sz w:val="32"/>
          <w:szCs w:val="32"/>
        </w:rPr>
        <w:br w:type="page"/>
      </w:r>
    </w:p>
    <w:p>
      <w:pPr>
        <w:spacing w:line="600" w:lineRule="exact"/>
        <w:jc w:val="center"/>
        <w:rPr>
          <w:rFonts w:hint="eastAsia" w:ascii="黑体" w:hAnsi="黑体" w:eastAsia="黑体" w:cs="黑体"/>
          <w:kern w:val="0"/>
          <w:sz w:val="32"/>
          <w:szCs w:val="32"/>
        </w:rPr>
      </w:pPr>
      <w:r>
        <w:rPr>
          <w:rFonts w:hint="eastAsia" w:ascii="黑体" w:hAnsi="黑体" w:eastAsia="黑体" w:cs="黑体"/>
          <w:kern w:val="0"/>
          <w:sz w:val="32"/>
          <w:szCs w:val="32"/>
        </w:rPr>
        <w:t>目 录</w:t>
      </w:r>
    </w:p>
    <w:p>
      <w:pPr>
        <w:jc w:val="center"/>
        <w:rPr>
          <w:sz w:val="36"/>
          <w:szCs w:val="36"/>
        </w:rPr>
      </w:pP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第一部分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年部门概况</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二、机构设置及人员情况</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第二部分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年部门预算公开表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一、部门收支总体情况表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二、部门收入总体情况表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三、部门支出总体情况表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四、财政拨款收支预算总体情况表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六、一般公共预算基本支出情况表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七、一般公共预算项目支出情况表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八、政府性基金预算支出情况表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九、国有资本经营预算支出情况表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十、财政拨款“三公”经费支出情况表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十一、上年结转结余情况明细表</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第三部分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一、关于新疆维吾尔自治区喀什地区麦盖提县尕孜库勒乡中心幼儿园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二、关于新疆维吾尔自治区喀什地区麦盖提县尕孜库勒乡中心幼儿园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年收入预算情况说明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三、关于新疆维吾尔自治区喀什地区麦盖提县尕孜库勒乡中心幼儿园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年支出预算情况说明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四、关于新疆维吾尔自治区喀什地区麦盖提县尕孜库勒乡中心幼儿园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五、关于新疆维吾尔自治区喀什地区麦盖提县尕孜库勒乡中心幼儿园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年一般公共预算当年拨款情况说明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六、关于新疆维吾尔自治区喀什地区麦盖提县尕孜库勒乡中心幼儿园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年一般公共预算基本支出情况说明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七、关于新疆维吾尔自治区喀什地区麦盖提县尕孜库勒乡中心幼儿园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年一般公共预算项目支出情况说明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八、关于新疆维吾尔自治区喀什地区麦盖提县尕孜库勒乡中心幼儿园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年政府性基金预算拨款情况说明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九、关于新疆维吾尔自治区喀什地区麦盖提县尕孜库勒乡中心幼儿园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年国有资本经营预算拨款情况说明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十、关于新疆维吾尔自治区喀什地区麦盖提县尕孜库勒乡中心幼儿园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年财政拨款“三公”经费预算情况说明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十一、关于</w:t>
      </w:r>
      <w:bookmarkStart w:id="0" w:name="_Hlk159862468"/>
      <w:r>
        <w:rPr>
          <w:rFonts w:hint="eastAsia" w:ascii="仿宋_GB2312" w:hAnsi="仿宋_GB2312" w:eastAsia="仿宋_GB2312" w:cs="仿宋_GB2312"/>
          <w:kern w:val="0"/>
          <w:sz w:val="32"/>
          <w:szCs w:val="32"/>
        </w:rPr>
        <w:t>新疆维吾尔自治区喀什地区</w:t>
      </w:r>
      <w:bookmarkEnd w:id="0"/>
      <w:r>
        <w:rPr>
          <w:rFonts w:hint="eastAsia" w:ascii="仿宋_GB2312" w:hAnsi="仿宋_GB2312" w:eastAsia="仿宋_GB2312" w:cs="仿宋_GB2312"/>
          <w:kern w:val="0"/>
          <w:sz w:val="32"/>
          <w:szCs w:val="32"/>
        </w:rPr>
        <w:t>麦盖提县尕孜库勒乡中心幼儿园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十二、其他重要事项的情况说明</w:t>
      </w:r>
    </w:p>
    <w:p>
      <w:pPr>
        <w:widowControl/>
        <w:spacing w:line="540" w:lineRule="exact"/>
        <w:ind w:firstLine="643" w:firstLineChars="200"/>
        <w:rPr>
          <w:rFonts w:hint="eastAsia" w:ascii="仿宋_GB2312" w:hAnsi="宋体" w:eastAsia="仿宋_GB2312"/>
          <w:b/>
          <w:kern w:val="0"/>
          <w:sz w:val="32"/>
          <w:szCs w:val="32"/>
        </w:rPr>
      </w:pPr>
      <w:r>
        <w:rPr>
          <w:rFonts w:hint="eastAsia" w:ascii="仿宋_GB2312" w:hAnsi="仿宋_GB2312" w:eastAsia="仿宋_GB2312" w:cs="仿宋_GB2312"/>
          <w:b/>
          <w:kern w:val="0"/>
          <w:sz w:val="32"/>
          <w:szCs w:val="32"/>
        </w:rPr>
        <w:t>第四部分 名词解释</w:t>
      </w:r>
      <w:r>
        <w:rPr>
          <w:rFonts w:ascii="仿宋_GB2312" w:hAnsi="宋体" w:eastAsia="仿宋_GB2312"/>
          <w:b/>
          <w:kern w:val="0"/>
          <w:sz w:val="32"/>
          <w:szCs w:val="32"/>
        </w:rPr>
        <w:br w:type="page"/>
      </w:r>
    </w:p>
    <w:p>
      <w:pPr>
        <w:widowControl/>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第一部分 </w:t>
      </w:r>
      <w:bookmarkStart w:id="1" w:name="_Hlk155094649"/>
      <w:r>
        <w:rPr>
          <w:rFonts w:hint="eastAsia" w:ascii="黑体" w:hAnsi="黑体" w:eastAsia="黑体"/>
          <w:kern w:val="0"/>
          <w:sz w:val="32"/>
          <w:szCs w:val="32"/>
          <w:lang w:eastAsia="zh-CN"/>
        </w:rPr>
        <w:t>2026</w:t>
      </w:r>
      <w:r>
        <w:rPr>
          <w:rFonts w:hint="eastAsia" w:ascii="黑体" w:hAnsi="黑体" w:eastAsia="黑体"/>
          <w:kern w:val="0"/>
          <w:sz w:val="32"/>
          <w:szCs w:val="32"/>
        </w:rPr>
        <w:t>年</w:t>
      </w:r>
      <w:bookmarkEnd w:id="1"/>
      <w:r>
        <w:rPr>
          <w:rFonts w:hint="eastAsia" w:ascii="黑体" w:hAnsi="黑体" w:eastAsia="黑体"/>
          <w:kern w:val="0"/>
          <w:sz w:val="32"/>
          <w:szCs w:val="32"/>
        </w:rPr>
        <w:t>部门概况</w:t>
      </w:r>
    </w:p>
    <w:p>
      <w:pPr>
        <w:jc w:val="center"/>
        <w:rPr>
          <w:sz w:val="30"/>
          <w:szCs w:val="30"/>
        </w:rPr>
      </w:pP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w:t>
      </w:r>
      <w:bookmarkStart w:id="2" w:name="_Hlk149153910"/>
      <w:r>
        <w:rPr>
          <w:rFonts w:hint="eastAsia" w:ascii="楷体_GB2312" w:hAnsi="楷体_GB2312" w:eastAsia="楷体_GB2312" w:cs="楷体_GB2312"/>
          <w:b/>
          <w:bCs/>
          <w:kern w:val="0"/>
          <w:sz w:val="32"/>
          <w:szCs w:val="32"/>
        </w:rPr>
        <w:t>主要职能</w:t>
      </w:r>
      <w:bookmarkEnd w:id="2"/>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负责贯彻党的教育方针，坚持民主管理，依法办园，执行上级主管部门的支持和决定，实行保育和教育相结合的原则，对幼儿实施德智体美诸方面全面发展的教育，促进其身心和发展，为家长解除后顾之忧，热忱为家长服务。</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2、尊重儿童的人格尊严和基本权利，尊重儿童身心发展的特点和规律，为儿童提供健康丰富的生活和活动环境，合理组织幼儿一日生活活动和其他活动，促进幼儿德智体美等和谐发展。</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3、严格执行幼儿园安全卫生保健制度，保证幼儿身心健康和生命安全，充分利用相应的资源优势，面向家长开展多种形式的早期教育宣传、指导等服务，促进家庭教育质量的不断提高。</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4、贯彻幼儿教育法规，传播科学教育理念，开展教育科学研究、培训师资。</w:t>
      </w: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二、机构设置及人员情况</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w:t>
      </w:r>
      <w:r>
        <w:rPr>
          <w:rFonts w:ascii="仿宋_GB2312" w:hAnsi="宋体" w:eastAsia="仿宋_GB2312" w:cs="宋体"/>
          <w:kern w:val="0"/>
          <w:sz w:val="32"/>
          <w:szCs w:val="32"/>
        </w:rPr>
        <w:t>麦盖提县尕孜库勒乡中心幼儿园</w:t>
      </w:r>
      <w:r>
        <w:rPr>
          <w:rFonts w:hint="eastAsia" w:ascii="仿宋_GB2312" w:hAnsi="黑体" w:eastAsia="仿宋_GB2312" w:cs="宋体"/>
          <w:bCs/>
          <w:kern w:val="0"/>
          <w:sz w:val="32"/>
          <w:szCs w:val="32"/>
        </w:rPr>
        <w:t>无下属预算单位，下设</w:t>
      </w:r>
      <w:r>
        <w:rPr>
          <w:rFonts w:ascii="仿宋_GB2312" w:hAnsi="黑体" w:eastAsia="仿宋_GB2312" w:cs="宋体"/>
          <w:bCs/>
          <w:kern w:val="0"/>
          <w:sz w:val="32"/>
          <w:szCs w:val="32"/>
        </w:rPr>
        <w:t>1</w:t>
      </w:r>
      <w:r>
        <w:rPr>
          <w:rFonts w:hint="eastAsia" w:ascii="仿宋_GB2312" w:hAnsi="黑体" w:eastAsia="仿宋_GB2312" w:cs="宋体"/>
          <w:bCs/>
          <w:kern w:val="0"/>
          <w:sz w:val="32"/>
          <w:szCs w:val="32"/>
        </w:rPr>
        <w:t>个股室，分别是：</w:t>
      </w:r>
      <w:r>
        <w:rPr>
          <w:rFonts w:hint="eastAsia" w:ascii="仿宋_GB2312" w:hAnsi="宋体" w:eastAsia="仿宋_GB2312" w:cs="宋体"/>
          <w:kern w:val="0"/>
          <w:sz w:val="32"/>
          <w:szCs w:val="32"/>
        </w:rPr>
        <w:t>园长办公室。</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新疆维吾尔自治区喀什地区麦盖提县尕孜库勒乡中心幼儿园实有人数</w:t>
      </w:r>
      <w:r>
        <w:rPr>
          <w:rFonts w:ascii="仿宋_GB2312" w:hAnsi="宋体" w:eastAsia="仿宋_GB2312" w:cs="宋体"/>
          <w:kern w:val="0"/>
          <w:sz w:val="32"/>
          <w:szCs w:val="32"/>
        </w:rPr>
        <w:t>92</w:t>
      </w:r>
      <w:r>
        <w:rPr>
          <w:rFonts w:hint="eastAsia" w:ascii="仿宋_GB2312" w:hAnsi="宋体" w:eastAsia="仿宋_GB2312" w:cs="宋体"/>
          <w:kern w:val="0"/>
          <w:sz w:val="32"/>
          <w:szCs w:val="32"/>
        </w:rPr>
        <w:t>人，其中：在职92人，增加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人；退休</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人；离休</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w:t>
      </w:r>
    </w:p>
    <w:p>
      <w:pPr>
        <w:widowControl/>
        <w:spacing w:line="440" w:lineRule="exact"/>
        <w:jc w:val="center"/>
        <w:outlineLvl w:val="1"/>
        <w:rPr>
          <w:rFonts w:hint="eastAsia"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 xml:space="preserve">第二部分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部门预算公开表</w:t>
      </w:r>
    </w:p>
    <w:p>
      <w:pPr>
        <w:widowControl/>
        <w:jc w:val="left"/>
        <w:rPr>
          <w:rFonts w:hint="eastAsia" w:ascii="宋体" w:hAnsi="宋体"/>
          <w:bCs/>
          <w:kern w:val="0"/>
          <w:sz w:val="20"/>
          <w:szCs w:val="20"/>
        </w:rPr>
      </w:pPr>
      <w:r>
        <w:rPr>
          <w:rFonts w:hint="eastAsia" w:ascii="宋体" w:hAnsi="宋体"/>
          <w:bCs/>
          <w:kern w:val="0"/>
          <w:sz w:val="20"/>
          <w:szCs w:val="20"/>
        </w:rPr>
        <w:t>表1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部门收支总体情况表</w:t>
      </w:r>
    </w:p>
    <w:tbl>
      <w:tblPr>
        <w:tblStyle w:val="12"/>
        <w:tblW w:w="10131" w:type="dxa"/>
        <w:jc w:val="center"/>
        <w:tblInd w:w="0" w:type="dxa"/>
        <w:tblLayout w:type="fixed"/>
        <w:tblCellMar>
          <w:top w:w="0" w:type="dxa"/>
          <w:left w:w="108" w:type="dxa"/>
          <w:bottom w:w="0" w:type="dxa"/>
          <w:right w:w="108" w:type="dxa"/>
        </w:tblCellMar>
      </w:tblPr>
      <w:tblGrid>
        <w:gridCol w:w="8789"/>
        <w:gridCol w:w="1342"/>
      </w:tblGrid>
      <w:tr>
        <w:tblPrEx>
          <w:tblLayout w:type="fixed"/>
          <w:tblCellMar>
            <w:top w:w="0" w:type="dxa"/>
            <w:left w:w="108" w:type="dxa"/>
            <w:bottom w:w="0" w:type="dxa"/>
            <w:right w:w="108" w:type="dxa"/>
          </w:tblCellMar>
        </w:tblPrEx>
        <w:trPr>
          <w:trHeight w:val="170" w:hRule="atLeast"/>
          <w:jc w:val="center"/>
        </w:trPr>
        <w:tc>
          <w:tcPr>
            <w:tcW w:w="8789"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编制部门：新疆维吾尔自治区喀什地区麦盖提县尕孜库勒乡中心幼儿园</w:t>
            </w:r>
            <w:r>
              <w:rPr>
                <w:rFonts w:ascii="仿宋_GB2312" w:hAnsi="宋体" w:eastAsia="仿宋_GB2312" w:cs="宋体"/>
                <w:kern w:val="0"/>
                <w:sz w:val="24"/>
              </w:rPr>
              <w:t xml:space="preserve"> </w:t>
            </w:r>
          </w:p>
        </w:tc>
        <w:tc>
          <w:tcPr>
            <w:tcW w:w="1342"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1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4"/>
        <w:gridCol w:w="2133"/>
        <w:gridCol w:w="275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247"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收</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入</w:t>
            </w:r>
          </w:p>
        </w:tc>
        <w:tc>
          <w:tcPr>
            <w:tcW w:w="4881"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支</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exact"/>
          <w:jc w:val="center"/>
        </w:trPr>
        <w:tc>
          <w:tcPr>
            <w:tcW w:w="311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hAnsi="宋体" w:eastAsia="仿宋_GB2312" w:cs="宋体"/>
                <w:b/>
                <w:kern w:val="0"/>
                <w:sz w:val="20"/>
                <w:szCs w:val="20"/>
              </w:rPr>
              <w:t xml:space="preserve">     </w:t>
            </w:r>
            <w:r>
              <w:rPr>
                <w:rFonts w:hint="eastAsia" w:ascii="仿宋_GB2312" w:eastAsia="仿宋_GB2312" w:cs="宋体" w:hAnsiTheme="minorEastAsia"/>
                <w:b/>
                <w:bCs/>
                <w:kern w:val="0"/>
                <w:sz w:val="20"/>
                <w:szCs w:val="20"/>
              </w:rPr>
              <w:t>目</w:t>
            </w:r>
          </w:p>
        </w:tc>
        <w:tc>
          <w:tcPr>
            <w:tcW w:w="213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c>
          <w:tcPr>
            <w:tcW w:w="2755"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w:t>
            </w:r>
          </w:p>
        </w:tc>
        <w:tc>
          <w:tcPr>
            <w:tcW w:w="212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一、本年收入</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1518.78</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1518.78</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其中：一般财力</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1518.78</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上级一般公共预算安排转移支付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w:t>
            </w:r>
            <w:r>
              <w:rPr>
                <w:rFonts w:hint="eastAsia" w:ascii="仿宋_GB2312" w:hAnsi="MS Gothic" w:eastAsia="仿宋_GB2312" w:cs="MS Gothic"/>
                <w:kern w:val="0"/>
                <w:sz w:val="18"/>
                <w:szCs w:val="18"/>
                <w:cs/>
              </w:rPr>
              <w:t>‎</w:t>
            </w: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1523.00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其中：政府性基金收入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上级政府性基金安排转移支付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其中：国有资本经营收入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上级国有资本经营预算安排转移支付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其中：事业收入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上级补助收入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附属单位上缴收入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事业单位经营收入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其他收入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二、上年结转结余</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4.22</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1.财政拨款结转</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4.22</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4.22</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2.非财政拨款结余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wordWrap w:val="0"/>
              <w:spacing w:line="300" w:lineRule="exact"/>
              <w:ind w:right="2340"/>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 xml:space="preserve">     </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exact"/>
          <w:jc w:val="center"/>
        </w:trPr>
        <w:tc>
          <w:tcPr>
            <w:tcW w:w="3114"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收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入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33"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1523.00</w:t>
            </w:r>
          </w:p>
        </w:tc>
        <w:tc>
          <w:tcPr>
            <w:tcW w:w="2755"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支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出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26"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1523.00</w:t>
            </w:r>
          </w:p>
        </w:tc>
      </w:tr>
    </w:tbl>
    <w:p>
      <w:pPr>
        <w:widowControl/>
        <w:spacing w:line="20" w:lineRule="exact"/>
        <w:jc w:val="left"/>
        <w:rPr>
          <w:rFonts w:hint="eastAsia" w:ascii="黑体" w:hAnsi="黑体" w:eastAsia="黑体"/>
          <w:b/>
          <w:kern w:val="0"/>
          <w:sz w:val="30"/>
          <w:szCs w:val="30"/>
        </w:rPr>
        <w:sectPr>
          <w:footerReference r:id="rId3" w:type="default"/>
          <w:footerReference r:id="rId4" w:type="even"/>
          <w:pgSz w:w="11906" w:h="16838"/>
          <w:pgMar w:top="1134" w:right="1134" w:bottom="1134" w:left="1134" w:header="851" w:footer="992" w:gutter="0"/>
          <w:cols w:space="425" w:num="1"/>
          <w:docGrid w:type="lines" w:linePitch="312" w:charSpace="0"/>
        </w:sectPr>
      </w:pPr>
    </w:p>
    <w:p>
      <w:pPr>
        <w:widowControl/>
        <w:jc w:val="left"/>
        <w:rPr>
          <w:rFonts w:hint="eastAsia" w:ascii="仿宋_GB2312" w:hAnsi="宋体" w:eastAsia="仿宋_GB2312"/>
          <w:bCs/>
          <w:kern w:val="0"/>
          <w:sz w:val="20"/>
          <w:szCs w:val="20"/>
        </w:rPr>
      </w:pPr>
      <w:r>
        <w:rPr>
          <w:rFonts w:hint="eastAsia" w:ascii="宋体" w:hAnsi="宋体"/>
          <w:bCs/>
          <w:kern w:val="0"/>
          <w:sz w:val="20"/>
          <w:szCs w:val="20"/>
        </w:rPr>
        <w:t>表2</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部门收入总体情况表</w:t>
      </w:r>
    </w:p>
    <w:tbl>
      <w:tblPr>
        <w:tblStyle w:val="12"/>
        <w:tblW w:w="15026" w:type="dxa"/>
        <w:jc w:val="center"/>
        <w:tblInd w:w="0" w:type="dxa"/>
        <w:tblLayout w:type="fixed"/>
        <w:tblCellMar>
          <w:top w:w="0" w:type="dxa"/>
          <w:left w:w="108" w:type="dxa"/>
          <w:bottom w:w="0" w:type="dxa"/>
          <w:right w:w="108" w:type="dxa"/>
        </w:tblCellMar>
      </w:tblPr>
      <w:tblGrid>
        <w:gridCol w:w="13608"/>
        <w:gridCol w:w="1418"/>
      </w:tblGrid>
      <w:tr>
        <w:tblPrEx>
          <w:tblLayout w:type="fixed"/>
          <w:tblCellMar>
            <w:top w:w="0" w:type="dxa"/>
            <w:left w:w="108" w:type="dxa"/>
            <w:bottom w:w="0" w:type="dxa"/>
            <w:right w:w="108" w:type="dxa"/>
          </w:tblCellMar>
        </w:tblPrEx>
        <w:trPr>
          <w:trHeight w:val="246" w:hRule="atLeast"/>
          <w:jc w:val="center"/>
        </w:trPr>
        <w:tc>
          <w:tcPr>
            <w:tcW w:w="13608"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编制部门：新疆维吾尔自治区喀什地区麦盖提县尕孜库勒乡中心幼儿园</w:t>
            </w:r>
          </w:p>
        </w:tc>
        <w:tc>
          <w:tcPr>
            <w:tcW w:w="1418" w:type="dxa"/>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50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559"/>
        <w:gridCol w:w="1843"/>
        <w:gridCol w:w="1559"/>
        <w:gridCol w:w="850"/>
        <w:gridCol w:w="851"/>
        <w:gridCol w:w="850"/>
        <w:gridCol w:w="851"/>
        <w:gridCol w:w="850"/>
        <w:gridCol w:w="851"/>
        <w:gridCol w:w="709"/>
        <w:gridCol w:w="708"/>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1" w:hRule="atLeast"/>
          <w:tblHeader/>
          <w:jc w:val="center"/>
        </w:trPr>
        <w:tc>
          <w:tcPr>
            <w:tcW w:w="2122" w:type="dxa"/>
            <w:gridSpan w:val="3"/>
            <w:tcBorders>
              <w:top w:val="single" w:color="auto" w:sz="4" w:space="0"/>
            </w:tcBorders>
            <w:vAlign w:val="center"/>
          </w:tcPr>
          <w:p>
            <w:pPr>
              <w:jc w:val="center"/>
              <w:rPr>
                <w:rFonts w:hint="eastAsia" w:ascii="仿宋_GB2312" w:eastAsia="仿宋_GB2312" w:hAnsiTheme="minorEastAsia"/>
                <w:b/>
                <w:color w:val="000000"/>
                <w:sz w:val="24"/>
              </w:rPr>
            </w:pPr>
            <w:r>
              <w:rPr>
                <w:rFonts w:hint="eastAsia" w:ascii="仿宋_GB2312" w:eastAsia="仿宋_GB2312" w:hAnsiTheme="minorEastAsia"/>
                <w:b/>
                <w:color w:val="000000"/>
                <w:sz w:val="24"/>
              </w:rPr>
              <w:t>功能分类</w:t>
            </w:r>
          </w:p>
          <w:p>
            <w:pPr>
              <w:jc w:val="center"/>
              <w:rPr>
                <w:rFonts w:hint="eastAsia" w:ascii="仿宋_GB2312" w:eastAsia="仿宋_GB2312" w:cs="宋体" w:hAnsiTheme="minorEastAsia"/>
                <w:b/>
                <w:color w:val="000000"/>
                <w:sz w:val="24"/>
              </w:rPr>
            </w:pPr>
            <w:r>
              <w:rPr>
                <w:rFonts w:hint="eastAsia" w:ascii="仿宋_GB2312" w:eastAsia="仿宋_GB2312" w:hAnsiTheme="minorEastAsia"/>
                <w:b/>
                <w:color w:val="000000"/>
                <w:sz w:val="24"/>
              </w:rPr>
              <w:t>科目编码</w:t>
            </w:r>
          </w:p>
        </w:tc>
        <w:tc>
          <w:tcPr>
            <w:tcW w:w="1559"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功能分类科目名称</w:t>
            </w:r>
          </w:p>
        </w:tc>
        <w:tc>
          <w:tcPr>
            <w:tcW w:w="1843"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总 计</w:t>
            </w:r>
          </w:p>
        </w:tc>
        <w:tc>
          <w:tcPr>
            <w:tcW w:w="6662" w:type="dxa"/>
            <w:gridSpan w:val="7"/>
            <w:tcBorders>
              <w:top w:val="single" w:color="auto" w:sz="4" w:space="0"/>
            </w:tcBorders>
            <w:vAlign w:val="center"/>
          </w:tcPr>
          <w:p>
            <w:pPr>
              <w:jc w:val="center"/>
              <w:rPr>
                <w:rFonts w:hint="eastAsia" w:ascii="仿宋_GB2312" w:eastAsia="仿宋_GB2312" w:cs="宋体" w:hAnsiTheme="minorEastAsia"/>
                <w:b/>
                <w:color w:val="000000"/>
                <w:sz w:val="24"/>
              </w:rPr>
            </w:pPr>
            <w:r>
              <w:rPr>
                <w:rFonts w:hint="eastAsia" w:ascii="仿宋_GB2312" w:eastAsia="仿宋_GB2312" w:cs="宋体" w:hAnsiTheme="minorEastAsia"/>
                <w:b/>
                <w:color w:val="000000"/>
                <w:sz w:val="24"/>
              </w:rPr>
              <w:t xml:space="preserve">财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政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拨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款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补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助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财政专户（教育收费）</w:t>
            </w:r>
          </w:p>
        </w:tc>
        <w:tc>
          <w:tcPr>
            <w:tcW w:w="708"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单位资金</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财政拨款结转</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tblHeader/>
          <w:jc w:val="center"/>
        </w:trPr>
        <w:tc>
          <w:tcPr>
            <w:tcW w:w="704"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类</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款</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项</w:t>
            </w:r>
          </w:p>
        </w:tc>
        <w:tc>
          <w:tcPr>
            <w:tcW w:w="1559" w:type="dxa"/>
            <w:vMerge w:val="continue"/>
            <w:vAlign w:val="center"/>
          </w:tcPr>
          <w:p>
            <w:pPr>
              <w:rPr>
                <w:rFonts w:hint="eastAsia" w:cs="宋体" w:asciiTheme="minorEastAsia" w:hAnsiTheme="minorEastAsia" w:eastAsiaTheme="minorEastAsia"/>
                <w:b/>
                <w:color w:val="000000"/>
                <w:sz w:val="20"/>
                <w:szCs w:val="20"/>
              </w:rPr>
            </w:pPr>
          </w:p>
        </w:tc>
        <w:tc>
          <w:tcPr>
            <w:tcW w:w="1843" w:type="dxa"/>
            <w:vMerge w:val="continue"/>
            <w:vAlign w:val="center"/>
          </w:tcPr>
          <w:p>
            <w:pPr>
              <w:rPr>
                <w:rFonts w:hint="eastAsia" w:cs="宋体" w:asciiTheme="minorEastAsia" w:hAnsiTheme="minorEastAsia" w:eastAsia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财政拨款（补助）小计</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一般公共预算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上级一般公共预算安排的转</w:t>
            </w:r>
          </w:p>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政府性基金预算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上级政府性基金安排的转移支付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国有资本经营预算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上级国有资本经营预算安排的转移支付</w:t>
            </w: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8"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教育支出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1523.00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1518.78</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1518.78</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4.22</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普通教育</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1523.00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1518.78</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1518.78</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4.22</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学前教育</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1523.00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1518.78</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1518.78</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4.22</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合计</w:t>
            </w:r>
          </w:p>
        </w:tc>
        <w:tc>
          <w:tcPr>
            <w:tcW w:w="1843"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1523.00</w:t>
            </w: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1518.78</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1518.78</w:t>
            </w: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8"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4.22</w:t>
            </w:r>
          </w:p>
        </w:tc>
        <w:tc>
          <w:tcPr>
            <w:tcW w:w="709" w:type="dxa"/>
            <w:vAlign w:val="center"/>
          </w:tcPr>
          <w:p>
            <w:pPr>
              <w:jc w:val="center"/>
              <w:rPr>
                <w:rFonts w:hint="eastAsia" w:ascii="仿宋_GB2312" w:eastAsia="仿宋_GB2312" w:cs="宋体" w:hAnsiTheme="minorEastAsia"/>
                <w:b/>
                <w:color w:val="000000"/>
                <w:sz w:val="20"/>
                <w:szCs w:val="20"/>
              </w:rPr>
            </w:pPr>
          </w:p>
        </w:tc>
      </w:tr>
    </w:tbl>
    <w:p>
      <w:pPr>
        <w:widowControl/>
        <w:spacing w:line="20" w:lineRule="exact"/>
        <w:jc w:val="left"/>
        <w:rPr>
          <w:rFonts w:hint="eastAsia" w:ascii="宋体" w:hAnsi="宋体"/>
          <w:bCs/>
          <w:kern w:val="0"/>
          <w:sz w:val="20"/>
          <w:szCs w:val="20"/>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表3</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部门支出总体情况表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center"/>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编制部门：新疆维吾尔自治区喀什地区麦盖提县尕孜库勒乡中心幼儿园</w:t>
            </w:r>
          </w:p>
        </w:tc>
        <w:tc>
          <w:tcPr>
            <w:tcW w:w="1418" w:type="dxa"/>
            <w:vAlign w:val="center"/>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709"/>
        <w:gridCol w:w="709"/>
        <w:gridCol w:w="3510"/>
        <w:gridCol w:w="1984"/>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2014"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510"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984"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tblHeader/>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510"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4"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教育支出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1523.00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1518.78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普通教育</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1523.00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1518.78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学前教育</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1523.00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1518.78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3510"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984"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1523.00</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1518.78</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4.22</w:t>
            </w:r>
          </w:p>
        </w:tc>
      </w:tr>
    </w:tbl>
    <w:p>
      <w:pPr>
        <w:widowControl/>
        <w:jc w:val="left"/>
        <w:rPr>
          <w:rFonts w:hint="eastAsia" w:ascii="宋体" w:hAnsi="宋体"/>
          <w:bCs/>
          <w:kern w:val="0"/>
          <w:sz w:val="20"/>
          <w:szCs w:val="20"/>
        </w:rPr>
      </w:pPr>
      <w:r>
        <w:rPr>
          <w:rFonts w:ascii="微软雅黑" w:hAnsi="Calibri" w:eastAsia="微软雅黑"/>
          <w:b/>
          <w:bCs/>
          <w:kern w:val="44"/>
          <w:sz w:val="2"/>
          <w:szCs w:val="2"/>
        </w:rPr>
        <w:br w:type="page"/>
      </w:r>
      <w:r>
        <w:rPr>
          <w:rFonts w:hint="eastAsia" w:ascii="宋体" w:hAnsi="宋体"/>
          <w:bCs/>
          <w:kern w:val="0"/>
          <w:sz w:val="20"/>
          <w:szCs w:val="20"/>
        </w:rPr>
        <w:t>表4</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编制部门：新疆维吾尔自治区喀什地区麦盖提县尕孜库勒乡中心幼儿园</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21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1113"/>
        <w:gridCol w:w="2719"/>
        <w:gridCol w:w="1139"/>
        <w:gridCol w:w="1129"/>
        <w:gridCol w:w="992"/>
        <w:gridCol w:w="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4" w:hRule="atLeast"/>
          <w:tblHeader/>
          <w:jc w:val="center"/>
        </w:trPr>
        <w:tc>
          <w:tcPr>
            <w:tcW w:w="3235"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财政拨款收入</w:t>
            </w:r>
          </w:p>
        </w:tc>
        <w:tc>
          <w:tcPr>
            <w:tcW w:w="6976" w:type="dxa"/>
            <w:gridSpan w:val="5"/>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7" w:hRule="atLeast"/>
          <w:tblHeader/>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eastAsia="仿宋_GB2312" w:cs="宋体" w:hAnsiTheme="minorEastAsia"/>
                <w:b/>
                <w:kern w:val="0"/>
                <w:sz w:val="20"/>
                <w:szCs w:val="20"/>
              </w:rPr>
              <w:t xml:space="preserve">    </w:t>
            </w:r>
            <w:r>
              <w:rPr>
                <w:rFonts w:hint="eastAsia" w:ascii="仿宋_GB2312" w:eastAsia="仿宋_GB2312" w:cs="宋体" w:hAnsiTheme="minorEastAsia"/>
                <w:b/>
                <w:bCs/>
                <w:kern w:val="0"/>
                <w:sz w:val="20"/>
                <w:szCs w:val="20"/>
              </w:rPr>
              <w:t>目</w:t>
            </w:r>
          </w:p>
        </w:tc>
        <w:tc>
          <w:tcPr>
            <w:tcW w:w="111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  能  分  类</w:t>
            </w:r>
          </w:p>
        </w:tc>
        <w:tc>
          <w:tcPr>
            <w:tcW w:w="113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112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一般公共预算</w:t>
            </w:r>
          </w:p>
        </w:tc>
        <w:tc>
          <w:tcPr>
            <w:tcW w:w="99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政府性基金</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w:t>
            </w:r>
          </w:p>
        </w:tc>
        <w:tc>
          <w:tcPr>
            <w:tcW w:w="997"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一、财政拨款（补助）</w:t>
            </w:r>
            <w:r>
              <w:rPr>
                <w:rFonts w:hint="eastAsia" w:ascii="仿宋_GB2312" w:hAnsi="MS Gothic" w:eastAsia="仿宋_GB2312" w:cs="MS Gothic"/>
                <w:kern w:val="0"/>
                <w:sz w:val="18"/>
                <w:szCs w:val="18"/>
                <w:cs/>
              </w:rPr>
              <w:t>‎</w:t>
            </w:r>
          </w:p>
        </w:tc>
        <w:tc>
          <w:tcPr>
            <w:tcW w:w="1113"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1518.78</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一般公共预算</w:t>
            </w:r>
          </w:p>
        </w:tc>
        <w:tc>
          <w:tcPr>
            <w:tcW w:w="1113"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1518.78</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w:t>
            </w:r>
          </w:p>
        </w:tc>
        <w:tc>
          <w:tcPr>
            <w:tcW w:w="1113"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w:t>
            </w:r>
          </w:p>
        </w:tc>
        <w:tc>
          <w:tcPr>
            <w:tcW w:w="1113"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1518.78</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1518.78</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5" w:hRule="exact"/>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收 入 总 计</w:t>
            </w:r>
          </w:p>
        </w:tc>
        <w:tc>
          <w:tcPr>
            <w:tcW w:w="1113"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1518.78</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 出 总 计</w:t>
            </w:r>
          </w:p>
        </w:tc>
        <w:tc>
          <w:tcPr>
            <w:tcW w:w="113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1518.78</w:t>
            </w:r>
          </w:p>
        </w:tc>
        <w:tc>
          <w:tcPr>
            <w:tcW w:w="112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color w:val="000000"/>
                <w:kern w:val="0"/>
                <w:sz w:val="20"/>
                <w:szCs w:val="20"/>
              </w:rPr>
              <w:t>1518.78</w:t>
            </w:r>
          </w:p>
        </w:tc>
        <w:tc>
          <w:tcPr>
            <w:tcW w:w="992" w:type="dxa"/>
            <w:vAlign w:val="center"/>
          </w:tcPr>
          <w:p>
            <w:pPr>
              <w:widowControl/>
              <w:jc w:val="right"/>
              <w:rPr>
                <w:rFonts w:hint="eastAsia" w:ascii="仿宋_GB2312" w:eastAsia="仿宋_GB2312" w:cs="宋体" w:hAnsiTheme="minorEastAsia"/>
                <w:b/>
                <w:bCs/>
                <w:kern w:val="0"/>
                <w:sz w:val="20"/>
                <w:szCs w:val="20"/>
              </w:rPr>
            </w:pPr>
          </w:p>
        </w:tc>
        <w:tc>
          <w:tcPr>
            <w:tcW w:w="997" w:type="dxa"/>
            <w:vAlign w:val="center"/>
          </w:tcPr>
          <w:p>
            <w:pPr>
              <w:widowControl/>
              <w:jc w:val="right"/>
              <w:rPr>
                <w:rFonts w:hint="eastAsia" w:ascii="仿宋_GB2312" w:eastAsia="仿宋_GB2312" w:cs="宋体" w:hAnsiTheme="minorEastAsia"/>
                <w:b/>
                <w:bCs/>
                <w:kern w:val="0"/>
                <w:sz w:val="20"/>
                <w:szCs w:val="20"/>
              </w:rPr>
            </w:pPr>
          </w:p>
        </w:tc>
      </w:tr>
    </w:tbl>
    <w:p>
      <w:pPr>
        <w:widowControl/>
        <w:spacing w:line="20" w:lineRule="exact"/>
        <w:jc w:val="left"/>
        <w:rPr>
          <w:rFonts w:ascii="微软雅黑" w:hAnsi="Calibri" w:eastAsia="微软雅黑"/>
          <w:b/>
          <w:bCs/>
          <w:kern w:val="44"/>
          <w:sz w:val="24"/>
        </w:rPr>
      </w:pPr>
      <w:r>
        <w:rPr>
          <w:rFonts w:ascii="微软雅黑" w:hAnsi="Calibri" w:eastAsia="微软雅黑"/>
          <w:b/>
          <w:bCs/>
          <w:kern w:val="44"/>
          <w:sz w:val="24"/>
        </w:rPr>
        <w:br w:type="page"/>
      </w:r>
    </w:p>
    <w:p>
      <w:pPr>
        <w:widowControl/>
        <w:jc w:val="left"/>
        <w:rPr>
          <w:rFonts w:hint="eastAsia" w:ascii="宋体" w:hAnsi="宋体"/>
          <w:bCs/>
          <w:kern w:val="0"/>
          <w:sz w:val="20"/>
          <w:szCs w:val="20"/>
        </w:rPr>
      </w:pPr>
      <w:r>
        <w:rPr>
          <w:rFonts w:hint="eastAsia" w:ascii="宋体" w:hAnsi="宋体"/>
          <w:bCs/>
          <w:kern w:val="0"/>
          <w:sz w:val="20"/>
          <w:szCs w:val="20"/>
        </w:rPr>
        <w:t>表5</w:t>
      </w:r>
    </w:p>
    <w:p>
      <w:pPr>
        <w:widowControl/>
        <w:jc w:val="center"/>
        <w:outlineLvl w:val="2"/>
        <w:rPr>
          <w:rFonts w:ascii="微软雅黑" w:hAnsi="Calibri" w:eastAsia="微软雅黑"/>
          <w:b/>
          <w:bCs/>
          <w:kern w:val="44"/>
          <w:sz w:val="32"/>
          <w:szCs w:val="32"/>
        </w:rPr>
      </w:pPr>
      <w:r>
        <w:rPr>
          <w:rFonts w:hint="eastAsia" w:ascii="仿宋_GB2312" w:hAnsi="宋体" w:eastAsia="仿宋_GB2312"/>
          <w:b/>
          <w:kern w:val="0"/>
          <w:sz w:val="32"/>
          <w:szCs w:val="32"/>
        </w:rPr>
        <w:t>一般公共预算支出情况表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编制部门：新疆维吾尔自治区喀什地区麦盖提县尕孜库勒乡中心幼儿园</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709"/>
        <w:gridCol w:w="769"/>
        <w:gridCol w:w="3146"/>
        <w:gridCol w:w="1559"/>
        <w:gridCol w:w="127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3" w:hRule="atLeast"/>
          <w:tblHeader/>
          <w:jc w:val="center"/>
        </w:trPr>
        <w:tc>
          <w:tcPr>
            <w:tcW w:w="5382"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blHeader/>
          <w:jc w:val="center"/>
        </w:trPr>
        <w:tc>
          <w:tcPr>
            <w:tcW w:w="2236"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14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559"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  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701"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jc w:val="center"/>
        </w:trPr>
        <w:tc>
          <w:tcPr>
            <w:tcW w:w="75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6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14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559"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701"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教育支出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1518.78</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1518.78</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普通教育</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1518.78</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1518.78</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学前教育</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1518.78</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1518.78</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20"/>
                <w:szCs w:val="20"/>
              </w:rPr>
            </w:pPr>
          </w:p>
        </w:tc>
        <w:tc>
          <w:tcPr>
            <w:tcW w:w="709" w:type="dxa"/>
            <w:vAlign w:val="center"/>
          </w:tcPr>
          <w:p>
            <w:pPr>
              <w:widowControl/>
              <w:jc w:val="center"/>
              <w:rPr>
                <w:rFonts w:hint="eastAsia" w:ascii="仿宋_GB2312" w:eastAsia="仿宋_GB2312" w:cs="宋体" w:hAnsiTheme="minorEastAsia"/>
                <w:color w:val="000000"/>
                <w:kern w:val="0"/>
                <w:sz w:val="20"/>
                <w:szCs w:val="20"/>
              </w:rPr>
            </w:pPr>
          </w:p>
        </w:tc>
        <w:tc>
          <w:tcPr>
            <w:tcW w:w="769" w:type="dxa"/>
            <w:vAlign w:val="center"/>
          </w:tcPr>
          <w:p>
            <w:pPr>
              <w:widowControl/>
              <w:jc w:val="center"/>
              <w:rPr>
                <w:rFonts w:hint="eastAsia" w:ascii="仿宋_GB2312" w:eastAsia="仿宋_GB2312" w:cs="宋体" w:hAnsiTheme="minorEastAsia"/>
                <w:color w:val="000000"/>
                <w:kern w:val="0"/>
                <w:sz w:val="20"/>
                <w:szCs w:val="20"/>
              </w:rPr>
            </w:pPr>
          </w:p>
        </w:tc>
        <w:tc>
          <w:tcPr>
            <w:tcW w:w="314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559"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1518.78</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1518.78</w:t>
            </w:r>
          </w:p>
        </w:tc>
        <w:tc>
          <w:tcPr>
            <w:tcW w:w="1701" w:type="dxa"/>
            <w:vAlign w:val="center"/>
          </w:tcPr>
          <w:p>
            <w:pPr>
              <w:widowControl/>
              <w:jc w:val="right"/>
              <w:rPr>
                <w:rFonts w:hint="eastAsia" w:ascii="仿宋_GB2312" w:eastAsia="仿宋_GB2312" w:cs="宋体" w:hAnsiTheme="minorEastAsia"/>
                <w:b/>
                <w:bCs/>
                <w:color w:val="000000"/>
                <w:kern w:val="0"/>
                <w:sz w:val="20"/>
                <w:szCs w:val="20"/>
              </w:rPr>
            </w:pPr>
          </w:p>
        </w:tc>
      </w:tr>
    </w:tbl>
    <w:p>
      <w:pPr>
        <w:widowControl/>
        <w:spacing w:line="20" w:lineRule="exact"/>
        <w:jc w:val="left"/>
        <w:rPr>
          <w:rFonts w:hint="eastAsia" w:cs="宋体" w:asciiTheme="minorEastAsia" w:hAnsiTheme="minorEastAsia" w:eastAsiaTheme="minorEastAsia"/>
          <w:kern w:val="0"/>
          <w:sz w:val="18"/>
          <w:szCs w:val="18"/>
        </w:rPr>
      </w:pPr>
      <w:r>
        <w:rPr>
          <w:rFonts w:cs="宋体" w:asciiTheme="minorEastAsia" w:hAnsiTheme="minorEastAsia" w:eastAsiaTheme="minorEastAsia"/>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表6</w:t>
      </w:r>
    </w:p>
    <w:p>
      <w:pPr>
        <w:widowControl/>
        <w:jc w:val="center"/>
        <w:outlineLvl w:val="2"/>
        <w:rPr>
          <w:sz w:val="22"/>
          <w:szCs w:val="28"/>
        </w:rPr>
      </w:pPr>
      <w:r>
        <w:rPr>
          <w:rFonts w:hint="eastAsia" w:ascii="仿宋_GB2312" w:hAnsi="宋体" w:eastAsia="仿宋_GB2312"/>
          <w:b/>
          <w:kern w:val="0"/>
          <w:sz w:val="32"/>
          <w:szCs w:val="32"/>
        </w:rPr>
        <w:t>一般公共预算基本支出情况表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编制部门：新疆维吾尔自治区喀什地区麦盖提县尕孜库勒乡中心幼儿园</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992"/>
        <w:gridCol w:w="3118"/>
        <w:gridCol w:w="1985"/>
        <w:gridCol w:w="1417"/>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blHeader/>
          <w:jc w:val="center"/>
        </w:trPr>
        <w:tc>
          <w:tcPr>
            <w:tcW w:w="5098"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820"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9" w:hRule="atLeast"/>
          <w:tblHeader/>
          <w:jc w:val="center"/>
        </w:trPr>
        <w:tc>
          <w:tcPr>
            <w:tcW w:w="1980" w:type="dxa"/>
            <w:gridSpan w:val="2"/>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经济分类科目编码</w:t>
            </w:r>
          </w:p>
        </w:tc>
        <w:tc>
          <w:tcPr>
            <w:tcW w:w="31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经济分类科目名称</w:t>
            </w:r>
          </w:p>
        </w:tc>
        <w:tc>
          <w:tcPr>
            <w:tcW w:w="1985"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417"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人员经费</w:t>
            </w:r>
          </w:p>
        </w:tc>
        <w:tc>
          <w:tcPr>
            <w:tcW w:w="14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blHeader/>
          <w:jc w:val="center"/>
        </w:trPr>
        <w:tc>
          <w:tcPr>
            <w:tcW w:w="98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992"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3118"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5"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7"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8"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1518.69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1518.69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基本工资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390.78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390.78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津贴补贴</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264.13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264.13</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242.30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242.30</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绩效工资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238.07</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238.07</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08</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158.99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158.99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10</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职工基本医疗保险缴费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68.67</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68.67</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其他社会保障缴费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8.15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8.15</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134.61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134.61</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12.99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12.99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0.09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0.09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20"/>
                <w:szCs w:val="20"/>
              </w:rPr>
            </w:pPr>
          </w:p>
        </w:tc>
        <w:tc>
          <w:tcPr>
            <w:tcW w:w="992" w:type="dxa"/>
            <w:vAlign w:val="center"/>
          </w:tcPr>
          <w:p>
            <w:pPr>
              <w:widowControl/>
              <w:jc w:val="center"/>
              <w:rPr>
                <w:rFonts w:hint="eastAsia" w:ascii="仿宋_GB2312" w:eastAsia="仿宋_GB2312" w:cs="宋体" w:hAnsiTheme="minorEastAsia"/>
                <w:color w:val="000000"/>
                <w:kern w:val="0"/>
                <w:sz w:val="20"/>
                <w:szCs w:val="20"/>
              </w:rPr>
            </w:pPr>
          </w:p>
        </w:tc>
        <w:tc>
          <w:tcPr>
            <w:tcW w:w="311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985"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1518.78</w:t>
            </w:r>
          </w:p>
        </w:tc>
        <w:tc>
          <w:tcPr>
            <w:tcW w:w="1417" w:type="dxa"/>
            <w:vAlign w:val="center"/>
          </w:tcPr>
          <w:p>
            <w:pPr>
              <w:widowControl/>
              <w:ind w:right="147" w:rightChars="70"/>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1518.69</w:t>
            </w:r>
          </w:p>
        </w:tc>
        <w:tc>
          <w:tcPr>
            <w:tcW w:w="1418"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0.09</w:t>
            </w: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宋体" w:hAnsi="宋体"/>
          <w:bCs/>
          <w:kern w:val="0"/>
          <w:sz w:val="20"/>
          <w:szCs w:val="20"/>
        </w:rPr>
        <w:sectPr>
          <w:pgSz w:w="11906" w:h="16838"/>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表7</w:t>
      </w:r>
    </w:p>
    <w:p>
      <w:pPr>
        <w:widowControl/>
        <w:jc w:val="center"/>
        <w:outlineLvl w:val="2"/>
        <w:rPr>
          <w:rFonts w:hint="eastAsia" w:ascii="仿宋_GB2312" w:hAnsi="宋体" w:eastAsia="仿宋_GB2312"/>
          <w:b/>
          <w:kern w:val="0"/>
          <w:sz w:val="36"/>
          <w:szCs w:val="36"/>
        </w:rPr>
      </w:pPr>
      <w:r>
        <w:rPr>
          <w:rFonts w:hint="eastAsia" w:ascii="仿宋_GB2312" w:hAnsi="宋体" w:eastAsia="仿宋_GB2312"/>
          <w:b/>
          <w:kern w:val="0"/>
          <w:sz w:val="32"/>
          <w:szCs w:val="32"/>
        </w:rPr>
        <w:t>一般公共预算项目支出情况表</w:t>
      </w:r>
    </w:p>
    <w:tbl>
      <w:tblPr>
        <w:tblStyle w:val="12"/>
        <w:tblW w:w="1488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6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13467" w:type="dxa"/>
            <w:tcBorders>
              <w:top w:val="nil"/>
              <w:left w:val="nil"/>
              <w:bottom w:val="nil"/>
              <w:right w:val="nil"/>
            </w:tcBorders>
            <w:vAlign w:val="bottom"/>
          </w:tcPr>
          <w:p>
            <w:pPr>
              <w:widowControl/>
              <w:ind w:left="-122"/>
              <w:jc w:val="left"/>
              <w:rPr>
                <w:rFonts w:hint="eastAsia" w:ascii="仿宋_GB2312" w:hAnsi="宋体" w:eastAsia="仿宋_GB2312" w:cs="宋体"/>
                <w:color w:val="000000"/>
                <w:kern w:val="0"/>
                <w:sz w:val="24"/>
              </w:rPr>
            </w:pPr>
            <w:r>
              <w:rPr>
                <w:rFonts w:hint="eastAsia" w:ascii="仿宋_GB2312" w:hAnsi="宋体" w:eastAsia="仿宋_GB2312" w:cs="宋体"/>
                <w:kern w:val="0"/>
                <w:sz w:val="24"/>
              </w:rPr>
              <w:t>编制部门：新疆维吾尔自治区喀什地区麦盖提县尕孜库勒乡中心幼儿园</w:t>
            </w:r>
          </w:p>
        </w:tc>
        <w:tc>
          <w:tcPr>
            <w:tcW w:w="1417" w:type="dxa"/>
            <w:tcBorders>
              <w:top w:val="nil"/>
              <w:left w:val="nil"/>
              <w:bottom w:val="nil"/>
              <w:right w:val="nil"/>
            </w:tcBorders>
            <w:vAlign w:val="bottom"/>
          </w:tcPr>
          <w:p>
            <w:pPr>
              <w:widowControl/>
              <w:jc w:val="righ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bl>
    <w:p>
      <w:pPr>
        <w:spacing w:line="20" w:lineRule="exact"/>
        <w:rPr>
          <w:sz w:val="2"/>
          <w:szCs w:val="2"/>
        </w:rPr>
      </w:pPr>
    </w:p>
    <w:tbl>
      <w:tblPr>
        <w:tblStyle w:val="12"/>
        <w:tblW w:w="1487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842"/>
        <w:gridCol w:w="2127"/>
        <w:gridCol w:w="1417"/>
        <w:gridCol w:w="709"/>
        <w:gridCol w:w="709"/>
        <w:gridCol w:w="708"/>
        <w:gridCol w:w="709"/>
        <w:gridCol w:w="851"/>
        <w:gridCol w:w="708"/>
        <w:gridCol w:w="851"/>
        <w:gridCol w:w="709"/>
        <w:gridCol w:w="708"/>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blHeader/>
          <w:jc w:val="center"/>
        </w:trPr>
        <w:tc>
          <w:tcPr>
            <w:tcW w:w="2122"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 目 编 码</w:t>
            </w:r>
          </w:p>
        </w:tc>
        <w:tc>
          <w:tcPr>
            <w:tcW w:w="1842"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科目名称</w:t>
            </w:r>
          </w:p>
        </w:tc>
        <w:tc>
          <w:tcPr>
            <w:tcW w:w="2127" w:type="dxa"/>
            <w:vMerge w:val="restart"/>
            <w:tcBorders>
              <w:top w:val="single" w:color="auto" w:sz="4" w:space="0"/>
            </w:tcBorders>
            <w:vAlign w:val="center"/>
          </w:tcPr>
          <w:p>
            <w:pPr>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项目名称</w:t>
            </w:r>
          </w:p>
        </w:tc>
        <w:tc>
          <w:tcPr>
            <w:tcW w:w="1417"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r>
              <w:rPr>
                <w:rFonts w:ascii="仿宋_GB2312" w:eastAsia="仿宋_GB2312" w:cs="宋体" w:hAnsiTheme="minorEastAsia"/>
                <w:b/>
                <w:bCs/>
                <w:color w:val="000000"/>
                <w:kern w:val="0"/>
                <w:sz w:val="20"/>
                <w:szCs w:val="20"/>
              </w:rPr>
              <w:t>合计</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工资福利支出</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商品和服务支出</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对个人和家庭的补助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债务利息及费用支出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性支出（基本建设）</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资本性支出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对企业补助（基本建设）</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对社会保障基金补助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其他</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blHeader/>
          <w:jc w:val="center"/>
        </w:trPr>
        <w:tc>
          <w:tcPr>
            <w:tcW w:w="704"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1842"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2127" w:type="dxa"/>
            <w:vMerge w:val="continue"/>
          </w:tcPr>
          <w:p>
            <w:pPr>
              <w:widowControl/>
              <w:jc w:val="left"/>
              <w:rPr>
                <w:rFonts w:hint="eastAsia" w:ascii="仿宋_GB2312" w:eastAsia="仿宋_GB2312" w:cs="宋体" w:hAnsiTheme="minorEastAsia"/>
                <w:b/>
                <w:bCs/>
                <w:color w:val="000000"/>
                <w:kern w:val="0"/>
                <w:sz w:val="20"/>
                <w:szCs w:val="20"/>
              </w:rPr>
            </w:pPr>
          </w:p>
        </w:tc>
        <w:tc>
          <w:tcPr>
            <w:tcW w:w="1417"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1842" w:type="dxa"/>
            <w:vAlign w:val="center"/>
          </w:tcPr>
          <w:p>
            <w:pPr>
              <w:widowControl/>
              <w:jc w:val="center"/>
              <w:outlineLvl w:val="1"/>
              <w:rPr>
                <w:rFonts w:hint="eastAsia" w:ascii="仿宋_GB2312" w:eastAsia="仿宋_GB2312" w:hAnsiTheme="minorEastAsia"/>
                <w:kern w:val="0"/>
                <w:sz w:val="20"/>
                <w:szCs w:val="20"/>
              </w:rPr>
            </w:pPr>
          </w:p>
        </w:tc>
        <w:tc>
          <w:tcPr>
            <w:tcW w:w="212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合计</w:t>
            </w:r>
          </w:p>
        </w:tc>
        <w:tc>
          <w:tcPr>
            <w:tcW w:w="1417"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pStyle w:val="8"/>
              <w:shd w:val="clear" w:color="auto" w:fill="FFFFFF"/>
              <w:jc w:val="center"/>
              <w:rPr>
                <w:rFonts w:hint="default" w:ascii="仿宋_GB2312" w:hAnsi="Courier New" w:eastAsia="仿宋_GB2312" w:cs="Courier New"/>
                <w:color w:val="080808"/>
                <w:sz w:val="20"/>
                <w:szCs w:val="20"/>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备注：新疆维吾尔自治区喀什地区麦盖提县尕孜库勒乡中心幼儿园</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年没有使用一般公共预算安排的支出，一般公共预算项目支出情况表为空表。</w:t>
      </w:r>
    </w:p>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仿宋_GB2312" w:hAnsi="宋体" w:eastAsia="仿宋_GB2312" w:cs="宋体"/>
          <w:b/>
          <w:bCs/>
          <w:color w:val="000000"/>
          <w:kern w:val="0"/>
          <w:sz w:val="18"/>
          <w:szCs w:val="18"/>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表8</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编制部门：新疆维吾尔自治区喀什地区麦盖提县尕孜库勒乡中心幼儿园</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3402"/>
        <w:gridCol w:w="1134"/>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536"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340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exac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3402"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8" w:hRule="atLeast"/>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340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134"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备注：新疆维吾尔自治区喀什地区麦盖提县尕孜库勒乡中心幼儿园</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年没有使用政府性基金预算拨款安排的支出，政府性基金预算支出情况表为空表。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表9</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编制部门：新疆维吾尔自治区喀什地区麦盖提县尕孜库勒乡中心幼儿园</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2948"/>
        <w:gridCol w:w="1446"/>
        <w:gridCol w:w="1134"/>
        <w:gridCol w:w="1134"/>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07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99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2948"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44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2948" w:type="dxa"/>
            <w:vMerge w:val="continue"/>
            <w:vAlign w:val="center"/>
          </w:tcPr>
          <w:p>
            <w:pPr>
              <w:widowControl/>
              <w:jc w:val="left"/>
              <w:rPr>
                <w:rFonts w:hint="eastAsia" w:ascii="仿宋_GB2312" w:eastAsia="仿宋_GB2312" w:cs="宋体" w:hAnsiTheme="minorEastAsia"/>
                <w:b/>
                <w:bCs/>
                <w:kern w:val="0"/>
                <w:sz w:val="20"/>
                <w:szCs w:val="20"/>
              </w:rPr>
            </w:pPr>
          </w:p>
        </w:tc>
        <w:tc>
          <w:tcPr>
            <w:tcW w:w="1446"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276"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294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446"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276"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备注：新疆维吾尔自治区喀什地区麦盖提县尕孜库勒乡中心幼儿园</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年没有使用国有资本经营预算拨款安排的支出，国有资本经营预算支出情况表为空表。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表1</w:t>
      </w:r>
      <w:r>
        <w:rPr>
          <w:rFonts w:ascii="宋体" w:hAnsi="宋体"/>
          <w:bCs/>
          <w:kern w:val="0"/>
          <w:sz w:val="20"/>
          <w:szCs w:val="20"/>
        </w:rPr>
        <w:t>0</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446" w:hRule="atLeast"/>
          <w:jc w:val="center"/>
        </w:trPr>
        <w:tc>
          <w:tcPr>
            <w:tcW w:w="8505" w:type="dxa"/>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编制部门：新疆维吾尔自治区喀什地区麦盖提县尕孜库勒乡中心幼儿园</w:t>
            </w:r>
          </w:p>
        </w:tc>
        <w:tc>
          <w:tcPr>
            <w:tcW w:w="1418" w:type="dxa"/>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2"/>
        <w:gridCol w:w="2268"/>
        <w:gridCol w:w="1985"/>
        <w:gridCol w:w="1134"/>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tblHeader/>
          <w:jc w:val="center"/>
        </w:trPr>
        <w:tc>
          <w:tcPr>
            <w:tcW w:w="2972"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hAnsi="MS Gothic" w:eastAsia="仿宋_GB2312" w:cs="MS Gothic"/>
                <w:b/>
                <w:bCs/>
                <w:kern w:val="0"/>
                <w:sz w:val="24"/>
                <w:cs/>
              </w:rPr>
              <w:t>‎</w:t>
            </w:r>
            <w:r>
              <w:rPr>
                <w:rFonts w:hint="eastAsia" w:ascii="仿宋_GB2312" w:eastAsia="仿宋_GB2312" w:cs="宋体" w:hAnsiTheme="minorEastAsia"/>
                <w:b/>
                <w:bCs/>
                <w:kern w:val="0"/>
                <w:sz w:val="24"/>
              </w:rPr>
              <w:t>“三公”经费支出内容</w:t>
            </w:r>
            <w:r>
              <w:rPr>
                <w:rFonts w:hint="eastAsia" w:ascii="仿宋_GB2312" w:hAnsi="MS Gothic" w:eastAsia="仿宋_GB2312" w:cs="MS Gothic"/>
                <w:b/>
                <w:bCs/>
                <w:kern w:val="0"/>
                <w:sz w:val="24"/>
                <w:cs/>
              </w:rPr>
              <w:t>‎</w:t>
            </w:r>
          </w:p>
        </w:tc>
        <w:tc>
          <w:tcPr>
            <w:tcW w:w="2268"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4678" w:type="dxa"/>
            <w:gridSpan w:val="3"/>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 w:hRule="atLeast"/>
          <w:tblHeader/>
          <w:jc w:val="center"/>
        </w:trPr>
        <w:tc>
          <w:tcPr>
            <w:tcW w:w="2972" w:type="dxa"/>
            <w:vMerge w:val="continue"/>
            <w:vAlign w:val="center"/>
          </w:tcPr>
          <w:p>
            <w:pPr>
              <w:widowControl/>
              <w:jc w:val="center"/>
              <w:rPr>
                <w:rFonts w:hint="eastAsia" w:ascii="仿宋_GB2312" w:eastAsia="仿宋_GB2312" w:cs="宋体" w:hAnsiTheme="minorEastAsia"/>
                <w:b/>
                <w:bCs/>
                <w:kern w:val="0"/>
                <w:sz w:val="24"/>
              </w:rPr>
            </w:pPr>
          </w:p>
        </w:tc>
        <w:tc>
          <w:tcPr>
            <w:tcW w:w="2268" w:type="dxa"/>
            <w:vMerge w:val="continue"/>
            <w:vAlign w:val="center"/>
          </w:tcPr>
          <w:p>
            <w:pPr>
              <w:widowControl/>
              <w:jc w:val="center"/>
              <w:rPr>
                <w:rFonts w:hint="eastAsia" w:ascii="仿宋_GB2312" w:eastAsia="仿宋_GB2312" w:cs="宋体" w:hAnsiTheme="minorEastAsia"/>
                <w:b/>
                <w:bCs/>
                <w:kern w:val="0"/>
                <w:sz w:val="24"/>
              </w:rPr>
            </w:pPr>
          </w:p>
        </w:tc>
        <w:tc>
          <w:tcPr>
            <w:tcW w:w="1985"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一般公共预算</w:t>
            </w:r>
          </w:p>
        </w:tc>
        <w:tc>
          <w:tcPr>
            <w:tcW w:w="1134"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w:t>
            </w:r>
          </w:p>
        </w:tc>
        <w:tc>
          <w:tcPr>
            <w:tcW w:w="1559"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2268" w:type="dxa"/>
            <w:vAlign w:val="center"/>
          </w:tcPr>
          <w:p>
            <w:pPr>
              <w:widowControl/>
              <w:jc w:val="center"/>
              <w:rPr>
                <w:rFonts w:hint="eastAsia" w:ascii="仿宋_GB2312" w:eastAsia="仿宋_GB2312" w:cs="宋体" w:hAnsiTheme="minorEastAsia"/>
                <w:b/>
                <w:bCs/>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因公出国（境）费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公务接待费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公务用车购置及运行费（小计）</w:t>
            </w:r>
            <w:r>
              <w:rPr>
                <w:rFonts w:hint="eastAsia" w:ascii="仿宋_GB2312" w:hAnsi="MS Gothic" w:eastAsia="仿宋_GB2312" w:cs="MS Gothic"/>
                <w:b/>
                <w:bCs/>
                <w:kern w:val="0"/>
                <w:sz w:val="24"/>
                <w:cs/>
              </w:rPr>
              <w:t>‎</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其中：公务用车购置费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 xml:space="preserve">      公务用车运行费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备注：新疆维吾尔自治区喀什地区麦盖提县尕孜库勒乡中心幼儿园</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年没有使用财政拨款“三公”经费安排的支出，财政拨款“三公”经费支出情况表为空表。</w:t>
      </w:r>
    </w:p>
    <w:p>
      <w:pPr>
        <w:widowControl/>
        <w:spacing w:line="20" w:lineRule="exact"/>
        <w:jc w:val="left"/>
        <w:rPr>
          <w:rFonts w:hint="eastAsia" w:ascii="仿宋_GB2312" w:hAnsi="宋体" w:eastAsia="仿宋_GB2312" w:cs="宋体"/>
          <w:b/>
          <w:bCs/>
          <w:color w:val="000000"/>
          <w:kern w:val="0"/>
          <w:sz w:val="18"/>
          <w:szCs w:val="18"/>
        </w:rPr>
      </w:pPr>
      <w:r>
        <w:rPr>
          <w:rFonts w:ascii="仿宋_GB2312" w:hAnsi="宋体" w:eastAsia="仿宋_GB2312" w:cs="宋体"/>
          <w:b/>
          <w:bCs/>
          <w:color w:val="000000"/>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w:t>
      </w:r>
      <w:r>
        <w:rPr>
          <w:rFonts w:ascii="宋体" w:hAnsi="宋体"/>
          <w:bCs/>
          <w:kern w:val="0"/>
          <w:sz w:val="20"/>
          <w:szCs w:val="20"/>
        </w:rPr>
        <w:t>11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tbl>
      <w:tblPr>
        <w:tblStyle w:val="12"/>
        <w:tblW w:w="10065" w:type="dxa"/>
        <w:jc w:val="center"/>
        <w:tblInd w:w="0" w:type="dxa"/>
        <w:tblLayout w:type="fixed"/>
        <w:tblCellMar>
          <w:top w:w="0" w:type="dxa"/>
          <w:left w:w="108" w:type="dxa"/>
          <w:bottom w:w="0" w:type="dxa"/>
          <w:right w:w="108" w:type="dxa"/>
        </w:tblCellMar>
      </w:tblPr>
      <w:tblGrid>
        <w:gridCol w:w="8222"/>
        <w:gridCol w:w="1843"/>
      </w:tblGrid>
      <w:tr>
        <w:tblPrEx>
          <w:tblLayout w:type="fixed"/>
          <w:tblCellMar>
            <w:top w:w="0" w:type="dxa"/>
            <w:left w:w="108" w:type="dxa"/>
            <w:bottom w:w="0" w:type="dxa"/>
            <w:right w:w="108" w:type="dxa"/>
          </w:tblCellMar>
        </w:tblPrEx>
        <w:trPr>
          <w:trHeight w:val="357" w:hRule="atLeast"/>
          <w:jc w:val="center"/>
        </w:trPr>
        <w:tc>
          <w:tcPr>
            <w:tcW w:w="8222" w:type="dxa"/>
            <w:vAlign w:val="bottom"/>
          </w:tcPr>
          <w:p>
            <w:pPr>
              <w:widowControl/>
              <w:rPr>
                <w:rFonts w:hint="eastAsia" w:ascii="仿宋_GB2312" w:hAnsi="宋体" w:eastAsia="仿宋_GB2312" w:cs="宋体"/>
                <w:b/>
                <w:bCs/>
                <w:kern w:val="0"/>
                <w:sz w:val="24"/>
              </w:rPr>
            </w:pPr>
            <w:r>
              <w:rPr>
                <w:rFonts w:hint="eastAsia" w:ascii="仿宋_GB2312" w:hAnsi="宋体" w:eastAsia="仿宋_GB2312" w:cs="宋体"/>
                <w:kern w:val="0"/>
                <w:sz w:val="24"/>
              </w:rPr>
              <w:t>编制部门：新疆维吾尔自治区喀什地区麦盖提县尕孜库勒乡中心幼儿园</w:t>
            </w:r>
          </w:p>
        </w:tc>
        <w:tc>
          <w:tcPr>
            <w:tcW w:w="1843"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tbl>
      <w:tblPr>
        <w:tblStyle w:val="22"/>
        <w:tblpPr w:leftFromText="180" w:rightFromText="180" w:vertAnchor="text" w:horzAnchor="margin" w:tblpXSpec="center" w:tblpY="47"/>
        <w:tblOverlap w:val="never"/>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163"/>
        <w:gridCol w:w="992"/>
        <w:gridCol w:w="709"/>
        <w:gridCol w:w="709"/>
        <w:gridCol w:w="992"/>
        <w:gridCol w:w="1134"/>
        <w:gridCol w:w="709"/>
        <w:gridCol w:w="708"/>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trPr>
        <w:tc>
          <w:tcPr>
            <w:tcW w:w="1951"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tc>
        <w:tc>
          <w:tcPr>
            <w:tcW w:w="1163"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3402"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财政拨款</w:t>
            </w:r>
          </w:p>
        </w:tc>
        <w:tc>
          <w:tcPr>
            <w:tcW w:w="3544"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blHeader/>
        </w:trPr>
        <w:tc>
          <w:tcPr>
            <w:tcW w:w="1951" w:type="dxa"/>
            <w:vMerge w:val="continue"/>
            <w:vAlign w:val="center"/>
          </w:tcPr>
          <w:p>
            <w:pPr>
              <w:widowControl/>
              <w:jc w:val="center"/>
              <w:rPr>
                <w:rFonts w:hint="eastAsia" w:ascii="仿宋_GB2312" w:eastAsia="仿宋_GB2312" w:cs="宋体" w:hAnsiTheme="minorEastAsia"/>
                <w:b/>
                <w:bCs/>
                <w:kern w:val="0"/>
                <w:sz w:val="20"/>
                <w:szCs w:val="20"/>
              </w:rPr>
            </w:pPr>
          </w:p>
        </w:tc>
        <w:tc>
          <w:tcPr>
            <w:tcW w:w="1163" w:type="dxa"/>
            <w:vMerge w:val="continue"/>
            <w:vAlign w:val="center"/>
          </w:tcPr>
          <w:p>
            <w:pPr>
              <w:rPr>
                <w:rFonts w:hint="eastAsia" w:ascii="仿宋_GB2312" w:eastAsia="仿宋_GB2312" w:cs="宋体" w:hAnsiTheme="minorEastAsia"/>
                <w:b/>
                <w:bCs/>
                <w:kern w:val="0"/>
                <w:sz w:val="20"/>
                <w:szCs w:val="20"/>
              </w:rPr>
            </w:pP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7"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3" w:type="dxa"/>
            <w:vMerge w:val="restart"/>
            <w:vAlign w:val="center"/>
          </w:tcPr>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tblHeader/>
        </w:trPr>
        <w:tc>
          <w:tcPr>
            <w:tcW w:w="1951"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63"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34"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3" w:type="dxa"/>
            <w:vMerge w:val="continue"/>
            <w:vAlign w:val="center"/>
          </w:tcPr>
          <w:p>
            <w:pPr>
              <w:widowControl/>
              <w:spacing w:line="280" w:lineRule="exact"/>
              <w:jc w:val="center"/>
              <w:rPr>
                <w:rFonts w:hint="eastAsia" w:ascii="仿宋_GB2312" w:hAnsi="宋体" w:eastAsia="仿宋_GB2312"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lang w:eastAsia="zh-CN"/>
              </w:rPr>
              <w:t>2025</w:t>
            </w:r>
            <w:r>
              <w:rPr>
                <w:rFonts w:hint="eastAsia" w:ascii="仿宋_GB2312" w:eastAsia="仿宋_GB2312"/>
                <w:sz w:val="18"/>
                <w:szCs w:val="18"/>
              </w:rPr>
              <w:t>年农村学前三年免费教育保障经费项目</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4.22</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4.22</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4.22</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jc w:val="center"/>
              <w:rPr>
                <w:rFonts w:ascii="仿宋_GB2312" w:eastAsia="仿宋_GB2312"/>
                <w:b/>
                <w:bCs/>
                <w:sz w:val="18"/>
                <w:szCs w:val="18"/>
              </w:rPr>
            </w:pPr>
          </w:p>
        </w:tc>
        <w:tc>
          <w:tcPr>
            <w:tcW w:w="1163" w:type="dxa"/>
            <w:vAlign w:val="center"/>
          </w:tcPr>
          <w:p>
            <w:pPr>
              <w:jc w:val="center"/>
              <w:rPr>
                <w:rFonts w:ascii="仿宋_GB2312" w:eastAsia="仿宋_GB2312"/>
                <w:b/>
                <w:bCs/>
                <w:sz w:val="18"/>
                <w:szCs w:val="18"/>
              </w:rPr>
            </w:pPr>
            <w:r>
              <w:rPr>
                <w:rFonts w:hint="eastAsia" w:ascii="仿宋_GB2312" w:eastAsia="仿宋_GB2312"/>
                <w:b/>
                <w:bCs/>
                <w:sz w:val="18"/>
                <w:szCs w:val="18"/>
              </w:rPr>
              <w:t>总计</w:t>
            </w:r>
          </w:p>
        </w:tc>
        <w:tc>
          <w:tcPr>
            <w:tcW w:w="992" w:type="dxa"/>
            <w:vAlign w:val="center"/>
          </w:tcPr>
          <w:p>
            <w:pPr>
              <w:jc w:val="center"/>
              <w:rPr>
                <w:rFonts w:ascii="仿宋_GB2312" w:eastAsia="仿宋_GB2312"/>
                <w:b/>
                <w:bCs/>
                <w:sz w:val="18"/>
                <w:szCs w:val="18"/>
              </w:rPr>
            </w:pPr>
            <w:r>
              <w:rPr>
                <w:rFonts w:hint="eastAsia" w:ascii="仿宋_GB2312" w:eastAsia="仿宋_GB2312"/>
                <w:b/>
                <w:bCs/>
                <w:sz w:val="18"/>
                <w:szCs w:val="18"/>
              </w:rPr>
              <w:t>4.22</w:t>
            </w:r>
          </w:p>
        </w:tc>
        <w:tc>
          <w:tcPr>
            <w:tcW w:w="709" w:type="dxa"/>
            <w:vAlign w:val="center"/>
          </w:tcPr>
          <w:p>
            <w:pPr>
              <w:widowControl/>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992" w:type="dxa"/>
            <w:vAlign w:val="center"/>
          </w:tcPr>
          <w:p>
            <w:pPr>
              <w:jc w:val="center"/>
              <w:rPr>
                <w:rFonts w:ascii="仿宋_GB2312" w:eastAsia="仿宋_GB2312"/>
                <w:b/>
                <w:bCs/>
                <w:sz w:val="18"/>
                <w:szCs w:val="18"/>
              </w:rPr>
            </w:pPr>
            <w:r>
              <w:rPr>
                <w:rFonts w:hint="eastAsia" w:ascii="仿宋_GB2312" w:eastAsia="仿宋_GB2312"/>
                <w:b/>
                <w:bCs/>
                <w:sz w:val="18"/>
                <w:szCs w:val="18"/>
              </w:rPr>
              <w:t>4.22</w:t>
            </w:r>
          </w:p>
        </w:tc>
        <w:tc>
          <w:tcPr>
            <w:tcW w:w="1134" w:type="dxa"/>
            <w:vAlign w:val="center"/>
          </w:tcPr>
          <w:p>
            <w:pPr>
              <w:jc w:val="center"/>
              <w:rPr>
                <w:rFonts w:ascii="仿宋_GB2312" w:eastAsia="仿宋_GB2312"/>
                <w:b/>
                <w:bCs/>
                <w:sz w:val="18"/>
                <w:szCs w:val="18"/>
              </w:rPr>
            </w:pPr>
          </w:p>
        </w:tc>
        <w:tc>
          <w:tcPr>
            <w:tcW w:w="709" w:type="dxa"/>
            <w:vAlign w:val="center"/>
          </w:tcPr>
          <w:p>
            <w:pPr>
              <w:jc w:val="center"/>
              <w:rPr>
                <w:rFonts w:ascii="仿宋_GB2312" w:eastAsia="仿宋_GB2312"/>
                <w:b/>
                <w:bCs/>
                <w:sz w:val="18"/>
                <w:szCs w:val="18"/>
              </w:rPr>
            </w:pPr>
          </w:p>
        </w:tc>
        <w:tc>
          <w:tcPr>
            <w:tcW w:w="708" w:type="dxa"/>
            <w:vAlign w:val="center"/>
          </w:tcPr>
          <w:p>
            <w:pPr>
              <w:jc w:val="center"/>
              <w:rPr>
                <w:rFonts w:ascii="仿宋_GB2312" w:eastAsia="仿宋_GB2312"/>
                <w:b/>
                <w:bCs/>
                <w:sz w:val="18"/>
                <w:szCs w:val="18"/>
              </w:rPr>
            </w:pPr>
          </w:p>
        </w:tc>
        <w:tc>
          <w:tcPr>
            <w:tcW w:w="993" w:type="dxa"/>
            <w:vAlign w:val="center"/>
          </w:tcPr>
          <w:p>
            <w:pPr>
              <w:jc w:val="center"/>
              <w:rPr>
                <w:rFonts w:ascii="仿宋_GB2312" w:eastAsia="仿宋_GB2312"/>
                <w:b/>
                <w:bCs/>
                <w:sz w:val="18"/>
                <w:szCs w:val="18"/>
              </w:rPr>
            </w:pPr>
          </w:p>
        </w:tc>
      </w:tr>
    </w:tbl>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spacing w:line="600" w:lineRule="exact"/>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第三部分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部门预算情况说明</w:t>
      </w:r>
    </w:p>
    <w:p>
      <w:pPr>
        <w:spacing w:line="560" w:lineRule="exact"/>
        <w:jc w:val="center"/>
        <w:rPr>
          <w:rFonts w:hint="eastAsia" w:ascii="黑体" w:hAnsi="黑体" w:eastAsia="黑体"/>
          <w:kern w:val="0"/>
          <w:sz w:val="32"/>
          <w:szCs w:val="32"/>
        </w:rPr>
      </w:pP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一、关于新疆维吾尔自治区喀什地区麦盖提县尕孜库勒乡中心幼儿园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按照全口径预算的原则，新疆维吾尔自治区喀什地区麦盖提县尕孜库勒乡中心幼儿园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年所有收入和支出均纳入部门预算管理。收支总预算1523万元。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收入预算包括：一般公共预算、财政拨款结转结余。</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支出预算包括：教育支出。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二、关于新疆维吾尔自治区喀什地区麦盖提县尕孜库勒乡中心幼儿园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年收入预算情况说明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新疆维吾尔自治区喀什地区麦盖提县尕孜库勒乡中心幼儿园收入预算1523万元，其中：</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一般公共预算1518.78万元，占99.72%,比上年预算增加47.47万元，增长3.23%，主要原因是：我部门本年在职人员基础绩效奖及艰苦边远津贴调增，人员类项目资金增加，预算数增加。</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MS Gothic" w:eastAsia="仿宋_GB2312" w:cs="MS Gothic"/>
          <w:kern w:val="0"/>
          <w:sz w:val="32"/>
          <w:szCs w:val="32"/>
          <w:cs/>
        </w:rPr>
        <w:t>‎</w:t>
      </w:r>
      <w:r>
        <w:rPr>
          <w:rFonts w:hint="eastAsia" w:ascii="仿宋_GB2312" w:hAnsi="宋体" w:eastAsia="仿宋_GB2312" w:cs="宋体"/>
          <w:kern w:val="0"/>
          <w:sz w:val="32"/>
          <w:szCs w:val="32"/>
        </w:rPr>
        <w:t>财政拨款结转4.22万元，占0.28%,比上年预算增加4.22万元，增长100%，主要原因是：</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年农村学前三年免费教育保障经费项目资金未支付完成，结转资金预算增加。</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三、关于新疆维吾尔自治区喀什地区麦盖提县尕孜库勒乡中心幼儿园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年支出预算情况说明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新疆维吾尔自治区喀什地区麦盖提县尕孜库勒乡中心幼儿园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年支出预算</w:t>
      </w:r>
      <w:r>
        <w:rPr>
          <w:rFonts w:ascii="仿宋_GB2312" w:hAnsi="宋体" w:eastAsia="仿宋_GB2312" w:cs="宋体"/>
          <w:kern w:val="0"/>
          <w:sz w:val="32"/>
          <w:szCs w:val="32"/>
        </w:rPr>
        <w:t>1523</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1518.78</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99.72</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47.47</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3.23</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我部门本年在职人员工资调增，人员经费增加，对个人和家庭补助支出增加，预算数增加。</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4.22</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0.28</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4.22</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100</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本年结转项目资金增加，项目支出预算数增加。</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四、关于新疆维吾尔自治区喀什地区麦盖提县尕孜库勒乡中心幼儿园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年财政拨款收支总预算1518.78万元。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收入全部为一般公共预算拨款，无政府性基金预算拨款和国有资本经营预算。</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收入预算包括：一般公共预算拨款1518.78万元。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一般公共预算支出包括：教育支出1518.78万元，主要用于：在职人员工资福利支出、在职人员基本养老保险支出。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五、关于新疆维吾尔自治区喀什地区麦盖提县尕孜库勒乡中心幼儿园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年一般公共预算当年拨款情况说明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新疆维吾尔自治区喀什地区麦盖提县尕孜库勒乡中心幼儿园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年一般公共预算拨款合计</w:t>
      </w:r>
      <w:r>
        <w:rPr>
          <w:rFonts w:ascii="仿宋_GB2312" w:hAnsi="宋体" w:eastAsia="仿宋_GB2312" w:cs="宋体"/>
          <w:kern w:val="0"/>
          <w:sz w:val="32"/>
          <w:szCs w:val="32"/>
        </w:rPr>
        <w:t>1518.78</w:t>
      </w:r>
      <w:r>
        <w:rPr>
          <w:rFonts w:hint="eastAsia" w:ascii="仿宋_GB2312" w:hAnsi="宋体" w:eastAsia="仿宋_GB2312" w:cs="宋体"/>
          <w:kern w:val="0"/>
          <w:sz w:val="32"/>
          <w:szCs w:val="32"/>
        </w:rPr>
        <w:t>万元，其中：</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1518.78</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47.47</w:t>
      </w:r>
      <w:r>
        <w:rPr>
          <w:rFonts w:hint="eastAsia" w:ascii="仿宋_GB2312" w:hAnsi="宋体" w:eastAsia="仿宋_GB2312" w:cs="宋体"/>
          <w:kern w:val="0"/>
          <w:sz w:val="32"/>
          <w:szCs w:val="32"/>
        </w:rPr>
        <w:t>万元，</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r>
        <w:rPr>
          <w:rFonts w:ascii="仿宋_GB2312" w:hAnsi="宋体" w:eastAsia="仿宋_GB2312" w:cs="宋体"/>
          <w:kern w:val="0"/>
          <w:sz w:val="32"/>
          <w:szCs w:val="32"/>
        </w:rPr>
        <w:t>3.23</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 xml:space="preserve"> %。主要原因是：</w:t>
      </w:r>
      <w:r>
        <w:rPr>
          <w:rFonts w:ascii="仿宋_GB2312" w:hAnsi="宋体" w:eastAsia="仿宋_GB2312" w:cs="宋体"/>
          <w:kern w:val="0"/>
          <w:sz w:val="32"/>
          <w:szCs w:val="32"/>
        </w:rPr>
        <w:t>我部门本年在职人员工资调增，人员经费增加，对个人和家庭补助支出增加，预算数增加。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w:t>
      </w:r>
      <w:bookmarkStart w:id="3" w:name="_Hlk157511263"/>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bookmarkEnd w:id="3"/>
      <w:r>
        <w:rPr>
          <w:rFonts w:ascii="仿宋_GB2312" w:hAnsi="宋体" w:eastAsia="仿宋_GB2312" w:cs="宋体"/>
          <w:kern w:val="0"/>
          <w:sz w:val="32"/>
          <w:szCs w:val="32"/>
        </w:rPr>
        <w:t>0</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年度及</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年度均未安排项目支出预算。</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w:t>
      </w:r>
      <w:r>
        <w:rPr>
          <w:rFonts w:ascii="仿宋_GB2312" w:hAnsi="宋体" w:eastAsia="仿宋_GB2312" w:cs="宋体"/>
          <w:kern w:val="0"/>
          <w:sz w:val="32"/>
          <w:szCs w:val="32"/>
        </w:rPr>
        <w:t>.教育支出（类）1518.78万元，占100.00%</w:t>
      </w:r>
      <w:r>
        <w:rPr>
          <w:rFonts w:hint="eastAsia" w:ascii="仿宋_GB2312" w:hAnsi="宋体" w:eastAsia="仿宋_GB2312" w:cs="宋体"/>
          <w:kern w:val="0"/>
          <w:sz w:val="32"/>
          <w:szCs w:val="32"/>
        </w:rPr>
        <w:t>。</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1.教育支出（类）普通教育（款）学前教育（项）：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年预算数为1518.78万元，比上年预算增加188.15万元，增长14.14%，主要原因是：我部门本年在职人员工资调增，人员经费增加，对个人和家庭补助支出增加，预算数增加。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2.社会保障和就业支出（类）行政事业单位养老支出（款）机关事业单位基本养老保险缴费支出（项）：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年预算数为0.00万元，比上年预算减少140.68万元，</w:t>
      </w:r>
      <w:bookmarkStart w:id="4" w:name="_Hlk157617573"/>
      <w:r>
        <w:rPr>
          <w:rFonts w:hint="eastAsia" w:ascii="仿宋_GB2312" w:hAnsi="宋体" w:eastAsia="仿宋_GB2312" w:cs="宋体"/>
          <w:kern w:val="0"/>
          <w:sz w:val="32"/>
          <w:szCs w:val="32"/>
        </w:rPr>
        <w:t>下降</w:t>
      </w:r>
      <w:bookmarkEnd w:id="4"/>
      <w:r>
        <w:rPr>
          <w:rFonts w:hint="eastAsia" w:ascii="仿宋_GB2312" w:hAnsi="宋体" w:eastAsia="仿宋_GB2312" w:cs="宋体"/>
          <w:kern w:val="0"/>
          <w:sz w:val="32"/>
          <w:szCs w:val="32"/>
        </w:rPr>
        <w:t>100.00%，主要原因是：我部门本年该科目未安排预算。</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六、关于新疆维吾尔自治区喀什地区麦盖提县尕孜库勒乡中心幼儿园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年一般公共预算基本支出情况说明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新疆维吾尔自治区喀什地区麦盖提县尕孜库勒乡中心幼儿园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年一般公共预算基本支出</w:t>
      </w:r>
      <w:r>
        <w:rPr>
          <w:rFonts w:ascii="仿宋_GB2312" w:hAnsi="宋体" w:eastAsia="仿宋_GB2312" w:cs="宋体"/>
          <w:kern w:val="0"/>
          <w:sz w:val="32"/>
          <w:szCs w:val="32"/>
        </w:rPr>
        <w:t>1518.78</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人员经费1518.69万元，主要包括：基本工资、津贴补贴、奖金、绩效工资、机关事业单位基本养老保险缴费、职工基本医疗保险缴费、其他社会保障缴费、住房公积金、其他工资福利支出。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公用经费0.09万元，主要包括：其他商品和服务支出。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七、关于新疆维吾尔自治区喀什地区麦盖提县尕孜库勒乡中心幼儿园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年一般公共预算项目支出情况说明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新疆维吾尔自治区喀什地区麦盖提县尕孜库勒乡中心幼儿园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年没有使用一般公共预算项目支出，一般公共预算项目支出情况表为空表。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八、关于新疆维吾尔自治区喀什地区麦盖提县尕孜库勒乡中心幼儿园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年政府性基金预算拨款情况说明</w:t>
      </w:r>
    </w:p>
    <w:p>
      <w:pPr>
        <w:spacing w:line="560" w:lineRule="exact"/>
        <w:ind w:firstLine="640" w:firstLineChars="200"/>
        <w:rPr>
          <w:rFonts w:hint="eastAsia" w:ascii="仿宋_GB2312" w:hAnsi="宋体" w:eastAsia="仿宋_GB2312" w:cs="宋体"/>
          <w:kern w:val="0"/>
          <w:sz w:val="32"/>
          <w:szCs w:val="32"/>
        </w:rPr>
      </w:pPr>
      <w:bookmarkStart w:id="5" w:name="_Hlk160636468"/>
      <w:r>
        <w:rPr>
          <w:rFonts w:hint="eastAsia" w:ascii="仿宋_GB2312" w:hAnsi="宋体" w:eastAsia="仿宋_GB2312" w:cs="宋体"/>
          <w:kern w:val="0"/>
          <w:sz w:val="32"/>
          <w:szCs w:val="32"/>
        </w:rPr>
        <w:t>新疆维吾尔自治区喀什地区</w:t>
      </w:r>
      <w:bookmarkEnd w:id="5"/>
      <w:r>
        <w:rPr>
          <w:rFonts w:hint="eastAsia" w:ascii="仿宋_GB2312" w:hAnsi="宋体" w:eastAsia="仿宋_GB2312" w:cs="宋体"/>
          <w:kern w:val="0"/>
          <w:sz w:val="32"/>
          <w:szCs w:val="32"/>
        </w:rPr>
        <w:t>麦盖提县尕孜库勒乡中心幼儿园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年没有使用政府性基金预算拨款安排的支出，政府性基金预算支出情况表为空表。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九、关于新疆维吾尔自治区喀什地区麦盖提县尕孜库勒乡中心幼儿园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年国有资本预算拨款情况说明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新疆维吾尔自治区喀什地区麦盖提县尕孜库勒乡中心幼儿园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年没有使用国有资本经营预算拨款安排的支出，国有资本经营预算支出情况表为空表。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十、关于新疆维吾尔自治区喀什地区麦盖提县尕孜库勒乡中心幼儿园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年财政拨款“三公”经费预算情况说明</w:t>
      </w:r>
    </w:p>
    <w:p>
      <w:pPr>
        <w:spacing w:line="560" w:lineRule="exact"/>
        <w:ind w:firstLine="560" w:firstLineChars="200"/>
        <w:rPr>
          <w:rFonts w:hint="eastAsia" w:ascii="仿宋_GB2312" w:hAnsi="宋体" w:eastAsia="仿宋_GB2312" w:cs="宋体"/>
          <w:kern w:val="0"/>
          <w:sz w:val="32"/>
          <w:szCs w:val="32"/>
        </w:rPr>
      </w:pPr>
      <w:r>
        <w:rPr>
          <w:rFonts w:hint="eastAsia" w:ascii="MS Gothic" w:hAnsi="MS Gothic" w:eastAsia="MS Gothic" w:cs="MS Gothic"/>
          <w:kern w:val="0"/>
          <w:sz w:val="28"/>
          <w:szCs w:val="28"/>
          <w:cs/>
        </w:rPr>
        <w:t>‎</w:t>
      </w:r>
      <w:r>
        <w:rPr>
          <w:rFonts w:ascii="MS Gothic" w:hAnsi="MS Gothic" w:eastAsia="MS Gothic" w:cs="MS Gothic"/>
          <w:kern w:val="0"/>
          <w:sz w:val="28"/>
          <w:szCs w:val="28"/>
          <w:cs/>
        </w:rPr>
        <w:t>‎</w:t>
      </w:r>
      <w:r>
        <w:rPr>
          <w:rFonts w:hint="eastAsia" w:ascii="仿宋_GB2312" w:hAnsi="宋体" w:eastAsia="仿宋_GB2312" w:cs="宋体"/>
          <w:kern w:val="0"/>
          <w:sz w:val="32"/>
          <w:szCs w:val="32"/>
        </w:rPr>
        <w:t>新疆维吾尔自治区喀什地区麦盖提县尕孜库勒乡中心幼儿园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年财政拨款“三公”经费数为0万元，其中：因公出国（境）费0万元，公务用车购置费0万元，公务用车运行费0万元，公务接待费0万元。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年财政拨款“三公”经费比上年预算增加0万元，增长0%，其中：因公出国（境）费增加0万元，增长0%，主要原因是：我部门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年均未安排因公出国（境）费；公务用车购置费增加0万元，增长0%，主要原因是：我部门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年均未安排公务用车购置费；公务用车运行费增加0万元，增长0%，主要原因是：我部门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年均未安排公务用车运行费；公务接待费增加0万元，增长0%，主要原因是：我部门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年均未安排公务接待费。</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十一、关于新疆维吾尔自治区喀什地区麦盖提县尕孜库勒乡中心幼儿园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新疆维吾尔自治区喀什地区</w:t>
      </w:r>
      <w:r>
        <w:rPr>
          <w:rFonts w:ascii="仿宋_GB2312" w:hAnsi="仿宋_GB2312" w:eastAsia="仿宋_GB2312" w:cs="仿宋_GB2312"/>
          <w:kern w:val="0"/>
          <w:sz w:val="32"/>
          <w:szCs w:val="32"/>
        </w:rPr>
        <w:t>麦盖提县尕孜库勒乡中心幼儿园</w:t>
      </w:r>
      <w:r>
        <w:rPr>
          <w:rFonts w:hint="eastAsia" w:ascii="仿宋_GB2312" w:hAnsi="仿宋_GB2312" w:eastAsia="仿宋_GB2312" w:cs="仿宋_GB2312"/>
          <w:kern w:val="0"/>
          <w:sz w:val="32"/>
          <w:szCs w:val="32"/>
          <w:lang w:eastAsia="zh-CN"/>
        </w:rPr>
        <w:t>2026</w:t>
      </w: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年上年结转结余4.22万元，包括：财政拨款4.22万元，非财政拨款0万元，其中：</w:t>
      </w:r>
      <w:r>
        <w:rPr>
          <w:rFonts w:hint="eastAsia" w:ascii="MS Gothic" w:hAnsi="MS Gothic" w:eastAsia="MS Gothic" w:cs="MS Gothic"/>
          <w:kern w:val="0"/>
          <w:sz w:val="32"/>
          <w:szCs w:val="32"/>
          <w:cs/>
        </w:rPr>
        <w:t>‎</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1.</w:t>
      </w:r>
      <w:r>
        <w:rPr>
          <w:rFonts w:hint="eastAsia" w:ascii="仿宋_GB2312" w:hAnsi="仿宋_GB2312" w:eastAsia="仿宋_GB2312" w:cs="仿宋_GB2312"/>
          <w:kern w:val="0"/>
          <w:sz w:val="32"/>
          <w:szCs w:val="32"/>
          <w:lang w:eastAsia="zh-CN"/>
        </w:rPr>
        <w:t>2025</w:t>
      </w:r>
      <w:r>
        <w:rPr>
          <w:rFonts w:ascii="仿宋_GB2312" w:hAnsi="仿宋_GB2312" w:eastAsia="仿宋_GB2312" w:cs="仿宋_GB2312"/>
          <w:kern w:val="0"/>
          <w:sz w:val="32"/>
          <w:szCs w:val="32"/>
        </w:rPr>
        <w:t>年农村学前三年免费教育保障经费项目4.22</w:t>
      </w:r>
      <w:r>
        <w:rPr>
          <w:rFonts w:hint="eastAsia" w:ascii="仿宋_GB2312" w:hAnsi="仿宋_GB2312" w:eastAsia="仿宋_GB2312" w:cs="仿宋_GB2312"/>
          <w:kern w:val="0"/>
          <w:sz w:val="32"/>
          <w:szCs w:val="32"/>
        </w:rPr>
        <w:t>万元，主要用于：幼儿伙食补助支出。</w:t>
      </w:r>
      <w:r>
        <w:rPr>
          <w:rFonts w:hint="eastAsia" w:ascii="MS Gothic" w:hAnsi="MS Gothic" w:eastAsia="MS Gothic" w:cs="MS Gothic"/>
          <w:kern w:val="0"/>
          <w:sz w:val="32"/>
          <w:szCs w:val="32"/>
          <w:cs/>
        </w:rPr>
        <w:t xml:space="preserve"> ‎</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新疆维吾尔自治区喀什地区麦盖提县尕孜库勒乡中心幼儿园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年的事业单位运行经费财政拨款预算0.09万元，比上年预算增加0.09万元，增长100%。主要原因是：本年党员活动经费增加，事业单位运行经费预算数增加。</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年，新疆维吾尔自治区喀什地区麦盖提县尕孜库勒乡中心幼儿园政府采购预算0.00万元，其中：政府采购货物预算0.00万元，政府采购工程预算0.00万元，政府采购服务预算0.00万元。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年，新疆维吾尔自治区喀什地区麦盖提县尕孜库勒乡中心幼儿园面向中小企业预留政府采购项目预算金额0.00万元，小微企业预留政府采购项目预算金额0.00万元。</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截至</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年底，新疆维吾尔自治区喀什地区麦盖提县尕孜库勒乡中心幼儿园及下属各预算单位占用使用国有资产总体情况为：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1.房屋13167.44平方米，价值2491.52万元。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2.车辆0辆，价值0.00万元；其中：一般公务用车0辆，价值0.00万元；执法执勤用车0辆，价值0.00万元；其他车辆0辆，价值0.00万元。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3.办公家具价值197.75万元。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4.其他资产价值296.54万元。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部门价值50万元以上大型设备0台，部门价值100万元以上大型设备0台。</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年部门预算未安排购置车辆经费，安排购置50万元以上大型设备0台，单位价值100万元以上大型设备0台。</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pPr>
        <w:widowControl/>
        <w:shd w:val="clear" w:color="auto" w:fill="FFFFFF"/>
        <w:spacing w:line="285" w:lineRule="atLeast"/>
        <w:ind w:firstLine="640" w:firstLineChars="200"/>
        <w:jc w:val="left"/>
        <w:rPr>
          <w:rFonts w:hint="eastAsia" w:ascii="MS Gothic" w:hAnsi="MS Gothic" w:eastAsia="MS Gothic" w:cs="MS Gothic"/>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年，本部门预算绩效管理整体预算绩效目标1个，涉及预算金额1523万元；当年预算安排项目共0个，其中：财政拨款项目涉及预算金额0万元；非财政拨款项目涉及预算金额0万元。具体情况见下表：</w:t>
      </w:r>
      <w:r>
        <w:rPr>
          <w:rFonts w:hint="eastAsia" w:ascii="MS Gothic" w:hAnsi="MS Gothic" w:eastAsia="MS Gothic" w:cs="MS Gothic"/>
          <w:kern w:val="0"/>
          <w:sz w:val="32"/>
          <w:szCs w:val="32"/>
          <w:cs/>
        </w:rPr>
        <w:t>‎</w:t>
      </w:r>
      <w:r>
        <w:rPr>
          <w:rFonts w:ascii="MS Gothic" w:hAnsi="MS Gothic" w:eastAsia="MS Gothic" w:cs="MS Gothic"/>
          <w:kern w:val="0"/>
          <w:sz w:val="28"/>
          <w:szCs w:val="28"/>
        </w:rPr>
        <w:br w:type="page"/>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（五）其他需说明的事项</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1、我部门整体预算绩效目标1个，涉及预算金额1523万元由教育局汇总公开。</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2、我部门政府采购由教育局统一采购下发，故未单独安排政府采购，因此面向中小和小微企业的采购为0万元。</w:t>
      </w:r>
    </w:p>
    <w:p>
      <w:pPr>
        <w:widowControl/>
        <w:jc w:val="left"/>
        <w:rPr>
          <w:rFonts w:hint="eastAsia" w:ascii="黑体" w:hAnsi="黑体" w:eastAsia="黑体"/>
          <w:b/>
          <w:kern w:val="0"/>
          <w:sz w:val="30"/>
          <w:szCs w:val="30"/>
        </w:rPr>
      </w:pPr>
      <w:r>
        <w:rPr>
          <w:rFonts w:ascii="黑体" w:hAnsi="黑体" w:eastAsia="黑体"/>
          <w:b/>
          <w:kern w:val="0"/>
          <w:sz w:val="30"/>
          <w:szCs w:val="30"/>
        </w:rPr>
        <w:br w:type="page"/>
      </w:r>
    </w:p>
    <w:p>
      <w:pPr>
        <w:widowControl/>
        <w:jc w:val="center"/>
        <w:outlineLvl w:val="1"/>
        <w:rPr>
          <w:rFonts w:hint="eastAsia" w:ascii="黑体" w:hAnsi="黑体" w:eastAsia="黑体"/>
          <w:b/>
          <w:kern w:val="0"/>
          <w:sz w:val="32"/>
          <w:szCs w:val="32"/>
        </w:rPr>
      </w:pPr>
      <w:r>
        <w:rPr>
          <w:rFonts w:hint="eastAsia" w:ascii="黑体" w:hAnsi="黑体" w:eastAsia="黑体"/>
          <w:b/>
          <w:kern w:val="0"/>
          <w:sz w:val="32"/>
          <w:szCs w:val="32"/>
        </w:rPr>
        <w:t>第四部分 名词解释</w:t>
      </w:r>
    </w:p>
    <w:p>
      <w:pPr>
        <w:spacing w:line="520" w:lineRule="exact"/>
        <w:ind w:firstLine="642"/>
        <w:rPr>
          <w:rFonts w:hint="eastAsia" w:ascii="仿宋_GB2312" w:hAnsi="宋体" w:eastAsia="仿宋_GB2312" w:cs="宋体"/>
          <w:b/>
          <w:kern w:val="0"/>
          <w:sz w:val="28"/>
          <w:szCs w:val="28"/>
        </w:rPr>
      </w:pP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二、一般公共预算：</w:t>
      </w:r>
      <w:r>
        <w:rPr>
          <w:rFonts w:hint="eastAsia" w:ascii="仿宋_GB2312" w:eastAsia="仿宋_GB2312"/>
          <w:spacing w:val="-6"/>
          <w:sz w:val="32"/>
          <w:szCs w:val="32"/>
        </w:rPr>
        <w:t>包括公共财政拨款（补助）资金、专项收入。</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三、财政专户管理资金：</w:t>
      </w:r>
      <w:r>
        <w:rPr>
          <w:rFonts w:hint="eastAsia" w:ascii="仿宋_GB2312" w:eastAsia="仿宋_GB2312"/>
          <w:sz w:val="32"/>
          <w:szCs w:val="32"/>
        </w:rPr>
        <w:t>包括专户管理行政事业性收费（主要是教育收费）、其他非税收入。</w:t>
      </w:r>
    </w:p>
    <w:p>
      <w:pPr>
        <w:spacing w:line="600" w:lineRule="exact"/>
        <w:ind w:firstLine="643" w:firstLineChars="200"/>
        <w:rPr>
          <w:rFonts w:ascii="仿宋_GB2312" w:eastAsia="仿宋_GB2312"/>
          <w:spacing w:val="-17"/>
          <w:sz w:val="32"/>
          <w:szCs w:val="32"/>
        </w:rPr>
      </w:pPr>
      <w:r>
        <w:rPr>
          <w:rFonts w:hint="eastAsia" w:ascii="楷体_GB2312" w:hAnsi="楷体_GB2312" w:eastAsia="楷体_GB2312" w:cs="楷体_GB2312"/>
          <w:b/>
          <w:bCs/>
          <w:sz w:val="32"/>
          <w:szCs w:val="32"/>
        </w:rPr>
        <w:t>四、其他资金：</w:t>
      </w:r>
      <w:r>
        <w:rPr>
          <w:rFonts w:hint="eastAsia" w:ascii="仿宋_GB2312" w:eastAsia="仿宋_GB2312"/>
          <w:spacing w:val="-17"/>
          <w:sz w:val="32"/>
          <w:szCs w:val="32"/>
        </w:rPr>
        <w:t>包括事业收入、事业经营收入、其他收入等。</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五、基本支出：</w:t>
      </w:r>
      <w:r>
        <w:rPr>
          <w:rFonts w:hint="eastAsia" w:ascii="仿宋_GB2312" w:eastAsia="仿宋_GB2312"/>
          <w:sz w:val="32"/>
          <w:szCs w:val="32"/>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600" w:lineRule="exact"/>
        <w:ind w:firstLine="643" w:firstLineChars="200"/>
        <w:rPr>
          <w:rFonts w:ascii="仿宋_GB2312" w:eastAsia="仿宋_GB2312"/>
          <w:spacing w:val="-11"/>
          <w:sz w:val="32"/>
          <w:szCs w:val="32"/>
        </w:rPr>
      </w:pPr>
      <w:r>
        <w:rPr>
          <w:rFonts w:hint="eastAsia" w:ascii="楷体_GB2312" w:hAnsi="楷体_GB2312" w:eastAsia="楷体_GB2312" w:cs="楷体_GB2312"/>
          <w:b/>
          <w:bCs/>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rPr>
        <w:t>取暖费、办公用房物业管理费、公务用车运行维护费及其他费用。</w:t>
      </w: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bookmarkStart w:id="6" w:name="_GoBack"/>
      <w:bookmarkEnd w:id="6"/>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MS Gothic">
    <w:panose1 w:val="020B0609070205080204"/>
    <w:charset w:val="80"/>
    <w:family w:val="modern"/>
    <w:pitch w:val="default"/>
    <w:sig w:usb0="E00002FF" w:usb1="6AC7FDFB" w:usb2="00000012" w:usb3="00000000" w:csb0="4002009F" w:csb1="DFD70000"/>
  </w:font>
  <w:font w:name="Courier New">
    <w:panose1 w:val="02070309020205020404"/>
    <w:charset w:val="00"/>
    <w:family w:val="modern"/>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24</w:t>
    </w:r>
    <w:r>
      <w:rPr>
        <w:rFonts w:ascii="宋体" w:hAnsi="宋体" w:eastAsia="宋体"/>
        <w:sz w:val="28"/>
        <w:szCs w:val="28"/>
      </w:rP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DDC7F8B"/>
    <w:rsid w:val="00000D96"/>
    <w:rsid w:val="000032F1"/>
    <w:rsid w:val="00003E2D"/>
    <w:rsid w:val="0000409F"/>
    <w:rsid w:val="00004B78"/>
    <w:rsid w:val="00006B41"/>
    <w:rsid w:val="00010579"/>
    <w:rsid w:val="00011008"/>
    <w:rsid w:val="00011952"/>
    <w:rsid w:val="000149FC"/>
    <w:rsid w:val="00014B3A"/>
    <w:rsid w:val="000165ED"/>
    <w:rsid w:val="00020F89"/>
    <w:rsid w:val="000262C6"/>
    <w:rsid w:val="00026946"/>
    <w:rsid w:val="00026AB8"/>
    <w:rsid w:val="000278CB"/>
    <w:rsid w:val="0003045D"/>
    <w:rsid w:val="00031CE8"/>
    <w:rsid w:val="00034886"/>
    <w:rsid w:val="00035656"/>
    <w:rsid w:val="00036FE9"/>
    <w:rsid w:val="00040429"/>
    <w:rsid w:val="000426BA"/>
    <w:rsid w:val="000432EF"/>
    <w:rsid w:val="000437D2"/>
    <w:rsid w:val="00043D37"/>
    <w:rsid w:val="0004573C"/>
    <w:rsid w:val="00045890"/>
    <w:rsid w:val="00046D5C"/>
    <w:rsid w:val="000479BB"/>
    <w:rsid w:val="00047B6E"/>
    <w:rsid w:val="0005300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D71"/>
    <w:rsid w:val="0007440C"/>
    <w:rsid w:val="0008004F"/>
    <w:rsid w:val="0008375E"/>
    <w:rsid w:val="00083F77"/>
    <w:rsid w:val="00084B5C"/>
    <w:rsid w:val="00084C79"/>
    <w:rsid w:val="00086554"/>
    <w:rsid w:val="00086B79"/>
    <w:rsid w:val="0008753E"/>
    <w:rsid w:val="00087AEF"/>
    <w:rsid w:val="0009059F"/>
    <w:rsid w:val="00091D83"/>
    <w:rsid w:val="000924BE"/>
    <w:rsid w:val="00093394"/>
    <w:rsid w:val="00095A2B"/>
    <w:rsid w:val="00095CF3"/>
    <w:rsid w:val="00097A6D"/>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145D"/>
    <w:rsid w:val="000B2171"/>
    <w:rsid w:val="000B2F96"/>
    <w:rsid w:val="000B319D"/>
    <w:rsid w:val="000B6393"/>
    <w:rsid w:val="000B751C"/>
    <w:rsid w:val="000B75B8"/>
    <w:rsid w:val="000C04D7"/>
    <w:rsid w:val="000C16B4"/>
    <w:rsid w:val="000C3094"/>
    <w:rsid w:val="000C3350"/>
    <w:rsid w:val="000C392F"/>
    <w:rsid w:val="000C45D4"/>
    <w:rsid w:val="000C6676"/>
    <w:rsid w:val="000C6E2C"/>
    <w:rsid w:val="000D0A48"/>
    <w:rsid w:val="000D13C6"/>
    <w:rsid w:val="000D1811"/>
    <w:rsid w:val="000D30E4"/>
    <w:rsid w:val="000D3246"/>
    <w:rsid w:val="000D6242"/>
    <w:rsid w:val="000D6F27"/>
    <w:rsid w:val="000E1736"/>
    <w:rsid w:val="000E1B17"/>
    <w:rsid w:val="000E420B"/>
    <w:rsid w:val="000E5C28"/>
    <w:rsid w:val="000E6934"/>
    <w:rsid w:val="000F0580"/>
    <w:rsid w:val="000F1DFC"/>
    <w:rsid w:val="000F3C0B"/>
    <w:rsid w:val="00100916"/>
    <w:rsid w:val="00100D32"/>
    <w:rsid w:val="0010254A"/>
    <w:rsid w:val="00104C91"/>
    <w:rsid w:val="00106142"/>
    <w:rsid w:val="001062B4"/>
    <w:rsid w:val="001125C9"/>
    <w:rsid w:val="00114905"/>
    <w:rsid w:val="00115FD4"/>
    <w:rsid w:val="001162BD"/>
    <w:rsid w:val="00116F92"/>
    <w:rsid w:val="001209A5"/>
    <w:rsid w:val="001213E4"/>
    <w:rsid w:val="001214FE"/>
    <w:rsid w:val="00121AEF"/>
    <w:rsid w:val="00123416"/>
    <w:rsid w:val="001243B9"/>
    <w:rsid w:val="00124BF6"/>
    <w:rsid w:val="001250C7"/>
    <w:rsid w:val="00125F4C"/>
    <w:rsid w:val="00127DEA"/>
    <w:rsid w:val="00127DFC"/>
    <w:rsid w:val="00132A27"/>
    <w:rsid w:val="00134B1E"/>
    <w:rsid w:val="0013571F"/>
    <w:rsid w:val="00135A40"/>
    <w:rsid w:val="00136342"/>
    <w:rsid w:val="00137387"/>
    <w:rsid w:val="001375A3"/>
    <w:rsid w:val="001378B0"/>
    <w:rsid w:val="00140438"/>
    <w:rsid w:val="001412BD"/>
    <w:rsid w:val="00142684"/>
    <w:rsid w:val="001451CF"/>
    <w:rsid w:val="00147E70"/>
    <w:rsid w:val="00151FC5"/>
    <w:rsid w:val="00156D16"/>
    <w:rsid w:val="00156D1B"/>
    <w:rsid w:val="00157526"/>
    <w:rsid w:val="00161F31"/>
    <w:rsid w:val="001621AC"/>
    <w:rsid w:val="00163342"/>
    <w:rsid w:val="0017160C"/>
    <w:rsid w:val="00172BE6"/>
    <w:rsid w:val="001737B6"/>
    <w:rsid w:val="00174586"/>
    <w:rsid w:val="00180912"/>
    <w:rsid w:val="00180FD9"/>
    <w:rsid w:val="001816FA"/>
    <w:rsid w:val="001817F3"/>
    <w:rsid w:val="00181921"/>
    <w:rsid w:val="00182196"/>
    <w:rsid w:val="00183CA4"/>
    <w:rsid w:val="00183E36"/>
    <w:rsid w:val="00184FDC"/>
    <w:rsid w:val="00185038"/>
    <w:rsid w:val="00186B6A"/>
    <w:rsid w:val="00187C8B"/>
    <w:rsid w:val="001928AB"/>
    <w:rsid w:val="00194101"/>
    <w:rsid w:val="0019410C"/>
    <w:rsid w:val="00194488"/>
    <w:rsid w:val="00195985"/>
    <w:rsid w:val="001A1165"/>
    <w:rsid w:val="001A227F"/>
    <w:rsid w:val="001A3107"/>
    <w:rsid w:val="001A3875"/>
    <w:rsid w:val="001A4352"/>
    <w:rsid w:val="001A612D"/>
    <w:rsid w:val="001A6236"/>
    <w:rsid w:val="001A7864"/>
    <w:rsid w:val="001B31E1"/>
    <w:rsid w:val="001B3EFB"/>
    <w:rsid w:val="001B6327"/>
    <w:rsid w:val="001B6B54"/>
    <w:rsid w:val="001B7428"/>
    <w:rsid w:val="001B7A92"/>
    <w:rsid w:val="001C02B1"/>
    <w:rsid w:val="001C281D"/>
    <w:rsid w:val="001C2D0D"/>
    <w:rsid w:val="001C48D7"/>
    <w:rsid w:val="001C6C01"/>
    <w:rsid w:val="001C6DB1"/>
    <w:rsid w:val="001C7DAA"/>
    <w:rsid w:val="001D107B"/>
    <w:rsid w:val="001D4B49"/>
    <w:rsid w:val="001D63BF"/>
    <w:rsid w:val="001D7E4D"/>
    <w:rsid w:val="001E1727"/>
    <w:rsid w:val="001E3BB8"/>
    <w:rsid w:val="001E43BE"/>
    <w:rsid w:val="001E5BA0"/>
    <w:rsid w:val="001E648C"/>
    <w:rsid w:val="001F10B6"/>
    <w:rsid w:val="001F125B"/>
    <w:rsid w:val="001F149F"/>
    <w:rsid w:val="001F2054"/>
    <w:rsid w:val="001F26DC"/>
    <w:rsid w:val="001F334A"/>
    <w:rsid w:val="001F3506"/>
    <w:rsid w:val="001F5B5A"/>
    <w:rsid w:val="001F5D0C"/>
    <w:rsid w:val="001F5FAA"/>
    <w:rsid w:val="00200922"/>
    <w:rsid w:val="00202FEC"/>
    <w:rsid w:val="00203D94"/>
    <w:rsid w:val="00204BC0"/>
    <w:rsid w:val="00205D66"/>
    <w:rsid w:val="00207587"/>
    <w:rsid w:val="00210EE6"/>
    <w:rsid w:val="002119D7"/>
    <w:rsid w:val="00211D4E"/>
    <w:rsid w:val="00212706"/>
    <w:rsid w:val="00212C11"/>
    <w:rsid w:val="00212F6D"/>
    <w:rsid w:val="00215173"/>
    <w:rsid w:val="00215F31"/>
    <w:rsid w:val="0021607C"/>
    <w:rsid w:val="00217DD9"/>
    <w:rsid w:val="002249CD"/>
    <w:rsid w:val="00225E37"/>
    <w:rsid w:val="00227D55"/>
    <w:rsid w:val="0023113E"/>
    <w:rsid w:val="0023206D"/>
    <w:rsid w:val="00232105"/>
    <w:rsid w:val="002359B9"/>
    <w:rsid w:val="0023659A"/>
    <w:rsid w:val="00236E00"/>
    <w:rsid w:val="00237128"/>
    <w:rsid w:val="00237FD5"/>
    <w:rsid w:val="00240F64"/>
    <w:rsid w:val="00241D4D"/>
    <w:rsid w:val="0024417B"/>
    <w:rsid w:val="002471ED"/>
    <w:rsid w:val="00250E5E"/>
    <w:rsid w:val="002523C1"/>
    <w:rsid w:val="002531EA"/>
    <w:rsid w:val="00257505"/>
    <w:rsid w:val="00260BD7"/>
    <w:rsid w:val="00260FE7"/>
    <w:rsid w:val="00261CC7"/>
    <w:rsid w:val="00262A1B"/>
    <w:rsid w:val="0026459F"/>
    <w:rsid w:val="00264BBF"/>
    <w:rsid w:val="00265293"/>
    <w:rsid w:val="002654DC"/>
    <w:rsid w:val="00266B31"/>
    <w:rsid w:val="00271148"/>
    <w:rsid w:val="00271892"/>
    <w:rsid w:val="00271CD5"/>
    <w:rsid w:val="00272F0A"/>
    <w:rsid w:val="00273803"/>
    <w:rsid w:val="00273F0A"/>
    <w:rsid w:val="0027438A"/>
    <w:rsid w:val="00274F40"/>
    <w:rsid w:val="0027656C"/>
    <w:rsid w:val="00276D4A"/>
    <w:rsid w:val="002771BB"/>
    <w:rsid w:val="00280556"/>
    <w:rsid w:val="00280937"/>
    <w:rsid w:val="00281EE8"/>
    <w:rsid w:val="0028210B"/>
    <w:rsid w:val="0028245B"/>
    <w:rsid w:val="00283074"/>
    <w:rsid w:val="0028379A"/>
    <w:rsid w:val="0028405D"/>
    <w:rsid w:val="00284B23"/>
    <w:rsid w:val="00285153"/>
    <w:rsid w:val="00285698"/>
    <w:rsid w:val="0028576C"/>
    <w:rsid w:val="00285BCC"/>
    <w:rsid w:val="00285BFE"/>
    <w:rsid w:val="00286965"/>
    <w:rsid w:val="00297957"/>
    <w:rsid w:val="002A0066"/>
    <w:rsid w:val="002A15E9"/>
    <w:rsid w:val="002A2135"/>
    <w:rsid w:val="002A5744"/>
    <w:rsid w:val="002A5A41"/>
    <w:rsid w:val="002A6B1E"/>
    <w:rsid w:val="002A6B2E"/>
    <w:rsid w:val="002A78C2"/>
    <w:rsid w:val="002B1A6D"/>
    <w:rsid w:val="002B39D7"/>
    <w:rsid w:val="002B50FC"/>
    <w:rsid w:val="002B6F5E"/>
    <w:rsid w:val="002B74BA"/>
    <w:rsid w:val="002C3650"/>
    <w:rsid w:val="002C3B46"/>
    <w:rsid w:val="002C42AA"/>
    <w:rsid w:val="002C44A3"/>
    <w:rsid w:val="002C6CF4"/>
    <w:rsid w:val="002D1754"/>
    <w:rsid w:val="002D2735"/>
    <w:rsid w:val="002D3645"/>
    <w:rsid w:val="002D374A"/>
    <w:rsid w:val="002D5345"/>
    <w:rsid w:val="002D5C90"/>
    <w:rsid w:val="002D63A5"/>
    <w:rsid w:val="002E144D"/>
    <w:rsid w:val="002E2BC4"/>
    <w:rsid w:val="002E2BDE"/>
    <w:rsid w:val="002E2E63"/>
    <w:rsid w:val="002E48FA"/>
    <w:rsid w:val="002E5393"/>
    <w:rsid w:val="002E57A5"/>
    <w:rsid w:val="002E60A6"/>
    <w:rsid w:val="002E78F0"/>
    <w:rsid w:val="002E7CED"/>
    <w:rsid w:val="002F13FC"/>
    <w:rsid w:val="002F142A"/>
    <w:rsid w:val="002F2F49"/>
    <w:rsid w:val="002F521F"/>
    <w:rsid w:val="002F5D14"/>
    <w:rsid w:val="00300E22"/>
    <w:rsid w:val="00301F3E"/>
    <w:rsid w:val="00302CC5"/>
    <w:rsid w:val="003036CD"/>
    <w:rsid w:val="00303AB1"/>
    <w:rsid w:val="0030425A"/>
    <w:rsid w:val="00306110"/>
    <w:rsid w:val="00306797"/>
    <w:rsid w:val="003070BB"/>
    <w:rsid w:val="003071E3"/>
    <w:rsid w:val="00307973"/>
    <w:rsid w:val="00310D23"/>
    <w:rsid w:val="00311C86"/>
    <w:rsid w:val="00315DD1"/>
    <w:rsid w:val="003177D8"/>
    <w:rsid w:val="00321675"/>
    <w:rsid w:val="0032253C"/>
    <w:rsid w:val="003225DD"/>
    <w:rsid w:val="0032532B"/>
    <w:rsid w:val="00326288"/>
    <w:rsid w:val="003309DB"/>
    <w:rsid w:val="00332225"/>
    <w:rsid w:val="00332FD2"/>
    <w:rsid w:val="00333FFF"/>
    <w:rsid w:val="00340222"/>
    <w:rsid w:val="00340257"/>
    <w:rsid w:val="00340E69"/>
    <w:rsid w:val="00341BAE"/>
    <w:rsid w:val="00341E7D"/>
    <w:rsid w:val="003424C7"/>
    <w:rsid w:val="003433EE"/>
    <w:rsid w:val="00343F03"/>
    <w:rsid w:val="00344E41"/>
    <w:rsid w:val="00345E58"/>
    <w:rsid w:val="0034677D"/>
    <w:rsid w:val="0034747D"/>
    <w:rsid w:val="00347DE8"/>
    <w:rsid w:val="00350F5B"/>
    <w:rsid w:val="00352976"/>
    <w:rsid w:val="00354680"/>
    <w:rsid w:val="003551D6"/>
    <w:rsid w:val="00356194"/>
    <w:rsid w:val="00357AAC"/>
    <w:rsid w:val="00361420"/>
    <w:rsid w:val="003622E4"/>
    <w:rsid w:val="00362EAF"/>
    <w:rsid w:val="00363248"/>
    <w:rsid w:val="0036381E"/>
    <w:rsid w:val="00363A35"/>
    <w:rsid w:val="00363F51"/>
    <w:rsid w:val="00364626"/>
    <w:rsid w:val="00364A66"/>
    <w:rsid w:val="00364FF8"/>
    <w:rsid w:val="00365081"/>
    <w:rsid w:val="00367FAC"/>
    <w:rsid w:val="0037055E"/>
    <w:rsid w:val="0037060F"/>
    <w:rsid w:val="003707D5"/>
    <w:rsid w:val="0037199D"/>
    <w:rsid w:val="003731B3"/>
    <w:rsid w:val="00373A27"/>
    <w:rsid w:val="00373DF2"/>
    <w:rsid w:val="00375B79"/>
    <w:rsid w:val="00375DC5"/>
    <w:rsid w:val="003767AD"/>
    <w:rsid w:val="00380040"/>
    <w:rsid w:val="00381599"/>
    <w:rsid w:val="003822A2"/>
    <w:rsid w:val="003828A9"/>
    <w:rsid w:val="00384F81"/>
    <w:rsid w:val="00385BFE"/>
    <w:rsid w:val="00386764"/>
    <w:rsid w:val="00391A53"/>
    <w:rsid w:val="00392E94"/>
    <w:rsid w:val="003939CE"/>
    <w:rsid w:val="00393D32"/>
    <w:rsid w:val="00393DAD"/>
    <w:rsid w:val="0039548A"/>
    <w:rsid w:val="003A1559"/>
    <w:rsid w:val="003A3261"/>
    <w:rsid w:val="003A44ED"/>
    <w:rsid w:val="003B05BA"/>
    <w:rsid w:val="003B0DA2"/>
    <w:rsid w:val="003B48BE"/>
    <w:rsid w:val="003B5C7E"/>
    <w:rsid w:val="003B76CB"/>
    <w:rsid w:val="003B7A83"/>
    <w:rsid w:val="003C0D15"/>
    <w:rsid w:val="003C23E0"/>
    <w:rsid w:val="003D0E59"/>
    <w:rsid w:val="003D4B84"/>
    <w:rsid w:val="003D608A"/>
    <w:rsid w:val="003D64AF"/>
    <w:rsid w:val="003E0AF5"/>
    <w:rsid w:val="003E0F98"/>
    <w:rsid w:val="003E2195"/>
    <w:rsid w:val="003E2D15"/>
    <w:rsid w:val="003F0E19"/>
    <w:rsid w:val="003F34C3"/>
    <w:rsid w:val="003F4C7F"/>
    <w:rsid w:val="003F638F"/>
    <w:rsid w:val="003F66AF"/>
    <w:rsid w:val="003F6A9D"/>
    <w:rsid w:val="003F6C80"/>
    <w:rsid w:val="003F77FC"/>
    <w:rsid w:val="003F7CF3"/>
    <w:rsid w:val="004002D6"/>
    <w:rsid w:val="00402AAC"/>
    <w:rsid w:val="00403B24"/>
    <w:rsid w:val="00403DA9"/>
    <w:rsid w:val="00405212"/>
    <w:rsid w:val="00407E8F"/>
    <w:rsid w:val="00410138"/>
    <w:rsid w:val="00410841"/>
    <w:rsid w:val="00410C1C"/>
    <w:rsid w:val="004115A1"/>
    <w:rsid w:val="00412807"/>
    <w:rsid w:val="00415E53"/>
    <w:rsid w:val="0042040B"/>
    <w:rsid w:val="0042046C"/>
    <w:rsid w:val="00420B1C"/>
    <w:rsid w:val="00421B7A"/>
    <w:rsid w:val="00422876"/>
    <w:rsid w:val="0042458E"/>
    <w:rsid w:val="00424D94"/>
    <w:rsid w:val="00426B83"/>
    <w:rsid w:val="00427085"/>
    <w:rsid w:val="004275A7"/>
    <w:rsid w:val="004313ED"/>
    <w:rsid w:val="0043221B"/>
    <w:rsid w:val="00432378"/>
    <w:rsid w:val="0043304D"/>
    <w:rsid w:val="004337FB"/>
    <w:rsid w:val="0043488F"/>
    <w:rsid w:val="00435C3B"/>
    <w:rsid w:val="00441C43"/>
    <w:rsid w:val="00441D28"/>
    <w:rsid w:val="00441F4B"/>
    <w:rsid w:val="00442AE4"/>
    <w:rsid w:val="0044366B"/>
    <w:rsid w:val="0044495B"/>
    <w:rsid w:val="004479A2"/>
    <w:rsid w:val="00453F7A"/>
    <w:rsid w:val="00454A7D"/>
    <w:rsid w:val="0045551F"/>
    <w:rsid w:val="00455F16"/>
    <w:rsid w:val="00457430"/>
    <w:rsid w:val="00460248"/>
    <w:rsid w:val="00461B03"/>
    <w:rsid w:val="00462501"/>
    <w:rsid w:val="00462E49"/>
    <w:rsid w:val="00464D7B"/>
    <w:rsid w:val="0046659F"/>
    <w:rsid w:val="00467478"/>
    <w:rsid w:val="00476866"/>
    <w:rsid w:val="00476FD4"/>
    <w:rsid w:val="00480E63"/>
    <w:rsid w:val="00482EDB"/>
    <w:rsid w:val="00484027"/>
    <w:rsid w:val="00486122"/>
    <w:rsid w:val="00486488"/>
    <w:rsid w:val="004865F0"/>
    <w:rsid w:val="00487A20"/>
    <w:rsid w:val="00490A5D"/>
    <w:rsid w:val="00490F7E"/>
    <w:rsid w:val="00491969"/>
    <w:rsid w:val="00492117"/>
    <w:rsid w:val="00492329"/>
    <w:rsid w:val="00492792"/>
    <w:rsid w:val="00493838"/>
    <w:rsid w:val="00494B21"/>
    <w:rsid w:val="00496F91"/>
    <w:rsid w:val="004A04D1"/>
    <w:rsid w:val="004A2590"/>
    <w:rsid w:val="004A4C46"/>
    <w:rsid w:val="004A518C"/>
    <w:rsid w:val="004A773F"/>
    <w:rsid w:val="004B0CC8"/>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3102"/>
    <w:rsid w:val="004D4137"/>
    <w:rsid w:val="004D4513"/>
    <w:rsid w:val="004D5ECF"/>
    <w:rsid w:val="004D7CD1"/>
    <w:rsid w:val="004D7E67"/>
    <w:rsid w:val="004E0431"/>
    <w:rsid w:val="004E0808"/>
    <w:rsid w:val="004E0D6A"/>
    <w:rsid w:val="004E1DFF"/>
    <w:rsid w:val="004E2900"/>
    <w:rsid w:val="004E3CA9"/>
    <w:rsid w:val="004E3D9D"/>
    <w:rsid w:val="004E737C"/>
    <w:rsid w:val="004E7E29"/>
    <w:rsid w:val="004F2553"/>
    <w:rsid w:val="004F4F80"/>
    <w:rsid w:val="004F5EF7"/>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394D"/>
    <w:rsid w:val="00523A8A"/>
    <w:rsid w:val="00525E46"/>
    <w:rsid w:val="0052609D"/>
    <w:rsid w:val="005271B4"/>
    <w:rsid w:val="0052787F"/>
    <w:rsid w:val="005278B3"/>
    <w:rsid w:val="00527A91"/>
    <w:rsid w:val="00527F3E"/>
    <w:rsid w:val="005307E7"/>
    <w:rsid w:val="005328A3"/>
    <w:rsid w:val="0053461E"/>
    <w:rsid w:val="00534961"/>
    <w:rsid w:val="0053676F"/>
    <w:rsid w:val="00537668"/>
    <w:rsid w:val="00537782"/>
    <w:rsid w:val="00544AC4"/>
    <w:rsid w:val="00544C7D"/>
    <w:rsid w:val="0054586F"/>
    <w:rsid w:val="005474F1"/>
    <w:rsid w:val="00547B4F"/>
    <w:rsid w:val="005513B3"/>
    <w:rsid w:val="00551D2B"/>
    <w:rsid w:val="00553588"/>
    <w:rsid w:val="00554786"/>
    <w:rsid w:val="00556697"/>
    <w:rsid w:val="0056203D"/>
    <w:rsid w:val="00565C5B"/>
    <w:rsid w:val="00566E17"/>
    <w:rsid w:val="0056772B"/>
    <w:rsid w:val="005702BC"/>
    <w:rsid w:val="00571733"/>
    <w:rsid w:val="00571F58"/>
    <w:rsid w:val="005720E0"/>
    <w:rsid w:val="00573BC9"/>
    <w:rsid w:val="00574BF8"/>
    <w:rsid w:val="00575596"/>
    <w:rsid w:val="0058032E"/>
    <w:rsid w:val="0058124A"/>
    <w:rsid w:val="0058131A"/>
    <w:rsid w:val="005823EC"/>
    <w:rsid w:val="00584772"/>
    <w:rsid w:val="00584B4C"/>
    <w:rsid w:val="005868FB"/>
    <w:rsid w:val="00590B1F"/>
    <w:rsid w:val="00590EA2"/>
    <w:rsid w:val="00591EE3"/>
    <w:rsid w:val="005920F4"/>
    <w:rsid w:val="00592727"/>
    <w:rsid w:val="00593166"/>
    <w:rsid w:val="005953E4"/>
    <w:rsid w:val="00595CFA"/>
    <w:rsid w:val="0059639F"/>
    <w:rsid w:val="00596CC0"/>
    <w:rsid w:val="005A2AAB"/>
    <w:rsid w:val="005A3258"/>
    <w:rsid w:val="005A36AB"/>
    <w:rsid w:val="005A3AD0"/>
    <w:rsid w:val="005A6347"/>
    <w:rsid w:val="005A6691"/>
    <w:rsid w:val="005A6B68"/>
    <w:rsid w:val="005A7AF6"/>
    <w:rsid w:val="005B180C"/>
    <w:rsid w:val="005B3B8A"/>
    <w:rsid w:val="005B4AEA"/>
    <w:rsid w:val="005B4B3C"/>
    <w:rsid w:val="005B5066"/>
    <w:rsid w:val="005B6709"/>
    <w:rsid w:val="005C1A7A"/>
    <w:rsid w:val="005C2577"/>
    <w:rsid w:val="005C50D9"/>
    <w:rsid w:val="005C53AC"/>
    <w:rsid w:val="005C5B15"/>
    <w:rsid w:val="005C6DCD"/>
    <w:rsid w:val="005D098D"/>
    <w:rsid w:val="005D48F3"/>
    <w:rsid w:val="005D52FF"/>
    <w:rsid w:val="005D5331"/>
    <w:rsid w:val="005D55F7"/>
    <w:rsid w:val="005D57CA"/>
    <w:rsid w:val="005D6305"/>
    <w:rsid w:val="005D7689"/>
    <w:rsid w:val="005E00E7"/>
    <w:rsid w:val="005E00FE"/>
    <w:rsid w:val="005E2094"/>
    <w:rsid w:val="005E2399"/>
    <w:rsid w:val="005E4BBC"/>
    <w:rsid w:val="005E75CA"/>
    <w:rsid w:val="005E7B5F"/>
    <w:rsid w:val="005F19D7"/>
    <w:rsid w:val="005F4AB8"/>
    <w:rsid w:val="005F4CE2"/>
    <w:rsid w:val="006010D2"/>
    <w:rsid w:val="006037FA"/>
    <w:rsid w:val="00605057"/>
    <w:rsid w:val="00605AD9"/>
    <w:rsid w:val="00605D18"/>
    <w:rsid w:val="00607339"/>
    <w:rsid w:val="00611226"/>
    <w:rsid w:val="0061158B"/>
    <w:rsid w:val="006126D1"/>
    <w:rsid w:val="00613C75"/>
    <w:rsid w:val="00616F23"/>
    <w:rsid w:val="0062039E"/>
    <w:rsid w:val="00625BE7"/>
    <w:rsid w:val="00626B83"/>
    <w:rsid w:val="006279F0"/>
    <w:rsid w:val="00627EDB"/>
    <w:rsid w:val="00633A7F"/>
    <w:rsid w:val="00633F5B"/>
    <w:rsid w:val="00634719"/>
    <w:rsid w:val="0063560B"/>
    <w:rsid w:val="00636FE3"/>
    <w:rsid w:val="00640E06"/>
    <w:rsid w:val="00641010"/>
    <w:rsid w:val="006412F1"/>
    <w:rsid w:val="00642854"/>
    <w:rsid w:val="00647E65"/>
    <w:rsid w:val="00651C31"/>
    <w:rsid w:val="0065215F"/>
    <w:rsid w:val="00652FA3"/>
    <w:rsid w:val="006535FD"/>
    <w:rsid w:val="0065452B"/>
    <w:rsid w:val="00654745"/>
    <w:rsid w:val="00656129"/>
    <w:rsid w:val="00656952"/>
    <w:rsid w:val="00656A60"/>
    <w:rsid w:val="00657C75"/>
    <w:rsid w:val="00660081"/>
    <w:rsid w:val="00660B36"/>
    <w:rsid w:val="00662D8D"/>
    <w:rsid w:val="006645AF"/>
    <w:rsid w:val="00666CD7"/>
    <w:rsid w:val="00667925"/>
    <w:rsid w:val="006705CF"/>
    <w:rsid w:val="006708F1"/>
    <w:rsid w:val="00671708"/>
    <w:rsid w:val="00671FD2"/>
    <w:rsid w:val="0067353C"/>
    <w:rsid w:val="00674117"/>
    <w:rsid w:val="00674189"/>
    <w:rsid w:val="006752F1"/>
    <w:rsid w:val="00676827"/>
    <w:rsid w:val="00677202"/>
    <w:rsid w:val="0067762D"/>
    <w:rsid w:val="0067771D"/>
    <w:rsid w:val="00680ED4"/>
    <w:rsid w:val="006811F7"/>
    <w:rsid w:val="006824B2"/>
    <w:rsid w:val="006827B3"/>
    <w:rsid w:val="00683193"/>
    <w:rsid w:val="00683EE8"/>
    <w:rsid w:val="006842E7"/>
    <w:rsid w:val="00687957"/>
    <w:rsid w:val="00687FC3"/>
    <w:rsid w:val="00690345"/>
    <w:rsid w:val="00691D40"/>
    <w:rsid w:val="006943D5"/>
    <w:rsid w:val="006943FD"/>
    <w:rsid w:val="00696F26"/>
    <w:rsid w:val="006970A9"/>
    <w:rsid w:val="006A05B6"/>
    <w:rsid w:val="006A17B4"/>
    <w:rsid w:val="006A417A"/>
    <w:rsid w:val="006A4C53"/>
    <w:rsid w:val="006A56FF"/>
    <w:rsid w:val="006A6261"/>
    <w:rsid w:val="006A6275"/>
    <w:rsid w:val="006A69A6"/>
    <w:rsid w:val="006A726B"/>
    <w:rsid w:val="006B0DB0"/>
    <w:rsid w:val="006B12DD"/>
    <w:rsid w:val="006B24F2"/>
    <w:rsid w:val="006B25E3"/>
    <w:rsid w:val="006B32BE"/>
    <w:rsid w:val="006B48A0"/>
    <w:rsid w:val="006B7481"/>
    <w:rsid w:val="006B784F"/>
    <w:rsid w:val="006B79B7"/>
    <w:rsid w:val="006B7BB4"/>
    <w:rsid w:val="006C058F"/>
    <w:rsid w:val="006C189B"/>
    <w:rsid w:val="006C18A3"/>
    <w:rsid w:val="006C4191"/>
    <w:rsid w:val="006C451F"/>
    <w:rsid w:val="006C5D49"/>
    <w:rsid w:val="006C74CE"/>
    <w:rsid w:val="006C7D66"/>
    <w:rsid w:val="006D097C"/>
    <w:rsid w:val="006D1B60"/>
    <w:rsid w:val="006D2564"/>
    <w:rsid w:val="006D2627"/>
    <w:rsid w:val="006D3237"/>
    <w:rsid w:val="006D3C88"/>
    <w:rsid w:val="006D3F9C"/>
    <w:rsid w:val="006D5C80"/>
    <w:rsid w:val="006D6570"/>
    <w:rsid w:val="006D6758"/>
    <w:rsid w:val="006E2103"/>
    <w:rsid w:val="006E3D19"/>
    <w:rsid w:val="006E70BC"/>
    <w:rsid w:val="006F09CB"/>
    <w:rsid w:val="006F0BD1"/>
    <w:rsid w:val="006F0FF9"/>
    <w:rsid w:val="006F1D83"/>
    <w:rsid w:val="006F405D"/>
    <w:rsid w:val="006F444A"/>
    <w:rsid w:val="006F47DD"/>
    <w:rsid w:val="006F4C41"/>
    <w:rsid w:val="006F5ED2"/>
    <w:rsid w:val="006F76DB"/>
    <w:rsid w:val="00700F2C"/>
    <w:rsid w:val="00702427"/>
    <w:rsid w:val="00703CC0"/>
    <w:rsid w:val="0070656D"/>
    <w:rsid w:val="007071EE"/>
    <w:rsid w:val="00710502"/>
    <w:rsid w:val="00710914"/>
    <w:rsid w:val="00710A27"/>
    <w:rsid w:val="00711ACA"/>
    <w:rsid w:val="00712127"/>
    <w:rsid w:val="007152BB"/>
    <w:rsid w:val="0072059B"/>
    <w:rsid w:val="00721DAA"/>
    <w:rsid w:val="0072228C"/>
    <w:rsid w:val="00723675"/>
    <w:rsid w:val="00724150"/>
    <w:rsid w:val="0072425F"/>
    <w:rsid w:val="007259F6"/>
    <w:rsid w:val="00731AB5"/>
    <w:rsid w:val="00733AD9"/>
    <w:rsid w:val="007362CD"/>
    <w:rsid w:val="0073692E"/>
    <w:rsid w:val="00736A81"/>
    <w:rsid w:val="00740349"/>
    <w:rsid w:val="00741500"/>
    <w:rsid w:val="0074596A"/>
    <w:rsid w:val="00746362"/>
    <w:rsid w:val="007473A9"/>
    <w:rsid w:val="00751B37"/>
    <w:rsid w:val="00752F4E"/>
    <w:rsid w:val="007574AA"/>
    <w:rsid w:val="00761A28"/>
    <w:rsid w:val="00763B3B"/>
    <w:rsid w:val="00764722"/>
    <w:rsid w:val="00766AD3"/>
    <w:rsid w:val="007705FA"/>
    <w:rsid w:val="007710BB"/>
    <w:rsid w:val="007717D7"/>
    <w:rsid w:val="007718F3"/>
    <w:rsid w:val="007719EA"/>
    <w:rsid w:val="0077213F"/>
    <w:rsid w:val="0077362E"/>
    <w:rsid w:val="007749E5"/>
    <w:rsid w:val="007754D0"/>
    <w:rsid w:val="00780703"/>
    <w:rsid w:val="00782979"/>
    <w:rsid w:val="00783BA9"/>
    <w:rsid w:val="0078551D"/>
    <w:rsid w:val="00785583"/>
    <w:rsid w:val="007870B3"/>
    <w:rsid w:val="00787AF4"/>
    <w:rsid w:val="0079091C"/>
    <w:rsid w:val="007909DC"/>
    <w:rsid w:val="00791841"/>
    <w:rsid w:val="00791B16"/>
    <w:rsid w:val="00793B18"/>
    <w:rsid w:val="00793E17"/>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532D"/>
    <w:rsid w:val="007B5EE5"/>
    <w:rsid w:val="007B6D8F"/>
    <w:rsid w:val="007B6F55"/>
    <w:rsid w:val="007B6F5A"/>
    <w:rsid w:val="007B712D"/>
    <w:rsid w:val="007B7B0E"/>
    <w:rsid w:val="007C0AFC"/>
    <w:rsid w:val="007C14F6"/>
    <w:rsid w:val="007C159D"/>
    <w:rsid w:val="007C17A0"/>
    <w:rsid w:val="007C1AF3"/>
    <w:rsid w:val="007C297B"/>
    <w:rsid w:val="007C2BE4"/>
    <w:rsid w:val="007C3805"/>
    <w:rsid w:val="007C4C21"/>
    <w:rsid w:val="007C5019"/>
    <w:rsid w:val="007C5702"/>
    <w:rsid w:val="007C630F"/>
    <w:rsid w:val="007C6B04"/>
    <w:rsid w:val="007D0F30"/>
    <w:rsid w:val="007D34CE"/>
    <w:rsid w:val="007D3823"/>
    <w:rsid w:val="007D53FB"/>
    <w:rsid w:val="007D5886"/>
    <w:rsid w:val="007D730D"/>
    <w:rsid w:val="007D7DC9"/>
    <w:rsid w:val="007E1245"/>
    <w:rsid w:val="007E1479"/>
    <w:rsid w:val="007E24B7"/>
    <w:rsid w:val="007E2B98"/>
    <w:rsid w:val="007E35E6"/>
    <w:rsid w:val="007E7B12"/>
    <w:rsid w:val="007F00D1"/>
    <w:rsid w:val="007F064A"/>
    <w:rsid w:val="007F2147"/>
    <w:rsid w:val="007F2242"/>
    <w:rsid w:val="007F2ACF"/>
    <w:rsid w:val="007F39EC"/>
    <w:rsid w:val="007F3FD4"/>
    <w:rsid w:val="007F629A"/>
    <w:rsid w:val="007F72C4"/>
    <w:rsid w:val="00800794"/>
    <w:rsid w:val="00800C53"/>
    <w:rsid w:val="00800E2A"/>
    <w:rsid w:val="00801C11"/>
    <w:rsid w:val="00802130"/>
    <w:rsid w:val="0080288F"/>
    <w:rsid w:val="008028AA"/>
    <w:rsid w:val="008033C6"/>
    <w:rsid w:val="00803A38"/>
    <w:rsid w:val="008064C9"/>
    <w:rsid w:val="00810683"/>
    <w:rsid w:val="0081166B"/>
    <w:rsid w:val="00811C83"/>
    <w:rsid w:val="008129A0"/>
    <w:rsid w:val="00812F39"/>
    <w:rsid w:val="00813CB3"/>
    <w:rsid w:val="00821166"/>
    <w:rsid w:val="00821D2C"/>
    <w:rsid w:val="00822F8A"/>
    <w:rsid w:val="00823248"/>
    <w:rsid w:val="008235FE"/>
    <w:rsid w:val="00823E71"/>
    <w:rsid w:val="00825B3F"/>
    <w:rsid w:val="00825FE2"/>
    <w:rsid w:val="00832AC9"/>
    <w:rsid w:val="00834F99"/>
    <w:rsid w:val="008370FC"/>
    <w:rsid w:val="00837BB4"/>
    <w:rsid w:val="008407AE"/>
    <w:rsid w:val="00840D41"/>
    <w:rsid w:val="008411A3"/>
    <w:rsid w:val="00841BE8"/>
    <w:rsid w:val="00842A33"/>
    <w:rsid w:val="008432B3"/>
    <w:rsid w:val="00843E43"/>
    <w:rsid w:val="00845F98"/>
    <w:rsid w:val="008478F2"/>
    <w:rsid w:val="00850EDC"/>
    <w:rsid w:val="0085145F"/>
    <w:rsid w:val="00852854"/>
    <w:rsid w:val="0085291D"/>
    <w:rsid w:val="00854D9E"/>
    <w:rsid w:val="00855C2A"/>
    <w:rsid w:val="00856B82"/>
    <w:rsid w:val="00860178"/>
    <w:rsid w:val="0086040E"/>
    <w:rsid w:val="00861DB8"/>
    <w:rsid w:val="008645A0"/>
    <w:rsid w:val="00864CF1"/>
    <w:rsid w:val="00864E4D"/>
    <w:rsid w:val="00866664"/>
    <w:rsid w:val="00866A23"/>
    <w:rsid w:val="00867636"/>
    <w:rsid w:val="00871BD1"/>
    <w:rsid w:val="008736D3"/>
    <w:rsid w:val="00874397"/>
    <w:rsid w:val="00876402"/>
    <w:rsid w:val="00876AF7"/>
    <w:rsid w:val="00882F82"/>
    <w:rsid w:val="008837EE"/>
    <w:rsid w:val="008840F1"/>
    <w:rsid w:val="00884806"/>
    <w:rsid w:val="00885136"/>
    <w:rsid w:val="00885758"/>
    <w:rsid w:val="00885CB0"/>
    <w:rsid w:val="008905A4"/>
    <w:rsid w:val="0089073B"/>
    <w:rsid w:val="00890C69"/>
    <w:rsid w:val="00890DB9"/>
    <w:rsid w:val="008935DC"/>
    <w:rsid w:val="00893932"/>
    <w:rsid w:val="00893ACE"/>
    <w:rsid w:val="00893C74"/>
    <w:rsid w:val="00894982"/>
    <w:rsid w:val="00895052"/>
    <w:rsid w:val="008A0145"/>
    <w:rsid w:val="008A0DEB"/>
    <w:rsid w:val="008A1B76"/>
    <w:rsid w:val="008A3955"/>
    <w:rsid w:val="008A55BA"/>
    <w:rsid w:val="008A747A"/>
    <w:rsid w:val="008B0CB5"/>
    <w:rsid w:val="008B0E3F"/>
    <w:rsid w:val="008B1ACC"/>
    <w:rsid w:val="008B247A"/>
    <w:rsid w:val="008B253B"/>
    <w:rsid w:val="008B3117"/>
    <w:rsid w:val="008B67DC"/>
    <w:rsid w:val="008B7ABB"/>
    <w:rsid w:val="008C1933"/>
    <w:rsid w:val="008C2021"/>
    <w:rsid w:val="008C334E"/>
    <w:rsid w:val="008C3777"/>
    <w:rsid w:val="008C5FFA"/>
    <w:rsid w:val="008C6DB3"/>
    <w:rsid w:val="008D036C"/>
    <w:rsid w:val="008D0E00"/>
    <w:rsid w:val="008D14EF"/>
    <w:rsid w:val="008D1CFB"/>
    <w:rsid w:val="008D588A"/>
    <w:rsid w:val="008D5AED"/>
    <w:rsid w:val="008D6376"/>
    <w:rsid w:val="008D64FC"/>
    <w:rsid w:val="008E1701"/>
    <w:rsid w:val="008E21E0"/>
    <w:rsid w:val="008E29ED"/>
    <w:rsid w:val="008E4B93"/>
    <w:rsid w:val="008E6C92"/>
    <w:rsid w:val="008F05EE"/>
    <w:rsid w:val="008F119F"/>
    <w:rsid w:val="008F355D"/>
    <w:rsid w:val="008F3E39"/>
    <w:rsid w:val="008F4693"/>
    <w:rsid w:val="008F4F6B"/>
    <w:rsid w:val="008F5ADF"/>
    <w:rsid w:val="008F79FB"/>
    <w:rsid w:val="00900676"/>
    <w:rsid w:val="00902114"/>
    <w:rsid w:val="009037AF"/>
    <w:rsid w:val="00903FB9"/>
    <w:rsid w:val="00905A25"/>
    <w:rsid w:val="0090695E"/>
    <w:rsid w:val="009114D3"/>
    <w:rsid w:val="009123C6"/>
    <w:rsid w:val="00915383"/>
    <w:rsid w:val="009170D5"/>
    <w:rsid w:val="00922A31"/>
    <w:rsid w:val="009232C1"/>
    <w:rsid w:val="009238F9"/>
    <w:rsid w:val="0092401D"/>
    <w:rsid w:val="00924E3F"/>
    <w:rsid w:val="009266B0"/>
    <w:rsid w:val="00926825"/>
    <w:rsid w:val="00927323"/>
    <w:rsid w:val="009304CA"/>
    <w:rsid w:val="00930828"/>
    <w:rsid w:val="00932723"/>
    <w:rsid w:val="0093334A"/>
    <w:rsid w:val="00934C1D"/>
    <w:rsid w:val="009403A3"/>
    <w:rsid w:val="00941BD2"/>
    <w:rsid w:val="00941EAD"/>
    <w:rsid w:val="009443B8"/>
    <w:rsid w:val="009447BC"/>
    <w:rsid w:val="00946336"/>
    <w:rsid w:val="00946769"/>
    <w:rsid w:val="0095054B"/>
    <w:rsid w:val="00951AF6"/>
    <w:rsid w:val="009533D4"/>
    <w:rsid w:val="009536BB"/>
    <w:rsid w:val="009553A0"/>
    <w:rsid w:val="00961759"/>
    <w:rsid w:val="00961BCE"/>
    <w:rsid w:val="0096232C"/>
    <w:rsid w:val="00962CBB"/>
    <w:rsid w:val="00962EB8"/>
    <w:rsid w:val="00964DE0"/>
    <w:rsid w:val="0096639F"/>
    <w:rsid w:val="00970C23"/>
    <w:rsid w:val="009724B6"/>
    <w:rsid w:val="0097401B"/>
    <w:rsid w:val="009740D0"/>
    <w:rsid w:val="009751E4"/>
    <w:rsid w:val="00976F95"/>
    <w:rsid w:val="00977343"/>
    <w:rsid w:val="0098180D"/>
    <w:rsid w:val="00981932"/>
    <w:rsid w:val="009834C6"/>
    <w:rsid w:val="00984D5F"/>
    <w:rsid w:val="00985A14"/>
    <w:rsid w:val="009870C6"/>
    <w:rsid w:val="00987E19"/>
    <w:rsid w:val="009906E7"/>
    <w:rsid w:val="009918DF"/>
    <w:rsid w:val="00992F67"/>
    <w:rsid w:val="00994304"/>
    <w:rsid w:val="009944D1"/>
    <w:rsid w:val="00994B60"/>
    <w:rsid w:val="0099537F"/>
    <w:rsid w:val="009972BE"/>
    <w:rsid w:val="009A1242"/>
    <w:rsid w:val="009A1DE3"/>
    <w:rsid w:val="009A4E23"/>
    <w:rsid w:val="009A632C"/>
    <w:rsid w:val="009A6437"/>
    <w:rsid w:val="009A76A0"/>
    <w:rsid w:val="009A7E06"/>
    <w:rsid w:val="009B07DC"/>
    <w:rsid w:val="009B0924"/>
    <w:rsid w:val="009B2680"/>
    <w:rsid w:val="009B2A1F"/>
    <w:rsid w:val="009B3989"/>
    <w:rsid w:val="009B4CB6"/>
    <w:rsid w:val="009B5C9B"/>
    <w:rsid w:val="009C0030"/>
    <w:rsid w:val="009C0601"/>
    <w:rsid w:val="009C0857"/>
    <w:rsid w:val="009C218F"/>
    <w:rsid w:val="009C3E58"/>
    <w:rsid w:val="009C4FF8"/>
    <w:rsid w:val="009D21C0"/>
    <w:rsid w:val="009D25E1"/>
    <w:rsid w:val="009D2DFF"/>
    <w:rsid w:val="009D3A51"/>
    <w:rsid w:val="009D489A"/>
    <w:rsid w:val="009D4F58"/>
    <w:rsid w:val="009D5AD5"/>
    <w:rsid w:val="009D5FBA"/>
    <w:rsid w:val="009E0791"/>
    <w:rsid w:val="009E18A2"/>
    <w:rsid w:val="009E27A4"/>
    <w:rsid w:val="009E387A"/>
    <w:rsid w:val="009E3A4C"/>
    <w:rsid w:val="009E3B0F"/>
    <w:rsid w:val="009E406C"/>
    <w:rsid w:val="009E43AD"/>
    <w:rsid w:val="009E55D9"/>
    <w:rsid w:val="009E6425"/>
    <w:rsid w:val="009F0C6F"/>
    <w:rsid w:val="009F23C2"/>
    <w:rsid w:val="009F2C0F"/>
    <w:rsid w:val="009F44AD"/>
    <w:rsid w:val="009F47ED"/>
    <w:rsid w:val="009F4AE1"/>
    <w:rsid w:val="009F550E"/>
    <w:rsid w:val="009F65CB"/>
    <w:rsid w:val="00A02323"/>
    <w:rsid w:val="00A10BE6"/>
    <w:rsid w:val="00A11CE4"/>
    <w:rsid w:val="00A11D17"/>
    <w:rsid w:val="00A12EC9"/>
    <w:rsid w:val="00A132D9"/>
    <w:rsid w:val="00A14EED"/>
    <w:rsid w:val="00A17511"/>
    <w:rsid w:val="00A239FE"/>
    <w:rsid w:val="00A23F46"/>
    <w:rsid w:val="00A259C5"/>
    <w:rsid w:val="00A25EBA"/>
    <w:rsid w:val="00A273D8"/>
    <w:rsid w:val="00A27A4E"/>
    <w:rsid w:val="00A32EB2"/>
    <w:rsid w:val="00A335E0"/>
    <w:rsid w:val="00A34E31"/>
    <w:rsid w:val="00A4091F"/>
    <w:rsid w:val="00A42D0D"/>
    <w:rsid w:val="00A44E3D"/>
    <w:rsid w:val="00A4540A"/>
    <w:rsid w:val="00A4565F"/>
    <w:rsid w:val="00A45B90"/>
    <w:rsid w:val="00A51026"/>
    <w:rsid w:val="00A51ECF"/>
    <w:rsid w:val="00A55959"/>
    <w:rsid w:val="00A56713"/>
    <w:rsid w:val="00A62357"/>
    <w:rsid w:val="00A62761"/>
    <w:rsid w:val="00A66D21"/>
    <w:rsid w:val="00A6733D"/>
    <w:rsid w:val="00A70B70"/>
    <w:rsid w:val="00A70D4E"/>
    <w:rsid w:val="00A73ED7"/>
    <w:rsid w:val="00A74ABB"/>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1368"/>
    <w:rsid w:val="00A91DBD"/>
    <w:rsid w:val="00A96186"/>
    <w:rsid w:val="00A97713"/>
    <w:rsid w:val="00AA15F1"/>
    <w:rsid w:val="00AA3E6D"/>
    <w:rsid w:val="00AA6A6F"/>
    <w:rsid w:val="00AA6E04"/>
    <w:rsid w:val="00AA7BA9"/>
    <w:rsid w:val="00AA7FEC"/>
    <w:rsid w:val="00AB218C"/>
    <w:rsid w:val="00AB2BE8"/>
    <w:rsid w:val="00AB3096"/>
    <w:rsid w:val="00AB3E60"/>
    <w:rsid w:val="00AB42AE"/>
    <w:rsid w:val="00AB7415"/>
    <w:rsid w:val="00AC16A2"/>
    <w:rsid w:val="00AC3238"/>
    <w:rsid w:val="00AC3644"/>
    <w:rsid w:val="00AC3D0C"/>
    <w:rsid w:val="00AC471C"/>
    <w:rsid w:val="00AC73BD"/>
    <w:rsid w:val="00AC7B09"/>
    <w:rsid w:val="00AD2972"/>
    <w:rsid w:val="00AD2BA9"/>
    <w:rsid w:val="00AD32F2"/>
    <w:rsid w:val="00AD3DEA"/>
    <w:rsid w:val="00AD3F7A"/>
    <w:rsid w:val="00AD43FA"/>
    <w:rsid w:val="00AD5EE4"/>
    <w:rsid w:val="00AD7288"/>
    <w:rsid w:val="00AE24F2"/>
    <w:rsid w:val="00AE3DD6"/>
    <w:rsid w:val="00AE6BD1"/>
    <w:rsid w:val="00AF045D"/>
    <w:rsid w:val="00AF20D2"/>
    <w:rsid w:val="00AF48BD"/>
    <w:rsid w:val="00AF5704"/>
    <w:rsid w:val="00AF6753"/>
    <w:rsid w:val="00AF7ADF"/>
    <w:rsid w:val="00B0180A"/>
    <w:rsid w:val="00B01E3A"/>
    <w:rsid w:val="00B036AF"/>
    <w:rsid w:val="00B06313"/>
    <w:rsid w:val="00B07B6B"/>
    <w:rsid w:val="00B116D9"/>
    <w:rsid w:val="00B12597"/>
    <w:rsid w:val="00B1350B"/>
    <w:rsid w:val="00B169A2"/>
    <w:rsid w:val="00B175D8"/>
    <w:rsid w:val="00B22DD6"/>
    <w:rsid w:val="00B22DDC"/>
    <w:rsid w:val="00B23AA0"/>
    <w:rsid w:val="00B250D5"/>
    <w:rsid w:val="00B25D8E"/>
    <w:rsid w:val="00B3194E"/>
    <w:rsid w:val="00B32597"/>
    <w:rsid w:val="00B3336A"/>
    <w:rsid w:val="00B33A46"/>
    <w:rsid w:val="00B33EFA"/>
    <w:rsid w:val="00B3590C"/>
    <w:rsid w:val="00B35D82"/>
    <w:rsid w:val="00B36D4F"/>
    <w:rsid w:val="00B4103A"/>
    <w:rsid w:val="00B417C7"/>
    <w:rsid w:val="00B4388D"/>
    <w:rsid w:val="00B474C8"/>
    <w:rsid w:val="00B500F2"/>
    <w:rsid w:val="00B51888"/>
    <w:rsid w:val="00B5258A"/>
    <w:rsid w:val="00B52F85"/>
    <w:rsid w:val="00B53900"/>
    <w:rsid w:val="00B5421E"/>
    <w:rsid w:val="00B56B55"/>
    <w:rsid w:val="00B6176B"/>
    <w:rsid w:val="00B62AFA"/>
    <w:rsid w:val="00B6495A"/>
    <w:rsid w:val="00B66BA4"/>
    <w:rsid w:val="00B67AB1"/>
    <w:rsid w:val="00B70E49"/>
    <w:rsid w:val="00B71577"/>
    <w:rsid w:val="00B73384"/>
    <w:rsid w:val="00B73FD7"/>
    <w:rsid w:val="00B74DED"/>
    <w:rsid w:val="00B75D34"/>
    <w:rsid w:val="00B763B8"/>
    <w:rsid w:val="00B7648B"/>
    <w:rsid w:val="00B76C91"/>
    <w:rsid w:val="00B7726B"/>
    <w:rsid w:val="00B8200E"/>
    <w:rsid w:val="00B83D73"/>
    <w:rsid w:val="00B84DA6"/>
    <w:rsid w:val="00B855FA"/>
    <w:rsid w:val="00B85C75"/>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B14FE"/>
    <w:rsid w:val="00BB177A"/>
    <w:rsid w:val="00BB1D9F"/>
    <w:rsid w:val="00BB51A9"/>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BB"/>
    <w:rsid w:val="00BE7ED9"/>
    <w:rsid w:val="00BF181D"/>
    <w:rsid w:val="00BF1B72"/>
    <w:rsid w:val="00BF4B38"/>
    <w:rsid w:val="00C011BE"/>
    <w:rsid w:val="00C03670"/>
    <w:rsid w:val="00C03D59"/>
    <w:rsid w:val="00C04809"/>
    <w:rsid w:val="00C05161"/>
    <w:rsid w:val="00C077DE"/>
    <w:rsid w:val="00C07C8A"/>
    <w:rsid w:val="00C1021E"/>
    <w:rsid w:val="00C12E0B"/>
    <w:rsid w:val="00C1524D"/>
    <w:rsid w:val="00C15C62"/>
    <w:rsid w:val="00C15D19"/>
    <w:rsid w:val="00C172F9"/>
    <w:rsid w:val="00C17F7C"/>
    <w:rsid w:val="00C20975"/>
    <w:rsid w:val="00C21B6D"/>
    <w:rsid w:val="00C22039"/>
    <w:rsid w:val="00C221EC"/>
    <w:rsid w:val="00C236BE"/>
    <w:rsid w:val="00C24999"/>
    <w:rsid w:val="00C25329"/>
    <w:rsid w:val="00C257A8"/>
    <w:rsid w:val="00C26321"/>
    <w:rsid w:val="00C26585"/>
    <w:rsid w:val="00C27D7B"/>
    <w:rsid w:val="00C30153"/>
    <w:rsid w:val="00C31ED2"/>
    <w:rsid w:val="00C33D4D"/>
    <w:rsid w:val="00C3466A"/>
    <w:rsid w:val="00C348AC"/>
    <w:rsid w:val="00C36EB3"/>
    <w:rsid w:val="00C377AD"/>
    <w:rsid w:val="00C40B21"/>
    <w:rsid w:val="00C42D35"/>
    <w:rsid w:val="00C43210"/>
    <w:rsid w:val="00C43471"/>
    <w:rsid w:val="00C43B61"/>
    <w:rsid w:val="00C443FC"/>
    <w:rsid w:val="00C45031"/>
    <w:rsid w:val="00C450B9"/>
    <w:rsid w:val="00C454D8"/>
    <w:rsid w:val="00C45E6A"/>
    <w:rsid w:val="00C46A08"/>
    <w:rsid w:val="00C51A58"/>
    <w:rsid w:val="00C53274"/>
    <w:rsid w:val="00C5363A"/>
    <w:rsid w:val="00C549C2"/>
    <w:rsid w:val="00C55002"/>
    <w:rsid w:val="00C55B17"/>
    <w:rsid w:val="00C64809"/>
    <w:rsid w:val="00C64946"/>
    <w:rsid w:val="00C6553D"/>
    <w:rsid w:val="00C66172"/>
    <w:rsid w:val="00C67B0D"/>
    <w:rsid w:val="00C7421B"/>
    <w:rsid w:val="00C77269"/>
    <w:rsid w:val="00C812F4"/>
    <w:rsid w:val="00C82896"/>
    <w:rsid w:val="00C82F08"/>
    <w:rsid w:val="00C84728"/>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1A82"/>
    <w:rsid w:val="00CB2F8A"/>
    <w:rsid w:val="00CB2FFA"/>
    <w:rsid w:val="00CB4AD6"/>
    <w:rsid w:val="00CB4EB6"/>
    <w:rsid w:val="00CB4F93"/>
    <w:rsid w:val="00CB4FD8"/>
    <w:rsid w:val="00CB508C"/>
    <w:rsid w:val="00CB774F"/>
    <w:rsid w:val="00CC1903"/>
    <w:rsid w:val="00CC2F8A"/>
    <w:rsid w:val="00CC3645"/>
    <w:rsid w:val="00CC40BA"/>
    <w:rsid w:val="00CC7C12"/>
    <w:rsid w:val="00CD1226"/>
    <w:rsid w:val="00CD18A2"/>
    <w:rsid w:val="00CD1CC5"/>
    <w:rsid w:val="00CD4E86"/>
    <w:rsid w:val="00CD5053"/>
    <w:rsid w:val="00CE195C"/>
    <w:rsid w:val="00CE41D0"/>
    <w:rsid w:val="00CE611A"/>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6050"/>
    <w:rsid w:val="00D06CDB"/>
    <w:rsid w:val="00D0741E"/>
    <w:rsid w:val="00D07B12"/>
    <w:rsid w:val="00D132DC"/>
    <w:rsid w:val="00D13A6C"/>
    <w:rsid w:val="00D13F7A"/>
    <w:rsid w:val="00D142B6"/>
    <w:rsid w:val="00D16187"/>
    <w:rsid w:val="00D167E7"/>
    <w:rsid w:val="00D20E19"/>
    <w:rsid w:val="00D231A6"/>
    <w:rsid w:val="00D26873"/>
    <w:rsid w:val="00D26D6F"/>
    <w:rsid w:val="00D30138"/>
    <w:rsid w:val="00D30FDF"/>
    <w:rsid w:val="00D31875"/>
    <w:rsid w:val="00D3196A"/>
    <w:rsid w:val="00D31CC6"/>
    <w:rsid w:val="00D32F83"/>
    <w:rsid w:val="00D3361E"/>
    <w:rsid w:val="00D3468A"/>
    <w:rsid w:val="00D355BD"/>
    <w:rsid w:val="00D35660"/>
    <w:rsid w:val="00D36770"/>
    <w:rsid w:val="00D36946"/>
    <w:rsid w:val="00D37F91"/>
    <w:rsid w:val="00D40CAF"/>
    <w:rsid w:val="00D41C1F"/>
    <w:rsid w:val="00D42053"/>
    <w:rsid w:val="00D4208A"/>
    <w:rsid w:val="00D427D6"/>
    <w:rsid w:val="00D458D3"/>
    <w:rsid w:val="00D47630"/>
    <w:rsid w:val="00D50502"/>
    <w:rsid w:val="00D507FB"/>
    <w:rsid w:val="00D51EB9"/>
    <w:rsid w:val="00D52571"/>
    <w:rsid w:val="00D526E9"/>
    <w:rsid w:val="00D52E8A"/>
    <w:rsid w:val="00D5372A"/>
    <w:rsid w:val="00D55565"/>
    <w:rsid w:val="00D559B2"/>
    <w:rsid w:val="00D55F56"/>
    <w:rsid w:val="00D56470"/>
    <w:rsid w:val="00D57273"/>
    <w:rsid w:val="00D576DF"/>
    <w:rsid w:val="00D57F3C"/>
    <w:rsid w:val="00D60256"/>
    <w:rsid w:val="00D6078F"/>
    <w:rsid w:val="00D63335"/>
    <w:rsid w:val="00D63821"/>
    <w:rsid w:val="00D63D95"/>
    <w:rsid w:val="00D70018"/>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1B77"/>
    <w:rsid w:val="00D97BE0"/>
    <w:rsid w:val="00DA0D9D"/>
    <w:rsid w:val="00DA1BF4"/>
    <w:rsid w:val="00DA4061"/>
    <w:rsid w:val="00DA5485"/>
    <w:rsid w:val="00DB0788"/>
    <w:rsid w:val="00DB28F1"/>
    <w:rsid w:val="00DB3955"/>
    <w:rsid w:val="00DB457A"/>
    <w:rsid w:val="00DB491F"/>
    <w:rsid w:val="00DB4C6E"/>
    <w:rsid w:val="00DB513B"/>
    <w:rsid w:val="00DB5975"/>
    <w:rsid w:val="00DC09C1"/>
    <w:rsid w:val="00DC2A75"/>
    <w:rsid w:val="00DC2B12"/>
    <w:rsid w:val="00DC2DD6"/>
    <w:rsid w:val="00DC315B"/>
    <w:rsid w:val="00DC37EE"/>
    <w:rsid w:val="00DC53FC"/>
    <w:rsid w:val="00DC5FC2"/>
    <w:rsid w:val="00DD064F"/>
    <w:rsid w:val="00DD0FEE"/>
    <w:rsid w:val="00DD1862"/>
    <w:rsid w:val="00DD19A5"/>
    <w:rsid w:val="00DD2243"/>
    <w:rsid w:val="00DD2420"/>
    <w:rsid w:val="00DD2477"/>
    <w:rsid w:val="00DD37B3"/>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2C21"/>
    <w:rsid w:val="00DF7B20"/>
    <w:rsid w:val="00E00B0E"/>
    <w:rsid w:val="00E0581B"/>
    <w:rsid w:val="00E05A68"/>
    <w:rsid w:val="00E05BB4"/>
    <w:rsid w:val="00E077EB"/>
    <w:rsid w:val="00E077F9"/>
    <w:rsid w:val="00E1002A"/>
    <w:rsid w:val="00E10C5E"/>
    <w:rsid w:val="00E11C32"/>
    <w:rsid w:val="00E1201E"/>
    <w:rsid w:val="00E132C4"/>
    <w:rsid w:val="00E14133"/>
    <w:rsid w:val="00E14763"/>
    <w:rsid w:val="00E14F42"/>
    <w:rsid w:val="00E1655E"/>
    <w:rsid w:val="00E174AA"/>
    <w:rsid w:val="00E21050"/>
    <w:rsid w:val="00E2195B"/>
    <w:rsid w:val="00E22074"/>
    <w:rsid w:val="00E2371C"/>
    <w:rsid w:val="00E25EC6"/>
    <w:rsid w:val="00E26321"/>
    <w:rsid w:val="00E273DC"/>
    <w:rsid w:val="00E304F7"/>
    <w:rsid w:val="00E30B6A"/>
    <w:rsid w:val="00E32D56"/>
    <w:rsid w:val="00E346CA"/>
    <w:rsid w:val="00E3537F"/>
    <w:rsid w:val="00E35C95"/>
    <w:rsid w:val="00E361B1"/>
    <w:rsid w:val="00E36A29"/>
    <w:rsid w:val="00E36CDF"/>
    <w:rsid w:val="00E36D40"/>
    <w:rsid w:val="00E36E54"/>
    <w:rsid w:val="00E3702A"/>
    <w:rsid w:val="00E372CF"/>
    <w:rsid w:val="00E40A51"/>
    <w:rsid w:val="00E41D5B"/>
    <w:rsid w:val="00E4490C"/>
    <w:rsid w:val="00E45580"/>
    <w:rsid w:val="00E4772C"/>
    <w:rsid w:val="00E5014A"/>
    <w:rsid w:val="00E50391"/>
    <w:rsid w:val="00E5147F"/>
    <w:rsid w:val="00E51792"/>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749C5"/>
    <w:rsid w:val="00E76859"/>
    <w:rsid w:val="00E77387"/>
    <w:rsid w:val="00E777AA"/>
    <w:rsid w:val="00E81C77"/>
    <w:rsid w:val="00E8311A"/>
    <w:rsid w:val="00E8489A"/>
    <w:rsid w:val="00E85199"/>
    <w:rsid w:val="00E85BC9"/>
    <w:rsid w:val="00E86916"/>
    <w:rsid w:val="00E87419"/>
    <w:rsid w:val="00E908AC"/>
    <w:rsid w:val="00E90E98"/>
    <w:rsid w:val="00E92E98"/>
    <w:rsid w:val="00E94903"/>
    <w:rsid w:val="00E95DCD"/>
    <w:rsid w:val="00EA0FDA"/>
    <w:rsid w:val="00EA3C04"/>
    <w:rsid w:val="00EA500A"/>
    <w:rsid w:val="00EA5761"/>
    <w:rsid w:val="00EA5B03"/>
    <w:rsid w:val="00EA6519"/>
    <w:rsid w:val="00EA724D"/>
    <w:rsid w:val="00EA7DD2"/>
    <w:rsid w:val="00EB0475"/>
    <w:rsid w:val="00EB102C"/>
    <w:rsid w:val="00EB1368"/>
    <w:rsid w:val="00EB2E4B"/>
    <w:rsid w:val="00EB369A"/>
    <w:rsid w:val="00EB5E31"/>
    <w:rsid w:val="00EB60F8"/>
    <w:rsid w:val="00EB6709"/>
    <w:rsid w:val="00EB6DD1"/>
    <w:rsid w:val="00EB794C"/>
    <w:rsid w:val="00EC2321"/>
    <w:rsid w:val="00EC30D0"/>
    <w:rsid w:val="00EC30FC"/>
    <w:rsid w:val="00EC3D9F"/>
    <w:rsid w:val="00EC5107"/>
    <w:rsid w:val="00EC7124"/>
    <w:rsid w:val="00EC7381"/>
    <w:rsid w:val="00EC7A62"/>
    <w:rsid w:val="00ED09CD"/>
    <w:rsid w:val="00ED2D63"/>
    <w:rsid w:val="00ED3DDB"/>
    <w:rsid w:val="00ED4518"/>
    <w:rsid w:val="00ED4AF1"/>
    <w:rsid w:val="00EE2C70"/>
    <w:rsid w:val="00EE3812"/>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9C6"/>
    <w:rsid w:val="00F01374"/>
    <w:rsid w:val="00F03B1B"/>
    <w:rsid w:val="00F0614C"/>
    <w:rsid w:val="00F06856"/>
    <w:rsid w:val="00F07757"/>
    <w:rsid w:val="00F1181F"/>
    <w:rsid w:val="00F12215"/>
    <w:rsid w:val="00F12A8A"/>
    <w:rsid w:val="00F12E98"/>
    <w:rsid w:val="00F13AB5"/>
    <w:rsid w:val="00F13C23"/>
    <w:rsid w:val="00F14578"/>
    <w:rsid w:val="00F15FE2"/>
    <w:rsid w:val="00F160DD"/>
    <w:rsid w:val="00F21586"/>
    <w:rsid w:val="00F2591B"/>
    <w:rsid w:val="00F25DB3"/>
    <w:rsid w:val="00F31C66"/>
    <w:rsid w:val="00F321DD"/>
    <w:rsid w:val="00F32D66"/>
    <w:rsid w:val="00F33D16"/>
    <w:rsid w:val="00F3589E"/>
    <w:rsid w:val="00F3627D"/>
    <w:rsid w:val="00F42D66"/>
    <w:rsid w:val="00F45205"/>
    <w:rsid w:val="00F45A48"/>
    <w:rsid w:val="00F4640B"/>
    <w:rsid w:val="00F47DBC"/>
    <w:rsid w:val="00F502FB"/>
    <w:rsid w:val="00F50E4F"/>
    <w:rsid w:val="00F51CB6"/>
    <w:rsid w:val="00F5209D"/>
    <w:rsid w:val="00F54C10"/>
    <w:rsid w:val="00F54D66"/>
    <w:rsid w:val="00F54FB1"/>
    <w:rsid w:val="00F55FEB"/>
    <w:rsid w:val="00F5671E"/>
    <w:rsid w:val="00F571CD"/>
    <w:rsid w:val="00F60337"/>
    <w:rsid w:val="00F604C7"/>
    <w:rsid w:val="00F60A9A"/>
    <w:rsid w:val="00F6108E"/>
    <w:rsid w:val="00F61766"/>
    <w:rsid w:val="00F625BE"/>
    <w:rsid w:val="00F640F6"/>
    <w:rsid w:val="00F66371"/>
    <w:rsid w:val="00F676F8"/>
    <w:rsid w:val="00F67BEA"/>
    <w:rsid w:val="00F700EE"/>
    <w:rsid w:val="00F70615"/>
    <w:rsid w:val="00F7131E"/>
    <w:rsid w:val="00F73697"/>
    <w:rsid w:val="00F7396D"/>
    <w:rsid w:val="00F73C52"/>
    <w:rsid w:val="00F752DF"/>
    <w:rsid w:val="00F759D9"/>
    <w:rsid w:val="00F766BD"/>
    <w:rsid w:val="00F81B82"/>
    <w:rsid w:val="00F81F64"/>
    <w:rsid w:val="00F824BE"/>
    <w:rsid w:val="00F82AF9"/>
    <w:rsid w:val="00F8390C"/>
    <w:rsid w:val="00F83B48"/>
    <w:rsid w:val="00F864F7"/>
    <w:rsid w:val="00F90FE7"/>
    <w:rsid w:val="00F913D0"/>
    <w:rsid w:val="00F94F10"/>
    <w:rsid w:val="00F95C56"/>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7EAB"/>
    <w:rsid w:val="00FB120E"/>
    <w:rsid w:val="00FB26B4"/>
    <w:rsid w:val="00FB4474"/>
    <w:rsid w:val="00FB6FC0"/>
    <w:rsid w:val="00FB7CCF"/>
    <w:rsid w:val="00FC227A"/>
    <w:rsid w:val="00FC313E"/>
    <w:rsid w:val="00FC3208"/>
    <w:rsid w:val="00FC57A8"/>
    <w:rsid w:val="00FC5E01"/>
    <w:rsid w:val="00FC6103"/>
    <w:rsid w:val="00FC6B18"/>
    <w:rsid w:val="00FD07D3"/>
    <w:rsid w:val="00FD2A78"/>
    <w:rsid w:val="00FD32BC"/>
    <w:rsid w:val="00FD46B1"/>
    <w:rsid w:val="00FD50BC"/>
    <w:rsid w:val="00FD52DE"/>
    <w:rsid w:val="00FD5DD0"/>
    <w:rsid w:val="00FD6E31"/>
    <w:rsid w:val="00FE192C"/>
    <w:rsid w:val="00FE1E69"/>
    <w:rsid w:val="00FE2519"/>
    <w:rsid w:val="00FE2B55"/>
    <w:rsid w:val="00FE4ED4"/>
    <w:rsid w:val="00FE6CB4"/>
    <w:rsid w:val="00FE71B4"/>
    <w:rsid w:val="00FE7671"/>
    <w:rsid w:val="00FE79BF"/>
    <w:rsid w:val="00FE7CCC"/>
    <w:rsid w:val="00FE7ED9"/>
    <w:rsid w:val="00FF00FC"/>
    <w:rsid w:val="00FF0805"/>
    <w:rsid w:val="00FF315D"/>
    <w:rsid w:val="00FF352D"/>
    <w:rsid w:val="00FF49D9"/>
    <w:rsid w:val="00FF4A61"/>
    <w:rsid w:val="00FF6873"/>
    <w:rsid w:val="010550DD"/>
    <w:rsid w:val="020C3215"/>
    <w:rsid w:val="0DA76EF7"/>
    <w:rsid w:val="0F5A7EF5"/>
    <w:rsid w:val="10B61AF9"/>
    <w:rsid w:val="197E2E13"/>
    <w:rsid w:val="1EB23894"/>
    <w:rsid w:val="22E45860"/>
    <w:rsid w:val="24257BFD"/>
    <w:rsid w:val="27156329"/>
    <w:rsid w:val="2A3F6DCB"/>
    <w:rsid w:val="2BCB4E87"/>
    <w:rsid w:val="2C066061"/>
    <w:rsid w:val="2D9D11C8"/>
    <w:rsid w:val="3013205B"/>
    <w:rsid w:val="30361475"/>
    <w:rsid w:val="33701023"/>
    <w:rsid w:val="337B1A67"/>
    <w:rsid w:val="33C15BE0"/>
    <w:rsid w:val="384B24CE"/>
    <w:rsid w:val="399563E3"/>
    <w:rsid w:val="3DDC7F8B"/>
    <w:rsid w:val="3E217B1B"/>
    <w:rsid w:val="40751C9F"/>
    <w:rsid w:val="407E44CB"/>
    <w:rsid w:val="42857728"/>
    <w:rsid w:val="437D2DD8"/>
    <w:rsid w:val="44F77FF8"/>
    <w:rsid w:val="46E10BF3"/>
    <w:rsid w:val="474546EB"/>
    <w:rsid w:val="47E271FA"/>
    <w:rsid w:val="4D95357E"/>
    <w:rsid w:val="4E05412E"/>
    <w:rsid w:val="4EBE0E61"/>
    <w:rsid w:val="50017CAB"/>
    <w:rsid w:val="56A85281"/>
    <w:rsid w:val="57722EBB"/>
    <w:rsid w:val="57AD1090"/>
    <w:rsid w:val="60A83866"/>
    <w:rsid w:val="65DC0272"/>
    <w:rsid w:val="6AF712BC"/>
    <w:rsid w:val="6D302958"/>
    <w:rsid w:val="6D8C4A9A"/>
    <w:rsid w:val="6DF74CFB"/>
    <w:rsid w:val="6F107FC5"/>
    <w:rsid w:val="730A6DE6"/>
    <w:rsid w:val="755E70D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nhideWhenUsed="0" w:uiPriority="99" w:semiHidden="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3"/>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uiPriority w:val="1"/>
  </w:style>
  <w:style w:type="table" w:default="1" w:styleId="12">
    <w:name w:val="Normal Table"/>
    <w:semiHidden/>
    <w:unhideWhenUsed/>
    <w:uiPriority w:val="99"/>
    <w:tblPr>
      <w:tblLayout w:type="fixed"/>
      <w:tblCellMar>
        <w:top w:w="0" w:type="dxa"/>
        <w:left w:w="108" w:type="dxa"/>
        <w:bottom w:w="0" w:type="dxa"/>
        <w:right w:w="108" w:type="dxa"/>
      </w:tblCellMar>
    </w:tblPr>
  </w:style>
  <w:style w:type="paragraph" w:styleId="3">
    <w:name w:val="annotation subject"/>
    <w:basedOn w:val="4"/>
    <w:next w:val="4"/>
    <w:link w:val="15"/>
    <w:qFormat/>
    <w:uiPriority w:val="0"/>
    <w:rPr>
      <w:b/>
      <w:bCs/>
    </w:rPr>
  </w:style>
  <w:style w:type="paragraph" w:styleId="4">
    <w:name w:val="annotation text"/>
    <w:basedOn w:val="1"/>
    <w:link w:val="14"/>
    <w:qFormat/>
    <w:uiPriority w:val="0"/>
    <w:pPr>
      <w:jc w:val="left"/>
    </w:pPr>
  </w:style>
  <w:style w:type="paragraph" w:styleId="5">
    <w:name w:val="Balloon Text"/>
    <w:basedOn w:val="1"/>
    <w:link w:val="16"/>
    <w:qFormat/>
    <w:uiPriority w:val="0"/>
    <w:rPr>
      <w:sz w:val="18"/>
      <w:szCs w:val="18"/>
    </w:rPr>
  </w:style>
  <w:style w:type="paragraph" w:styleId="6">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7">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8">
    <w:name w:val="HTML Preformatted"/>
    <w:basedOn w:val="1"/>
    <w:link w:val="20"/>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character" w:styleId="10">
    <w:name w:val="Strong"/>
    <w:basedOn w:val="9"/>
    <w:qFormat/>
    <w:uiPriority w:val="0"/>
    <w:rPr>
      <w:b/>
      <w:bCs/>
    </w:rPr>
  </w:style>
  <w:style w:type="character" w:styleId="11">
    <w:name w:val="annotation reference"/>
    <w:basedOn w:val="9"/>
    <w:uiPriority w:val="0"/>
    <w:rPr>
      <w:sz w:val="21"/>
      <w:szCs w:val="21"/>
    </w:rPr>
  </w:style>
  <w:style w:type="table" w:styleId="13">
    <w:name w:val="Table Grid"/>
    <w:basedOn w:val="12"/>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4">
    <w:name w:val="批注文字 字符"/>
    <w:basedOn w:val="9"/>
    <w:link w:val="4"/>
    <w:uiPriority w:val="0"/>
    <w:rPr>
      <w:kern w:val="2"/>
      <w:sz w:val="21"/>
      <w:szCs w:val="24"/>
    </w:rPr>
  </w:style>
  <w:style w:type="character" w:customStyle="1" w:styleId="15">
    <w:name w:val="批注主题 字符"/>
    <w:basedOn w:val="14"/>
    <w:link w:val="3"/>
    <w:qFormat/>
    <w:uiPriority w:val="0"/>
    <w:rPr>
      <w:b/>
      <w:bCs/>
      <w:kern w:val="2"/>
      <w:sz w:val="21"/>
      <w:szCs w:val="24"/>
    </w:rPr>
  </w:style>
  <w:style w:type="character" w:customStyle="1" w:styleId="16">
    <w:name w:val="批注框文本 字符"/>
    <w:basedOn w:val="9"/>
    <w:link w:val="5"/>
    <w:qFormat/>
    <w:uiPriority w:val="0"/>
    <w:rPr>
      <w:kern w:val="2"/>
      <w:sz w:val="18"/>
      <w:szCs w:val="18"/>
    </w:rPr>
  </w:style>
  <w:style w:type="paragraph" w:customStyle="1" w:styleId="17">
    <w:name w:val="修订1"/>
    <w:hidden/>
    <w:semiHidden/>
    <w:qFormat/>
    <w:uiPriority w:val="99"/>
    <w:rPr>
      <w:rFonts w:ascii="Times New Roman" w:hAnsi="Times New Roman" w:eastAsia="宋体" w:cs="Times New Roman"/>
      <w:kern w:val="2"/>
      <w:sz w:val="21"/>
      <w:szCs w:val="24"/>
      <w:lang w:val="en-US" w:eastAsia="zh-CN" w:bidi="ar-SA"/>
    </w:rPr>
  </w:style>
  <w:style w:type="paragraph" w:styleId="18">
    <w:name w:val="List Paragraph"/>
    <w:basedOn w:val="1"/>
    <w:uiPriority w:val="99"/>
    <w:pPr>
      <w:ind w:firstLine="420" w:firstLineChars="200"/>
    </w:pPr>
  </w:style>
  <w:style w:type="character" w:customStyle="1" w:styleId="19">
    <w:name w:val="页眉 字符"/>
    <w:basedOn w:val="9"/>
    <w:link w:val="7"/>
    <w:uiPriority w:val="0"/>
    <w:rPr>
      <w:kern w:val="2"/>
      <w:sz w:val="18"/>
      <w:szCs w:val="18"/>
    </w:rPr>
  </w:style>
  <w:style w:type="character" w:customStyle="1" w:styleId="20">
    <w:name w:val="HTML 预设格式 字符"/>
    <w:basedOn w:val="9"/>
    <w:link w:val="8"/>
    <w:uiPriority w:val="99"/>
    <w:rPr>
      <w:rFonts w:ascii="宋体" w:hAnsi="宋体"/>
      <w:sz w:val="24"/>
      <w:szCs w:val="24"/>
    </w:rPr>
  </w:style>
  <w:style w:type="character" w:customStyle="1" w:styleId="21">
    <w:name w:val="name"/>
    <w:basedOn w:val="9"/>
    <w:uiPriority w:val="0"/>
  </w:style>
  <w:style w:type="table" w:customStyle="1" w:styleId="22">
    <w:name w:val="网格型1"/>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3">
    <w:name w:val="标题 1 字符"/>
    <w:basedOn w:val="9"/>
    <w:link w:val="2"/>
    <w:uiPriority w:val="0"/>
    <w:rPr>
      <w:b/>
      <w:bCs/>
      <w:kern w:val="44"/>
      <w:sz w:val="44"/>
      <w:szCs w:val="44"/>
    </w:rPr>
  </w:style>
  <w:style w:type="paragraph" w:customStyle="1" w:styleId="24">
    <w:name w:val="修订2"/>
    <w:hidden/>
    <w:semiHidden/>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00EE17-9281-424F-AD5B-06F9E514D7E3}">
  <ds:schemaRefs/>
</ds:datastoreItem>
</file>

<file path=docProps/app.xml><?xml version="1.0" encoding="utf-8"?>
<Properties xmlns="http://schemas.openxmlformats.org/officeDocument/2006/extended-properties" xmlns:vt="http://schemas.openxmlformats.org/officeDocument/2006/docPropsVTypes">
  <Template>Normal.dotm</Template>
  <Manager>海哥</Manager>
  <Company>喀什跃达共创信息技术有限责任公司</Company>
  <Pages>25</Pages>
  <Words>7346</Words>
  <Characters>2390</Characters>
  <Lines>19</Lines>
  <Paragraphs>19</Paragraphs>
  <TotalTime>2957</TotalTime>
  <ScaleCrop>false</ScaleCrop>
  <LinksUpToDate>false</LinksUpToDate>
  <CharactersWithSpaces>9717</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word文档</cp:category>
  <dcterms:created xsi:type="dcterms:W3CDTF">2024-03-27T11:20:00Z</dcterms:created>
  <dc:creator>海哥</dc:creator>
  <dc:description>2024年预算公开报告</dc:description>
  <cp:keywords>2024年预算公开报告</cp:keywords>
  <cp:lastModifiedBy>Administrator</cp:lastModifiedBy>
  <dcterms:modified xsi:type="dcterms:W3CDTF">2026-02-12T03:13:11Z</dcterms:modified>
  <dc:subject>预算公开报告</dc:subject>
  <dc:title>预算公开报告</dc:title>
  <cp:revision>32767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y fmtid="{D5CDD505-2E9C-101B-9397-08002B2CF9AE}" pid="3" name="ICV">
    <vt:lpwstr>1B91C5EB150743FC93A8AD9CE8312A8A</vt:lpwstr>
  </property>
</Properties>
</file>