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新疆维吾尔自治区喀什地区麦盖提县库木库萨尔乡人民政府</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麦盖提县库木库萨尔乡人民政府</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负责乡镇党委、党建、政府日常工作；负责与政府办、县委办、组织部等上级单位的工作协调；负责各级单位文件的上传下达管理、机关后勤保障等工作。负责乡镇教育、科技、文化、卫生、民政、体育、广播影视等工作。贯彻执行乡镇有关人口工作方针、政策、法律、法规以及社保救助工作。负责本乡涉农法规的宣传、贯彻、执行，编制农业技术推广计承包合同纠纷及土地承包经营权流转指导；指导农业社会化服务体系建设和农业产业化经营及农业合作经济组织建设。负责农村经济统计工作，全面系统、及时地搜集、整理、提供本乡的农村经济统计数字，开展统计分析，指导各村调查点的工作，按时上报各种报表，并做到准确及时。负责本辖区内各项农业新技术的推广应用工作及对本乡农作物病、虫、草、鼠害的预测、预报，并积极组织防治。</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麦盖提县库木库萨尔乡人民政府</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5</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党政综合办公室、党建工作办公室、经济发展和财政办公室、社会事务办公室、综合执法办公室。</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新疆维吾尔自治区喀什地区麦盖提县库木库萨尔乡人民政府实有人数</w:t>
      </w:r>
      <w:r>
        <w:rPr>
          <w:rFonts w:ascii="仿宋_GB2312" w:hAnsi="宋体" w:eastAsia="仿宋_GB2312" w:cs="宋体"/>
          <w:kern w:val="0"/>
          <w:sz w:val="32"/>
          <w:szCs w:val="32"/>
        </w:rPr>
        <w:t>125</w:t>
      </w:r>
      <w:r>
        <w:rPr>
          <w:rFonts w:hint="eastAsia" w:ascii="仿宋_GB2312" w:hAnsi="宋体" w:eastAsia="仿宋_GB2312" w:cs="宋体"/>
          <w:kern w:val="0"/>
          <w:sz w:val="32"/>
          <w:szCs w:val="32"/>
        </w:rPr>
        <w:t>人，其中：在职106人，减少</w:t>
      </w:r>
      <w:r>
        <w:rPr>
          <w:rFonts w:ascii="仿宋_GB2312" w:hAnsi="宋体" w:eastAsia="仿宋_GB2312" w:cs="宋体"/>
          <w:kern w:val="0"/>
          <w:sz w:val="32"/>
          <w:szCs w:val="32"/>
        </w:rPr>
        <w:t>1</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19</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2088.17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1594.77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2088.17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2037.17</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51.00</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100.51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166.62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2088.17</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2088.17</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一般公共服务支出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1594.77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1594.77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1543.77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政府办公厅（室）及相关机构事务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1543.77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1543.77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1543.77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行政运行</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1458.66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1458.66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1458.66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其他政府办公厅（室）及相关机构事务支出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85.11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85.11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85.11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组织事务</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99</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其他组织事务支出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51.00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社会保障和就业支出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行政事业单位养老支出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226.27</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226.27</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226.27</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行政单位离退休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29.26</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29.26</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29.26</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208</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05</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机关事业单位基本养老保险缴费支出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197.01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197.01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卫生健康支出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行政事业单位医疗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100.51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行政单位医疗</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85.01</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85.01</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85.01</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210</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03</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公务员医疗补助</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15.50</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15.50</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15.50</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住房保障支出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住房改革支出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221</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住房公积金</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166.62</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2088.17</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2088.17</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2037.17</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51.00</w:t>
            </w: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一般公共服务支出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1594.77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1458.66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136.11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政府办公厅（室）及相关机构事务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1543.77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1458.66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行政运行</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1458.66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1458.66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其他政府办公厅（室）及相关机构事务支出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组织事务</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32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99</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其他组织事务支出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51.00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社会保障和就业支出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行政事业单位养老支出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226.27</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行政单位离退休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29.26</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05</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机关事业单位基本养老保险缴费支出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197.01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卫生健康支出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行政事业单位医疗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100.51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行政单位医疗</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85.01</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03</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公务员医疗补助</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15.50</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住房保障支出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住房改革支出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住房公积金</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166.62</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2088.17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1952.06</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136.11</w:t>
            </w: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2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1113"/>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235"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111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2088.17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1594.77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1594.77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1113"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2088.17</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1113"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226.27</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226.27</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100.51</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100.51</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166.62</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166.62</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1113"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1113"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2088.17</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2088.17</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2088.17</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一般公共服务支出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1594.77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1458.66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136.11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政府办公厅（室）及相关机构事务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1543.77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1458.66</w:t>
            </w: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行政运行</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1458.66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1458.66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其他政府办公厅（室）及相关机构事务支出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85.11</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组织事务</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32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99</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其他组织事务支出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51.00</w:t>
            </w:r>
          </w:p>
        </w:tc>
        <w:tc>
          <w:tcPr>
            <w:tcW w:w="1276" w:type="dxa"/>
            <w:vAlign w:val="center"/>
          </w:tcPr>
          <w:p>
            <w:pPr>
              <w:widowControl/>
              <w:jc w:val="right"/>
              <w:rPr>
                <w:rFonts w:hint="eastAsia" w:ascii="仿宋_GB2312" w:eastAsia="仿宋_GB2312" w:cs="宋体" w:hAnsiTheme="minorEastAsia"/>
                <w:color w:val="000000"/>
                <w:kern w:val="0"/>
                <w:sz w:val="18"/>
                <w:szCs w:val="18"/>
              </w:rPr>
            </w:pPr>
          </w:p>
        </w:tc>
        <w:tc>
          <w:tcPr>
            <w:tcW w:w="1701"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社会保障和就业支出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行政事业单位养老支出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226.27</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226.27</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行政单位离退休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29.26</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29.26</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208</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05</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卫生健康支出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行政事业单位医疗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100.51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行政单位医疗</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85.01</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85.01</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210</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11</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03</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15.50</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15.50</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住房保障支出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住房改革支出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221</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2088.17</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1952.06</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136.11</w:t>
            </w: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1880.83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1880.83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444.86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444.86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564.98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564.98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285.39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285.39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106.51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106.51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197.01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85.01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公务员医疗补助缴费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4.74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166.62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10.21</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10.21</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39.09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39.09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办公费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06</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9.46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邮电费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差旅费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公务用车运行维护费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对个人和家庭的补助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32.14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退休费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05</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生活补助</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2.88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303</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奖励金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0.76</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0.76</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1952.06</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1912.97</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39.09</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一般公共服务支出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136.11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118.31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政府办公厅（室）及相关机构事务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85.11</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67.31</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52.69</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15.60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34.89</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2.20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03</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其他政府办公厅（室）及相关机构事务支出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年业务活动费（1）</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32.42</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32.42</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组织事务</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51.00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51.00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年村级组织运转经费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48.00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48.00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201</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32</w:t>
            </w:r>
          </w:p>
        </w:tc>
        <w:tc>
          <w:tcPr>
            <w:tcW w:w="709"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cs="宋体" w:hAnsiTheme="minorEastAsia"/>
                <w:bCs/>
                <w:color w:val="000000" w:themeColor="text1"/>
                <w:kern w:val="0"/>
                <w:sz w:val="18"/>
                <w:szCs w:val="18"/>
                <w14:textFill>
                  <w14:solidFill>
                    <w14:schemeClr w14:val="tx1"/>
                  </w14:solidFill>
                </w14:textFill>
              </w:rPr>
              <w:t>99</w:t>
            </w:r>
          </w:p>
        </w:tc>
        <w:tc>
          <w:tcPr>
            <w:tcW w:w="1842"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其他组织事务支出</w:t>
            </w:r>
          </w:p>
        </w:tc>
        <w:tc>
          <w:tcPr>
            <w:tcW w:w="212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lang w:eastAsia="zh-CN"/>
                <w14:textFill>
                  <w14:solidFill>
                    <w14:schemeClr w14:val="tx1"/>
                  </w14:solidFill>
                </w14:textFill>
              </w:rPr>
              <w:t>2026</w:t>
            </w:r>
            <w:r>
              <w:rPr>
                <w:rFonts w:hint="eastAsia" w:ascii="仿宋_GB2312" w:eastAsia="仿宋_GB2312" w:hAnsiTheme="minorEastAsia"/>
                <w:bCs/>
                <w:color w:val="000000" w:themeColor="text1"/>
                <w:kern w:val="0"/>
                <w:sz w:val="18"/>
                <w:szCs w:val="18"/>
                <w14:textFill>
                  <w14:solidFill>
                    <w14:schemeClr w14:val="tx1"/>
                  </w14:solidFill>
                </w14:textFill>
              </w:rPr>
              <w:t>年乡镇综合治理和工作经费</w:t>
            </w:r>
          </w:p>
        </w:tc>
        <w:tc>
          <w:tcPr>
            <w:tcW w:w="1417" w:type="dxa"/>
            <w:vAlign w:val="center"/>
          </w:tcPr>
          <w:p>
            <w:pPr>
              <w:widowControl/>
              <w:jc w:val="center"/>
              <w:outlineLvl w:val="1"/>
              <w:rPr>
                <w:rFonts w:hint="eastAsia" w:ascii="仿宋_GB2312" w:eastAsia="仿宋_GB2312" w:hAnsiTheme="minorEastAsia"/>
                <w:bCs/>
                <w:color w:val="000000" w:themeColor="text1"/>
                <w:kern w:val="0"/>
                <w:sz w:val="18"/>
                <w:szCs w:val="18"/>
                <w14:textFill>
                  <w14:solidFill>
                    <w14:schemeClr w14:val="tx1"/>
                  </w14:solidFill>
                </w14:textFill>
              </w:rPr>
            </w:pPr>
            <w:r>
              <w:rPr>
                <w:rFonts w:hint="eastAsia" w:ascii="仿宋_GB2312" w:eastAsia="仿宋_GB2312" w:hAnsiTheme="minorEastAsia"/>
                <w:bCs/>
                <w:color w:val="000000" w:themeColor="text1"/>
                <w:kern w:val="0"/>
                <w:sz w:val="18"/>
                <w:szCs w:val="18"/>
                <w14:textFill>
                  <w14:solidFill>
                    <w14:schemeClr w14:val="tx1"/>
                  </w14:solidFill>
                </w14:textFill>
              </w:rPr>
              <w:t>3.00</w:t>
            </w: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3.00</w:t>
            </w: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851"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8"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bCs/>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136.11</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15.60</w:t>
            </w:r>
          </w:p>
        </w:tc>
        <w:tc>
          <w:tcPr>
            <w:tcW w:w="709"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118.31</w:t>
            </w:r>
          </w:p>
        </w:tc>
        <w:tc>
          <w:tcPr>
            <w:tcW w:w="708"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2.20</w:t>
            </w: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12.98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12.98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r>
              <w:rPr>
                <w:rFonts w:hint="eastAsia" w:ascii="仿宋_GB2312" w:eastAsia="仿宋_GB2312" w:cs="宋体" w:hAnsiTheme="minorEastAsia"/>
                <w:kern w:val="0"/>
                <w:sz w:val="20"/>
                <w:szCs w:val="20"/>
              </w:rPr>
              <w:t>12.98</w:t>
            </w:r>
          </w:p>
        </w:tc>
        <w:tc>
          <w:tcPr>
            <w:tcW w:w="1985"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12.98</w:t>
            </w: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编制部门：新疆维吾尔自治区喀什地区麦盖提县库木库萨尔乡人民政府</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备注：新疆维吾尔自治区喀什地区麦盖提县库木库萨尔乡人民政府</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年所有收入和支出均纳入部门预算管理。收支总预算2088.17万元。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支出预算包括：一般公共服务支出、社会保障和就业支出、卫生健康支出、住房保障支出。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新疆维吾尔自治区喀什地区麦盖提县库木库萨尔乡人民政府收入预算2088.17万元，其中：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一般公共预算2037.17万元，占97.56%,比上年预算增加511.03万元，增长33.49%，主要原因是：1、人员工资增资，社保医保缴费基数增涨，住房公积金缴费增加，工资福利支出增加。2、</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年调整业务经费支出类款项，将业务活动经费调整至一般公共预算支出，造成一般公共预算资金增加。</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w:t>
      </w:r>
      <w:r>
        <w:rPr>
          <w:rFonts w:hint="eastAsia" w:ascii="仿宋_GB2312" w:hAnsi="MS Gothic" w:eastAsia="仿宋_GB2312" w:cs="MS Gothic"/>
          <w:kern w:val="0"/>
          <w:sz w:val="32"/>
          <w:szCs w:val="32"/>
          <w:cs/>
        </w:rPr>
        <w:t>‎</w:t>
      </w:r>
      <w:r>
        <w:rPr>
          <w:rFonts w:hint="eastAsia" w:ascii="仿宋_GB2312" w:hAnsi="宋体" w:eastAsia="仿宋_GB2312" w:cs="宋体"/>
          <w:kern w:val="0"/>
          <w:sz w:val="32"/>
          <w:szCs w:val="32"/>
        </w:rPr>
        <w:t>51万元，占2.44%,比上年预算减少287.09万元，下降84.92%，主要原因是：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年调整业务经费支出类款项，将业务活动经费调整至一般公共预算支出，造成转移支付资金减少。</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2088.17</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1952.06</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93.48</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147.91</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8.2</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本年预算人员工资普调，人员工资福利支出增加，预算数增加。</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136.11</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6.52</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76.03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126.55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年业务活动费，整体项目支出预算数增加。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年财政拨款收支总预算2088.17万元。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收入预算包括：一般公共预算拨款2088.17万元。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一般公共服务支出1594.77万元，主要用于：乡机关在职干部工资发放、化解历史欠款、12个行政村日常运转、综合执法办车辆燃油费保障；社会保障和就业支出226.27万元，主要用于：在职干部基本养老保险缴费、退休干部南疆补贴和交通费用补助；卫生健康支出100.51万元，主要用于：在职干部基本医疗保险和公务员医疗补助支出；住房保障支出166.62万元，主要用于：在职干部住房公积金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2088.17</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1952.06</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147.91</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8.2</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本年预算人员工资普调，人员工资福利支出增加，预算数增加。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136.11</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76.03</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126.55</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本年新增</w:t>
      </w:r>
      <w:r>
        <w:rPr>
          <w:rFonts w:hint="eastAsia" w:ascii="仿宋_GB2312" w:hAnsi="宋体" w:eastAsia="仿宋_GB2312" w:cs="宋体"/>
          <w:kern w:val="0"/>
          <w:sz w:val="32"/>
          <w:szCs w:val="32"/>
          <w:lang w:eastAsia="zh-CN"/>
        </w:rPr>
        <w:t>2026</w:t>
      </w:r>
      <w:r>
        <w:rPr>
          <w:rFonts w:ascii="仿宋_GB2312" w:hAnsi="宋体" w:eastAsia="仿宋_GB2312" w:cs="宋体"/>
          <w:kern w:val="0"/>
          <w:sz w:val="32"/>
          <w:szCs w:val="32"/>
        </w:rPr>
        <w:t>年业务活动费，一般公共预算项目支出预算数增加。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.一般公共服务支出（类）1594.77万元，占76.37%</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w:t>
      </w:r>
      <w:r>
        <w:rPr>
          <w:rFonts w:ascii="仿宋_GB2312" w:hAnsi="宋体" w:eastAsia="仿宋_GB2312" w:cs="宋体"/>
          <w:kern w:val="0"/>
          <w:sz w:val="32"/>
          <w:szCs w:val="32"/>
        </w:rPr>
        <w:t>.社会保障和就业支出（类）226.27万元，占10.84%</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w:t>
      </w:r>
      <w:r>
        <w:rPr>
          <w:rFonts w:ascii="仿宋_GB2312" w:hAnsi="宋体" w:eastAsia="仿宋_GB2312" w:cs="宋体"/>
          <w:kern w:val="0"/>
          <w:sz w:val="32"/>
          <w:szCs w:val="32"/>
        </w:rPr>
        <w:t>.卫生健康支出（类）100.51万元，占4.81%</w:t>
      </w:r>
      <w:r>
        <w:rPr>
          <w:rFonts w:hint="eastAsia" w:ascii="仿宋_GB2312" w:hAnsi="宋体" w:eastAsia="仿宋_GB2312" w:cs="宋体"/>
          <w:kern w:val="0"/>
          <w:sz w:val="32"/>
          <w:szCs w:val="32"/>
        </w:rPr>
        <w:t>。</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w:t>
      </w:r>
      <w:r>
        <w:rPr>
          <w:rFonts w:ascii="仿宋_GB2312" w:hAnsi="宋体" w:eastAsia="仿宋_GB2312" w:cs="宋体"/>
          <w:kern w:val="0"/>
          <w:sz w:val="32"/>
          <w:szCs w:val="32"/>
        </w:rPr>
        <w:t>.住房保障支出（类）166.62万元，占7.98%</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1.一般公共服务支出（类）政府办公厅（室）及相关机构事务（款）行政运行（项）：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年预算数为1458.66万元，比上年预算增加78.65万元，</w:t>
      </w:r>
      <w:bookmarkStart w:id="4" w:name="_Hlk157617573"/>
      <w:r>
        <w:rPr>
          <w:rFonts w:hint="eastAsia" w:ascii="仿宋_GB2312" w:hAnsi="宋体" w:eastAsia="仿宋_GB2312" w:cs="宋体"/>
          <w:kern w:val="0"/>
          <w:sz w:val="32"/>
          <w:szCs w:val="32"/>
        </w:rPr>
        <w:t>增长5.70%，主要原因是：本年预算人员工资普调，人员工资福利支出增加，预算数增加。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2.一般公共服务支出（类）政府办公厅（室）及相关机构事务（款）其他政府办公厅（室）及相关机构事务支出（项）：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年预算数为85.11万元，比上年预算增加85.11万元，增长100.00%，主要原因是：本年业务活动经费资金调整至该款支出，预算数增加。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3.一般公共服务支出（类）组织事务（款）其他组织事务支出（项）：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年预算数为51.00万元，比上年预算增加1.00万元，增长2.00%，主要原因是：本年预算安排的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年村级组织运转经费资金较上年增加，预算数增加。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4.社会保障和就业支出（类）行政事业单位养老支出（款）行政单位离退休（项）：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年预算数为29.26万元，比上年预算增加2.73万元，增长10.29%，主要原因是：本年预算增加退休干部奖励性绩效增资部分，行政单位离退休支出增加。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5.社会保障和就业支出（类）行政事业单位养老支出（款）机关事业单位基本养老保险缴费支出（项）：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年预算数为197.01万元，比上年预算增加21.83万元，增长12.46%，主要原因是：本年预算人员工资普调，机关事业单位基本养老保险缴费基数增长，预算数增加。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6.卫生健康支出（类）行政事业单位医疗（款）行政单位医疗（项）：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年预算数为85.01万元，比上年预算增加10.55万元，增长14.17%，主要原因是：本年预算人员工资普调，行政单位医疗缴费基数增长，预算数增加。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7.卫生健康支出（类）行政事业单位医疗（款）公务员医疗补助（项）：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年预算数为15.50万元，比上年预算增加1.35万元，增长9.54%，主要原因是：本年预算人员工资普调，公务员医疗补助缴费基数增长，预算数增加。</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8.住房保障支出（类）住房改革支出（款）住房公积金（项）：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年预算数为166.62万元，比上年预算增加22.72万元，增长</w:t>
      </w:r>
      <w:bookmarkEnd w:id="4"/>
      <w:r>
        <w:rPr>
          <w:rFonts w:hint="eastAsia" w:ascii="仿宋_GB2312" w:hAnsi="宋体" w:eastAsia="仿宋_GB2312" w:cs="宋体"/>
          <w:kern w:val="0"/>
          <w:sz w:val="32"/>
          <w:szCs w:val="32"/>
        </w:rPr>
        <w:t>15.79%，主要原因是：本年预算人员工资普调，住房公积金缴费基数增长，预算数增加。</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1952.06</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1912.97万元，主要包括：基本工资、津贴补贴、奖金、绩效工资、机关事业单位基本养老保险缴费、职工基本医疗保险缴费、公务员医疗补助缴费、其他社会保障缴费、住房公积金、其他工资福利支出、退休费、生活补助、奖励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公用经费39.09万元，主要包括：办公费、水费、电费、邮电费、差旅费、公务用车运行维护费、其他商品和服务支出。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预算安排规模：52.69万元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项目承担单位：新疆维吾尔自治区喀什地区麦盖提县库木库萨尔乡人民政府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资金分配情况：临聘人员工资15.60万元；网络通信费9.41万元；公车运行维护费3.33万元；食堂食材款10.56万元；冬季取暖费7.81万元；人民调解案件工作经费3.78万元；适应性劳动人员补助2.2万元。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年业务活动费（1）</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预算安排规模：32.42万元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项目承担单位：新疆维吾尔自治区喀什地区麦盖提县库木库萨尔乡人民政府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资金分配情况：化解历年欠款32.42万元。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年村级组织运转经费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预算安排规模：48.00万元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项目承担单位：新疆维吾尔自治区喀什地区麦盖提县库木库萨尔乡人民政府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资金分配情况：电费24万、办公费24万。</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（4）项目名称：</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年乡镇综合治理和工作经费</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设立的政策依据：麦财预〔</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〕1号《麦盖提县财政局关于批复</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年部门预算的通知》</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预算安排规模：3.00万元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项目承担单位：新疆维吾尔自治区喀什地区麦盖提县库木库萨尔乡人民政府</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资金分配情况：公务用车运行维护费3万元。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资金执行时间：</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年01月至</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年12月</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年财政拨款“三公”经费数为12.98万元，其中：因公出国（境）费0万元，公务用车购置费0万元，公务用车运行费12.98万元，公务接待费0万元。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年均未安排公务用车购置费；公务用车运行费增加0万元，增长0%，主要原因是：相较于上年度，我部门公务用车运行费无增减变动；公务接待费增加0万元，增长0%，主要原因是：我部门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十一、关于新疆维吾尔自治区喀什地区麦盖提县库木库萨尔乡人民政府</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麦盖提县库木库萨尔乡人民政府</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新疆维吾尔自治区喀什地区麦盖提县库木库萨尔乡人民政府</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年的机关运行经费财政拨款预算39.09万元，比上年预算增加0.85万元，增长2.22%。主要原因是：本年预算增加党员活动经费，机关运行经费增加。</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年，新疆维吾尔自治区喀什地区麦盖提县库木库萨尔乡人民政府政府采购预算88.07万元，其中：政府采购货物预算59.72万元，政府采购工程预算0.00万元，政府采购服务预算28.35万元。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年，新疆维吾尔自治区喀什地区麦盖提县库木库萨尔乡人民政府面向中小企业预留政府采购项目预算金额88.07万元，小微企业预留政府采购项目预算金额88.07万元。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年底，新疆维吾尔自治区喀什地区麦盖提县库木库萨尔乡人民政府及下属各预算单位占用使用国有资产总体情况为：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1.房屋3841.00平方米，价值723.24万元。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2.车辆6辆，价值49.26万元；其中：一般公务用车3辆，价值25.03万元；执法执勤用车1辆，价值13.28万元；其他车辆2辆，价值10.95万元。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3.办公家具价值66.13万元。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年部门预算未安排购置车辆经费，安排购置50万元以上大型设备0台，单位价值100万元以上大型设备2台。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年，本部门预算绩效管理整体预算绩效目标1个，涉及预算金额2088.17万元；当年预算安排项目共4个，其中：财政拨款项目涉及预算金额136.11万元；非财政拨款项目涉及预算金额0万元。具体情况见下表：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widowControl/>
        <w:jc w:val="center"/>
        <w:outlineLvl w:val="4"/>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32"/>
          <w:szCs w:val="32"/>
          <w:lang w:bidi="ar"/>
        </w:rPr>
        <w:t>部门整体绩效目标表</w:t>
      </w:r>
    </w:p>
    <w:tbl>
      <w:tblPr>
        <w:tblStyle w:val="12"/>
        <w:tblW w:w="10065" w:type="dxa"/>
        <w:jc w:val="center"/>
        <w:tblInd w:w="0" w:type="dxa"/>
        <w:tblLayout w:type="fixed"/>
        <w:tblCellMar>
          <w:top w:w="0" w:type="dxa"/>
          <w:left w:w="108" w:type="dxa"/>
          <w:bottom w:w="0" w:type="dxa"/>
          <w:right w:w="108" w:type="dxa"/>
        </w:tblCellMar>
      </w:tblPr>
      <w:tblGrid>
        <w:gridCol w:w="1276"/>
        <w:gridCol w:w="1276"/>
        <w:gridCol w:w="2977"/>
        <w:gridCol w:w="1417"/>
        <w:gridCol w:w="1701"/>
        <w:gridCol w:w="1418"/>
      </w:tblGrid>
      <w:tr>
        <w:tblPrEx>
          <w:tblLayout w:type="fixed"/>
          <w:tblCellMar>
            <w:top w:w="0" w:type="dxa"/>
            <w:left w:w="108" w:type="dxa"/>
            <w:bottom w:w="0" w:type="dxa"/>
            <w:right w:w="108" w:type="dxa"/>
          </w:tblCellMar>
        </w:tblPrEx>
        <w:trPr>
          <w:trHeight w:val="516" w:hRule="atLeast"/>
          <w:jc w:val="center"/>
        </w:trPr>
        <w:tc>
          <w:tcPr>
            <w:tcW w:w="10065" w:type="dxa"/>
            <w:gridSpan w:val="6"/>
            <w:tcBorders>
              <w:top w:val="nil"/>
              <w:left w:val="nil"/>
              <w:bottom w:val="nil"/>
              <w:right w:val="nil"/>
            </w:tcBorders>
            <w:vAlign w:val="center"/>
          </w:tcPr>
          <w:p>
            <w:pPr>
              <w:widowControl/>
              <w:jc w:val="center"/>
              <w:textAlignment w:val="center"/>
              <w:rPr>
                <w:rFonts w:hint="eastAsia" w:cs="仿宋_GB2312" w:asciiTheme="majorEastAsia" w:hAnsiTheme="majorEastAsia" w:eastAsiaTheme="majorEastAsia"/>
                <w:b/>
                <w:color w:val="000000"/>
                <w:kern w:val="0"/>
                <w:sz w:val="24"/>
                <w:lang w:bidi="ar"/>
              </w:rPr>
            </w:pPr>
            <w:r>
              <w:rPr>
                <w:rFonts w:hint="eastAsia" w:cs="仿宋_GB2312" w:asciiTheme="majorEastAsia" w:hAnsiTheme="majorEastAsia" w:eastAsiaTheme="majorEastAsia"/>
                <w:b/>
                <w:color w:val="000000"/>
                <w:kern w:val="0"/>
                <w:sz w:val="24"/>
                <w:lang w:bidi="ar"/>
              </w:rPr>
              <w:t>（</w:t>
            </w:r>
            <w:r>
              <w:rPr>
                <w:rFonts w:hint="eastAsia" w:cs="仿宋_GB2312" w:asciiTheme="majorEastAsia" w:hAnsiTheme="majorEastAsia" w:eastAsiaTheme="majorEastAsia"/>
                <w:b/>
                <w:color w:val="000000"/>
                <w:kern w:val="0"/>
                <w:sz w:val="24"/>
                <w:lang w:eastAsia="zh-CN" w:bidi="ar"/>
              </w:rPr>
              <w:t>2026</w:t>
            </w:r>
            <w:r>
              <w:rPr>
                <w:rFonts w:hint="eastAsia" w:cs="仿宋_GB2312" w:asciiTheme="majorEastAsia" w:hAnsiTheme="majorEastAsia" w:eastAsiaTheme="majorEastAsia"/>
                <w:b/>
                <w:color w:val="000000"/>
                <w:kern w:val="0"/>
                <w:sz w:val="24"/>
                <w:lang w:bidi="ar"/>
              </w:rPr>
              <w:t>年）</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部门名称（盖章）</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hint="eastAsia" w:cs="宋体" w:asciiTheme="majorEastAsia" w:hAnsiTheme="majorEastAsia" w:eastAsiaTheme="majorEastAsia"/>
                <w:color w:val="000000"/>
                <w:sz w:val="20"/>
                <w:szCs w:val="20"/>
              </w:rPr>
              <w:t>新疆维吾尔自治区喀什地区</w:t>
            </w:r>
            <w:r>
              <w:rPr>
                <w:rFonts w:cs="宋体" w:asciiTheme="majorEastAsia" w:hAnsiTheme="majorEastAsia" w:eastAsiaTheme="majorEastAsia"/>
                <w:color w:val="000000"/>
                <w:sz w:val="20"/>
                <w:szCs w:val="20"/>
              </w:rPr>
              <w:t>麦盖提县库木库萨尔乡人民政府</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719"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部门联系人</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秦春燕</w:t>
            </w:r>
            <w:r>
              <w:rPr>
                <w:rFonts w:hint="eastAsia" w:cs="MS Gothic" w:asciiTheme="majorEastAsia" w:hAnsiTheme="majorEastAsia" w:eastAsiaTheme="majorEastAsia"/>
                <w:color w:val="000000"/>
                <w:sz w:val="20"/>
                <w:szCs w:val="20"/>
                <w:cs/>
              </w:rPr>
              <w:t>‎</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联系电话：</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19190284559</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344" w:hRule="atLeast"/>
          <w:jc w:val="center"/>
        </w:trPr>
        <w:tc>
          <w:tcPr>
            <w:tcW w:w="2552"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top"/>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年度绩效目标</w:t>
            </w:r>
          </w:p>
        </w:tc>
        <w:tc>
          <w:tcPr>
            <w:tcW w:w="7513" w:type="dxa"/>
            <w:gridSpan w:val="4"/>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1、管理本乡内的经济、教育、科技、文化、卫生、体育事业和财政、民政、治安、人民调解、安全生产监督管理等行政工作；2、保护社会主义的全民财产和劳动群体集体所有财产，保护公民私人的合法所有财产，维护社会秩序，保障公民的人生权利、民主权利和其他权利；3、完成县委县政府及上级主管部门交办的其他任务。</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76" w:hRule="atLeast"/>
          <w:jc w:val="center"/>
        </w:trPr>
        <w:tc>
          <w:tcPr>
            <w:tcW w:w="2552" w:type="dxa"/>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kern w:val="0"/>
                <w:sz w:val="20"/>
                <w:szCs w:val="20"/>
                <w:lang w:bidi="ar"/>
              </w:rPr>
            </w:pPr>
            <w:r>
              <w:rPr>
                <w:rFonts w:hint="eastAsia" w:cs="宋体" w:asciiTheme="majorEastAsia" w:hAnsiTheme="majorEastAsia" w:eastAsiaTheme="majorEastAsia"/>
                <w:b/>
                <w:bCs/>
                <w:color w:val="000000"/>
                <w:kern w:val="0"/>
                <w:sz w:val="20"/>
                <w:szCs w:val="20"/>
                <w:lang w:bidi="ar"/>
              </w:rPr>
              <w:t>年度预算</w:t>
            </w:r>
          </w:p>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（万元）</w:t>
            </w:r>
          </w:p>
        </w:tc>
        <w:tc>
          <w:tcPr>
            <w:tcW w:w="4394"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资金来源</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资金总额（万元）</w:t>
            </w:r>
          </w:p>
        </w:tc>
      </w:tr>
      <w:tr>
        <w:tblPrEx>
          <w:tblLayout w:type="fixed"/>
          <w:tblCellMar>
            <w:top w:w="0" w:type="dxa"/>
            <w:left w:w="108" w:type="dxa"/>
            <w:bottom w:w="0" w:type="dxa"/>
            <w:right w:w="108" w:type="dxa"/>
          </w:tblCellMar>
        </w:tblPrEx>
        <w:trPr>
          <w:trHeight w:val="684"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财政资金（万元）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上级安排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51.00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本级安排</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2037.17</w:t>
            </w:r>
          </w:p>
        </w:tc>
      </w:tr>
      <w:tr>
        <w:tblPrEx>
          <w:tblLayout w:type="fixed"/>
          <w:tblCellMar>
            <w:top w:w="0" w:type="dxa"/>
            <w:left w:w="108" w:type="dxa"/>
            <w:bottom w:w="0" w:type="dxa"/>
            <w:right w:w="108" w:type="dxa"/>
          </w:tblCellMar>
        </w:tblPrEx>
        <w:trPr>
          <w:trHeight w:val="689" w:hRule="atLeast"/>
          <w:jc w:val="center"/>
        </w:trPr>
        <w:tc>
          <w:tcPr>
            <w:tcW w:w="2552" w:type="dxa"/>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b/>
                <w:bCs/>
                <w:color w:val="000000"/>
                <w:sz w:val="20"/>
                <w:szCs w:val="20"/>
              </w:rPr>
            </w:pP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其他资金（万元）</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其他</w:t>
            </w:r>
          </w:p>
        </w:tc>
        <w:tc>
          <w:tcPr>
            <w:tcW w:w="3119" w:type="dxa"/>
            <w:gridSpan w:val="2"/>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sz w:val="20"/>
                <w:szCs w:val="20"/>
              </w:rPr>
            </w:pPr>
            <w:r>
              <w:rPr>
                <w:rFonts w:cs="宋体" w:asciiTheme="majorEastAsia" w:hAnsiTheme="majorEastAsia" w:eastAsiaTheme="majorEastAsia"/>
                <w:color w:val="000000"/>
                <w:sz w:val="20"/>
                <w:szCs w:val="20"/>
              </w:rPr>
              <w:t>0.00</w:t>
            </w:r>
            <w:r>
              <w:rPr>
                <w:rFonts w:hint="eastAsia" w:cs="MS Gothic" w:asciiTheme="majorEastAsia" w:hAnsiTheme="majorEastAsia" w:eastAsiaTheme="majorEastAsia"/>
                <w:color w:val="000000"/>
                <w:sz w:val="20"/>
                <w:szCs w:val="20"/>
                <w:cs/>
              </w:rPr>
              <w:t>‎</w:t>
            </w:r>
          </w:p>
        </w:tc>
      </w:tr>
      <w:tr>
        <w:tblPrEx>
          <w:tblLayout w:type="fixed"/>
          <w:tblCellMar>
            <w:top w:w="0" w:type="dxa"/>
            <w:left w:w="108" w:type="dxa"/>
            <w:bottom w:w="0" w:type="dxa"/>
            <w:right w:w="108" w:type="dxa"/>
          </w:tblCellMar>
        </w:tblPrEx>
        <w:trPr>
          <w:trHeight w:val="1064"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一级指标</w:t>
            </w:r>
          </w:p>
        </w:tc>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二级指标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三级指标</w:t>
            </w:r>
          </w:p>
        </w:tc>
        <w:tc>
          <w:tcPr>
            <w:tcW w:w="1417"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指标值</w:t>
            </w:r>
          </w:p>
        </w:tc>
        <w:tc>
          <w:tcPr>
            <w:tcW w:w="1701"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指标设定依据</w:t>
            </w:r>
          </w:p>
        </w:tc>
        <w:tc>
          <w:tcPr>
            <w:tcW w:w="141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b/>
                <w:bCs/>
                <w:color w:val="000000"/>
                <w:sz w:val="20"/>
                <w:szCs w:val="20"/>
              </w:rPr>
            </w:pPr>
            <w:r>
              <w:rPr>
                <w:rFonts w:hint="eastAsia" w:cs="宋体" w:asciiTheme="majorEastAsia" w:hAnsiTheme="majorEastAsia" w:eastAsiaTheme="majorEastAsia"/>
                <w:b/>
                <w:bCs/>
                <w:color w:val="000000"/>
                <w:kern w:val="0"/>
                <w:sz w:val="20"/>
                <w:szCs w:val="20"/>
                <w:lang w:bidi="ar"/>
              </w:rPr>
              <w:t>分值权重</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经济效益指标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实现村集体经济收入</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&gt;=1776.76万元</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粮食作物种植面积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&gt;=2.2万亩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特色林果业种植面积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&gt;=5.3万亩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经济作物种植面积</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&gt;=16.08万亩</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畜牧存栏量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&gt;=3.71万头</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农村劳动力转移就业人数</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&gt;=0.42万人次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数量指标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为民办实事好事数量</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&gt;=15次</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困难群众救助保障率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r>
        <w:tblPrEx>
          <w:tblLayout w:type="fixed"/>
          <w:tblCellMar>
            <w:top w:w="0" w:type="dxa"/>
            <w:left w:w="108" w:type="dxa"/>
            <w:bottom w:w="0" w:type="dxa"/>
            <w:right w:w="108" w:type="dxa"/>
          </w:tblCellMar>
        </w:tblPrEx>
        <w:trPr>
          <w:trHeight w:val="547" w:hRule="atLeast"/>
          <w:jc w:val="center"/>
        </w:trPr>
        <w:tc>
          <w:tcPr>
            <w:tcW w:w="127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履职效能</w:t>
            </w:r>
          </w:p>
        </w:tc>
        <w:tc>
          <w:tcPr>
            <w:tcW w:w="1276"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质量指标</w:t>
            </w:r>
          </w:p>
        </w:tc>
        <w:tc>
          <w:tcPr>
            <w:tcW w:w="297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防返贫监测覆盖率</w:t>
            </w:r>
          </w:p>
        </w:tc>
        <w:tc>
          <w:tcPr>
            <w:tcW w:w="1417"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701"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库木库萨尔乡</w:t>
            </w: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年工作计划</w:t>
            </w:r>
          </w:p>
        </w:tc>
        <w:tc>
          <w:tcPr>
            <w:tcW w:w="1418"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w:t>
            </w:r>
          </w:p>
        </w:tc>
      </w:tr>
    </w:tbl>
    <w:p>
      <w:pPr>
        <w:spacing w:line="20" w:lineRule="exact"/>
        <w:jc w:val="center"/>
        <w:rPr>
          <w:rFonts w:hint="eastAsia" w:ascii="宋体" w:hAnsi="宋体" w:cs="宋体"/>
          <w:kern w:val="0"/>
          <w:sz w:val="2"/>
          <w:szCs w:val="2"/>
        </w:rPr>
      </w:pPr>
    </w:p>
    <w:p>
      <w:r>
        <w:br w:type="page"/>
      </w:r>
    </w:p>
    <w:p>
      <w:pPr>
        <w:spacing w:line="20" w:lineRule="exact"/>
        <w:jc w:val="center"/>
        <w:rPr>
          <w:rFonts w:hint="eastAsia" w:ascii="宋体" w:hAnsi="宋体" w:cs="宋体"/>
          <w:kern w:val="0"/>
          <w:sz w:val="2"/>
          <w:szCs w:val="2"/>
        </w:rP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麦盖提县库木库萨尔乡人民政府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郑乐元</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52.69</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52.69</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补充运转经费不足部分，公务用车运转、取暖费、临聘人员工资、邮电费、食堂食材款。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保障办公室数量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&gt;=5个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5个</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保障公务用车数量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&gt;=1辆</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1辆</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质量指标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伙食补助发放覆盖率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项目结束时间</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eastAsia="zh-CN" w:bidi="ar"/>
              </w:rPr>
              <w:t>2026</w:t>
            </w:r>
            <w:r>
              <w:rPr>
                <w:rFonts w:hint="eastAsia" w:cs="宋体" w:asciiTheme="majorEastAsia" w:hAnsiTheme="majorEastAsia" w:eastAsiaTheme="majorEastAsia"/>
                <w:color w:val="000000"/>
                <w:kern w:val="0"/>
                <w:sz w:val="20"/>
                <w:szCs w:val="20"/>
                <w:lang w:bidi="ar"/>
              </w:rPr>
              <w:t>年12月20日</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hint="eastAsia" w:cs="宋体" w:asciiTheme="majorEastAsia" w:hAnsiTheme="majorEastAsia" w:eastAsiaTheme="majorEastAsia"/>
                <w:color w:val="000000"/>
                <w:kern w:val="0"/>
                <w:sz w:val="20"/>
                <w:szCs w:val="20"/>
                <w:lang w:eastAsia="zh-CN" w:bidi="ar"/>
              </w:rPr>
              <w:t>2025</w:t>
            </w:r>
            <w:r>
              <w:rPr>
                <w:rFonts w:cs="宋体" w:asciiTheme="majorEastAsia" w:hAnsiTheme="majorEastAsia" w:eastAsiaTheme="majorEastAsia"/>
                <w:color w:val="000000"/>
                <w:kern w:val="0"/>
                <w:sz w:val="20"/>
                <w:szCs w:val="20"/>
                <w:lang w:bidi="ar"/>
              </w:rPr>
              <w:t>年12月20日</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成本指标</w:t>
            </w:r>
          </w:p>
        </w:tc>
        <w:tc>
          <w:tcPr>
            <w:tcW w:w="1134" w:type="dxa"/>
            <w:vMerge w:val="restart"/>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保障办公运行成本</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&lt;=52.68万元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52万元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vMerge w:val="continue"/>
            <w:tcBorders>
              <w:left w:val="single" w:color="000000" w:sz="2" w:space="0"/>
              <w:bottom w:val="single" w:color="000000" w:sz="2" w:space="0"/>
              <w:right w:val="single" w:color="000000" w:sz="2" w:space="0"/>
            </w:tcBorders>
            <w:vAlign w:val="center"/>
          </w:tcP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项目尾款</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&lt;=32.42万元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24.09万元</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工作资料,原始凭证</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提升社会公众服务能力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有效提升</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有效提升</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机关工作人员满意度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100%</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10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按照完成比例赋分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麦盖提县库木库萨尔乡人民政府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年村级组织运转经费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杨皓</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48.00</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48.00</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用于12个行政村村级组织运行，水费、电费、网络费、办公用品费用支出。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保障行政村数量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=12个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&lt;=48万元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麦盖提县库木库萨尔乡人民政府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年业务活动费（1）</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郑乐元</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32.42</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32.42</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用于解决历史欠款，办公费、办公设备购置费、印刷费、邮电费、其他交通费。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&lt;=32.42万元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有效提高服务能力</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‎按工作完成赋分‎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jc w:val="center"/>
        <w:outlineLvl w:val="4"/>
        <w:rPr>
          <w:rFonts w:hint="eastAsia" w:ascii="仿宋_GB2312" w:hAnsi="宋体" w:eastAsia="仿宋_GB2312" w:cs="宋体"/>
          <w:b/>
          <w:kern w:val="0"/>
          <w:sz w:val="32"/>
          <w:szCs w:val="32"/>
        </w:rPr>
      </w:pPr>
      <w:r>
        <w:rPr>
          <w:rFonts w:hint="eastAsia" w:ascii="仿宋_GB2312" w:hAnsi="宋体" w:eastAsia="仿宋_GB2312" w:cs="宋体"/>
          <w:b/>
          <w:kern w:val="0"/>
          <w:sz w:val="32"/>
          <w:szCs w:val="32"/>
        </w:rPr>
        <w:t>项目支出绩效目标表</w:t>
      </w:r>
    </w:p>
    <w:p>
      <w:pPr>
        <w:spacing w:line="560" w:lineRule="exact"/>
        <w:ind w:firstLine="440" w:firstLineChars="200"/>
        <w:jc w:val="center"/>
        <w:rPr>
          <w:rFonts w:hint="eastAsia" w:cs="宋体" w:asciiTheme="majorEastAsia" w:hAnsiTheme="majorEastAsia" w:eastAsiaTheme="majorEastAsia"/>
          <w:kern w:val="0"/>
          <w:sz w:val="22"/>
          <w:szCs w:val="22"/>
        </w:rPr>
      </w:pPr>
      <w:r>
        <w:rPr>
          <w:rFonts w:hint="eastAsia" w:cs="MS Gothic" w:asciiTheme="majorEastAsia" w:hAnsiTheme="majorEastAsia" w:eastAsiaTheme="majorEastAsia"/>
          <w:kern w:val="0"/>
          <w:sz w:val="22"/>
          <w:szCs w:val="22"/>
          <w:cs/>
        </w:rPr>
        <w:t>‎</w:t>
      </w:r>
      <w:r>
        <w:rPr>
          <w:rFonts w:hint="eastAsia" w:cs="MS Gothic" w:asciiTheme="majorEastAsia" w:hAnsiTheme="majorEastAsia" w:eastAsiaTheme="majorEastAsia"/>
          <w:kern w:val="0"/>
          <w:sz w:val="22"/>
          <w:szCs w:val="22"/>
        </w:rPr>
        <w:t>（</w:t>
      </w:r>
      <w:r>
        <w:rPr>
          <w:rFonts w:hint="eastAsia" w:cs="MS Gothic" w:asciiTheme="majorEastAsia" w:hAnsiTheme="majorEastAsia" w:eastAsiaTheme="majorEastAsia"/>
          <w:kern w:val="0"/>
          <w:sz w:val="22"/>
          <w:szCs w:val="22"/>
          <w:lang w:eastAsia="zh-CN"/>
        </w:rPr>
        <w:t>2026</w:t>
      </w:r>
      <w:r>
        <w:rPr>
          <w:rFonts w:hint="eastAsia" w:cs="MS Gothic" w:asciiTheme="majorEastAsia" w:hAnsiTheme="majorEastAsia" w:eastAsiaTheme="majorEastAsia"/>
          <w:kern w:val="0"/>
          <w:sz w:val="22"/>
          <w:szCs w:val="22"/>
        </w:rPr>
        <w:t>年）</w:t>
      </w:r>
      <w:r>
        <w:rPr>
          <w:rFonts w:hint="eastAsia" w:cs="MS Gothic" w:asciiTheme="majorEastAsia" w:hAnsiTheme="majorEastAsia" w:eastAsiaTheme="majorEastAsia"/>
          <w:kern w:val="0"/>
          <w:sz w:val="22"/>
          <w:szCs w:val="22"/>
          <w:cs/>
        </w:rPr>
        <w:t>‎</w:t>
      </w:r>
    </w:p>
    <w:tbl>
      <w:tblPr>
        <w:tblStyle w:val="12"/>
        <w:tblW w:w="10062" w:type="dxa"/>
        <w:jc w:val="center"/>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131"/>
        <w:gridCol w:w="1134"/>
        <w:gridCol w:w="1701"/>
        <w:gridCol w:w="851"/>
        <w:gridCol w:w="1276"/>
        <w:gridCol w:w="819"/>
        <w:gridCol w:w="851"/>
        <w:gridCol w:w="1023"/>
        <w:gridCol w:w="1276"/>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38"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预算单位</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rPr>
              <w:t>新疆维吾尔自治区喀什地区</w:t>
            </w:r>
            <w:r>
              <w:rPr>
                <w:rFonts w:asciiTheme="majorEastAsia" w:hAnsiTheme="majorEastAsia" w:eastAsiaTheme="majorEastAsia"/>
                <w:sz w:val="18"/>
                <w:szCs w:val="18"/>
              </w:rPr>
              <w:t>麦盖提县库木库萨尔乡人民政府</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515"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项目名称</w:t>
            </w:r>
          </w:p>
        </w:tc>
        <w:tc>
          <w:tcPr>
            <w:tcW w:w="3828" w:type="dxa"/>
            <w:gridSpan w:val="3"/>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hint="eastAsia" w:asciiTheme="majorEastAsia" w:hAnsiTheme="majorEastAsia" w:eastAsiaTheme="majorEastAsia"/>
                <w:sz w:val="18"/>
                <w:szCs w:val="18"/>
                <w:lang w:eastAsia="zh-CN"/>
              </w:rPr>
              <w:t>2026</w:t>
            </w:r>
            <w:r>
              <w:rPr>
                <w:rFonts w:asciiTheme="majorEastAsia" w:hAnsiTheme="majorEastAsia" w:eastAsiaTheme="majorEastAsia"/>
                <w:sz w:val="18"/>
                <w:szCs w:val="18"/>
              </w:rPr>
              <w:t>年乡镇综合治理和工作经费</w:t>
            </w:r>
            <w:r>
              <w:rPr>
                <w:rFonts w:asciiTheme="majorEastAsia" w:hAnsiTheme="majorEastAsia" w:eastAsiaTheme="majorEastAsia"/>
                <w:sz w:val="18"/>
                <w:szCs w:val="18"/>
                <w:cs/>
              </w:rPr>
              <w:t>‎</w:t>
            </w:r>
          </w:p>
        </w:tc>
        <w:tc>
          <w:tcPr>
            <w:tcW w:w="1670"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项目负责人</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郑乐元</w:t>
            </w:r>
            <w:r>
              <w:rPr>
                <w:rFonts w:asciiTheme="majorEastAsia" w:hAnsiTheme="majorEastAsia" w:eastAsiaTheme="majorEastAsia"/>
                <w:sz w:val="18"/>
                <w:szCs w:val="18"/>
                <w:cs/>
              </w:rPr>
              <w:t>‎</w:t>
            </w:r>
            <w:r>
              <w:rPr>
                <w:rFonts w:asciiTheme="majorEastAsia" w:hAnsiTheme="majorEastAsia" w:eastAsiaTheme="majorEastAsia"/>
                <w:sz w:val="18"/>
                <w:szCs w:val="18"/>
              </w:rPr>
              <w:t xml:space="preserve"> </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736"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项目资金（万元）</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年度预算总额：</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rPr>
              <w:t>3</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其中：财政拨款</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3</w:t>
            </w:r>
            <w:r>
              <w:rPr>
                <w:rFonts w:asciiTheme="majorEastAsia" w:hAnsiTheme="majorEastAsia" w:eastAsiaTheme="majorEastAsia"/>
                <w:sz w:val="18"/>
                <w:szCs w:val="18"/>
                <w:cs/>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其他资金</w:t>
            </w:r>
          </w:p>
        </w:tc>
        <w:tc>
          <w:tcPr>
            <w:tcW w:w="2299" w:type="dxa"/>
            <w:gridSpan w:val="2"/>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asciiTheme="majorEastAsia" w:hAnsiTheme="majorEastAsia" w:eastAsiaTheme="majorEastAsia"/>
                <w:sz w:val="18"/>
                <w:szCs w:val="18"/>
                <w:cs/>
              </w:rPr>
              <w:t>‎</w:t>
            </w:r>
            <w:r>
              <w:rPr>
                <w:rFonts w:asciiTheme="majorEastAsia" w:hAnsiTheme="majorEastAsia" w:eastAsiaTheme="majorEastAsia"/>
                <w:sz w:val="18"/>
                <w:szCs w:val="18"/>
              </w:rPr>
              <w:t>0.00</w:t>
            </w:r>
            <w:r>
              <w:rPr>
                <w:rFonts w:asciiTheme="majorEastAsia" w:hAnsiTheme="majorEastAsia" w:eastAsiaTheme="majorEastAsia"/>
                <w:sz w:val="18"/>
                <w:szCs w:val="18"/>
                <w:cs/>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413" w:hRule="atLeast"/>
          <w:jc w:val="center"/>
        </w:trPr>
        <w:tc>
          <w:tcPr>
            <w:tcW w:w="2265" w:type="dxa"/>
            <w:gridSpan w:val="2"/>
            <w:tcBorders>
              <w:top w:val="single" w:color="000000" w:sz="2" w:space="0"/>
              <w:left w:val="single" w:color="000000" w:sz="2" w:space="0"/>
              <w:bottom w:val="single" w:color="000000" w:sz="2" w:space="0"/>
              <w:right w:val="single" w:color="000000" w:sz="2" w:space="0"/>
            </w:tcBorders>
            <w:vAlign w:val="center"/>
          </w:tcPr>
          <w:p>
            <w:pPr>
              <w:jc w:val="center"/>
            </w:pPr>
            <w:r>
              <w:t>项目总体目标</w:t>
            </w:r>
          </w:p>
        </w:tc>
        <w:tc>
          <w:tcPr>
            <w:tcW w:w="7797" w:type="dxa"/>
            <w:gridSpan w:val="7"/>
            <w:tcBorders>
              <w:top w:val="single" w:color="000000" w:sz="2" w:space="0"/>
              <w:left w:val="single" w:color="000000" w:sz="2" w:space="0"/>
              <w:bottom w:val="single" w:color="000000" w:sz="2" w:space="0"/>
              <w:right w:val="single" w:color="000000" w:sz="2" w:space="0"/>
            </w:tcBorders>
            <w:vAlign w:val="center"/>
          </w:tcPr>
          <w:p>
            <w:pPr>
              <w:jc w:val="left"/>
              <w:rPr>
                <w:rFonts w:hint="eastAsia" w:asciiTheme="majorEastAsia" w:hAnsiTheme="majorEastAsia" w:eastAsiaTheme="majorEastAsia"/>
                <w:sz w:val="18"/>
                <w:szCs w:val="18"/>
              </w:rPr>
            </w:pPr>
            <w:r>
              <w:rPr>
                <w:rFonts w:asciiTheme="majorEastAsia" w:hAnsiTheme="majorEastAsia" w:eastAsiaTheme="majorEastAsia"/>
                <w:sz w:val="18"/>
                <w:szCs w:val="18"/>
              </w:rPr>
              <w:t>用于解决乡级</w:t>
            </w:r>
            <w:bookmarkStart w:id="6" w:name="_GoBack"/>
            <w:bookmarkEnd w:id="6"/>
            <w:r>
              <w:rPr>
                <w:rFonts w:asciiTheme="majorEastAsia" w:hAnsiTheme="majorEastAsia" w:eastAsiaTheme="majorEastAsia"/>
                <w:sz w:val="18"/>
                <w:szCs w:val="18"/>
              </w:rPr>
              <w:t>车辆燃油费。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96" w:hRule="atLeast"/>
          <w:jc w:val="center"/>
        </w:trPr>
        <w:tc>
          <w:tcPr>
            <w:tcW w:w="1131" w:type="dxa"/>
            <w:tcBorders>
              <w:top w:val="single" w:color="000000" w:sz="2" w:space="0"/>
              <w:left w:val="single" w:color="000000" w:sz="2" w:space="0"/>
              <w:bottom w:val="single" w:color="000000" w:sz="2" w:space="0"/>
              <w:right w:val="single" w:color="000000" w:sz="2" w:space="0"/>
            </w:tcBorders>
            <w:vAlign w:val="center"/>
          </w:tcPr>
          <w:p>
            <w:pPr>
              <w:jc w:val="center"/>
            </w:pPr>
            <w:r>
              <w:t>一级指标</w:t>
            </w:r>
          </w:p>
        </w:tc>
        <w:tc>
          <w:tcPr>
            <w:tcW w:w="1134" w:type="dxa"/>
            <w:tcBorders>
              <w:top w:val="single" w:color="000000" w:sz="2" w:space="0"/>
              <w:left w:val="single" w:color="000000" w:sz="2" w:space="0"/>
              <w:bottom w:val="single" w:color="000000" w:sz="2" w:space="0"/>
              <w:right w:val="single" w:color="000000" w:sz="2" w:space="0"/>
            </w:tcBorders>
            <w:vAlign w:val="center"/>
          </w:tcPr>
          <w:p>
            <w:pPr>
              <w:jc w:val="center"/>
            </w:pPr>
            <w:r>
              <w:t>二级指标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三级指标</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指标值设置依据</w:t>
            </w:r>
          </w:p>
        </w:tc>
        <w:tc>
          <w:tcPr>
            <w:tcW w:w="819"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上年完成值</w:t>
            </w:r>
          </w:p>
        </w:tc>
        <w:tc>
          <w:tcPr>
            <w:tcW w:w="851"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指标分值权重</w:t>
            </w:r>
          </w:p>
        </w:tc>
        <w:tc>
          <w:tcPr>
            <w:tcW w:w="1023"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指标赋分规则</w:t>
            </w:r>
          </w:p>
        </w:tc>
        <w:tc>
          <w:tcPr>
            <w:tcW w:w="1276" w:type="dxa"/>
            <w:tcBorders>
              <w:top w:val="single" w:color="000000" w:sz="2" w:space="0"/>
              <w:left w:val="single" w:color="000000" w:sz="2" w:space="0"/>
              <w:bottom w:val="single" w:color="000000" w:sz="2" w:space="0"/>
              <w:right w:val="single" w:color="000000" w:sz="2" w:space="0"/>
            </w:tcBorders>
            <w:vAlign w:val="center"/>
          </w:tcPr>
          <w:p>
            <w:pPr>
              <w:jc w:val="center"/>
              <w:rPr>
                <w:rFonts w:hint="eastAsia" w:asciiTheme="majorEastAsia" w:hAnsiTheme="majorEastAsia" w:eastAsiaTheme="majorEastAsia"/>
                <w:sz w:val="18"/>
                <w:szCs w:val="18"/>
              </w:rPr>
            </w:pPr>
            <w:r>
              <w:rPr>
                <w:rFonts w:hint="eastAsia" w:asciiTheme="majorEastAsia" w:hAnsiTheme="majorEastAsia" w:eastAsiaTheme="majorEastAsia"/>
                <w:sz w:val="18"/>
                <w:szCs w:val="18"/>
              </w:rPr>
              <w:t>佐证资料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restart"/>
            <w:tcBorders>
              <w:left w:val="single" w:color="000000" w:sz="2" w:space="0"/>
              <w:right w:val="single" w:color="000000" w:sz="2" w:space="0"/>
            </w:tcBorders>
            <w:vAlign w:val="center"/>
          </w:tcPr>
          <w:p>
            <w:pPr>
              <w:jc w:val="center"/>
            </w:pPr>
            <w:r>
              <w:t>产出指标</w:t>
            </w:r>
          </w:p>
        </w:tc>
        <w:tc>
          <w:tcPr>
            <w:tcW w:w="1134" w:type="dxa"/>
            <w:tcBorders>
              <w:left w:val="single" w:color="000000" w:sz="2" w:space="0"/>
              <w:bottom w:val="single" w:color="000000" w:sz="2" w:space="0"/>
              <w:right w:val="single" w:color="000000" w:sz="2" w:space="0"/>
            </w:tcBorders>
            <w:vAlign w:val="center"/>
          </w:tcPr>
          <w:p>
            <w:pPr>
              <w:jc w:val="center"/>
            </w:pPr>
            <w:r>
              <w:t>数量指标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保障乡镇数量</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=1个</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vMerge w:val="continue"/>
            <w:tcBorders>
              <w:left w:val="single" w:color="000000" w:sz="2" w:space="0"/>
              <w:right w:val="single" w:color="000000" w:sz="2" w:space="0"/>
            </w:tcBorders>
            <w:vAlign w:val="center"/>
          </w:tcPr>
          <w:p/>
        </w:tc>
        <w:tc>
          <w:tcPr>
            <w:tcW w:w="1134" w:type="dxa"/>
            <w:tcBorders>
              <w:left w:val="single" w:color="000000" w:sz="2" w:space="0"/>
              <w:bottom w:val="single" w:color="000000" w:sz="2" w:space="0"/>
              <w:right w:val="single" w:color="000000" w:sz="2" w:space="0"/>
            </w:tcBorders>
            <w:vAlign w:val="center"/>
          </w:tcPr>
          <w:p>
            <w:pPr>
              <w:jc w:val="center"/>
            </w:pPr>
            <w:r>
              <w:t>时效指标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资金拨付及时性</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≥100%</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成本指标</w:t>
            </w:r>
          </w:p>
        </w:tc>
        <w:tc>
          <w:tcPr>
            <w:tcW w:w="1134" w:type="dxa"/>
            <w:tcBorders>
              <w:left w:val="single" w:color="000000" w:sz="2" w:space="0"/>
              <w:bottom w:val="single" w:color="000000" w:sz="2" w:space="0"/>
              <w:right w:val="single" w:color="000000" w:sz="2" w:space="0"/>
            </w:tcBorders>
            <w:vAlign w:val="center"/>
          </w:tcPr>
          <w:p>
            <w:pPr>
              <w:jc w:val="center"/>
            </w:pPr>
            <w:r>
              <w:t>经济成本指标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资金总额</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&lt;=3万元</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‎预算支出标准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效益指标</w:t>
            </w:r>
          </w:p>
        </w:tc>
        <w:tc>
          <w:tcPr>
            <w:tcW w:w="1134" w:type="dxa"/>
            <w:tcBorders>
              <w:left w:val="single" w:color="000000" w:sz="2" w:space="0"/>
              <w:bottom w:val="single" w:color="000000" w:sz="2" w:space="0"/>
              <w:right w:val="single" w:color="000000" w:sz="2" w:space="0"/>
            </w:tcBorders>
            <w:vAlign w:val="center"/>
          </w:tcPr>
          <w:p>
            <w:pPr>
              <w:jc w:val="center"/>
            </w:pPr>
            <w:r>
              <w:t>社会效益指标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社会治理有效提升</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有效提高</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Ex>
        <w:trPr>
          <w:trHeight w:val="859" w:hRule="atLeast"/>
          <w:jc w:val="center"/>
        </w:trPr>
        <w:tc>
          <w:tcPr>
            <w:tcW w:w="1131" w:type="dxa"/>
            <w:tcBorders>
              <w:left w:val="single" w:color="000000" w:sz="2" w:space="0"/>
              <w:right w:val="single" w:color="000000" w:sz="2" w:space="0"/>
            </w:tcBorders>
            <w:vAlign w:val="center"/>
          </w:tcPr>
          <w:p>
            <w:pPr>
              <w:jc w:val="center"/>
            </w:pPr>
            <w:r>
              <w:t>满意度指标</w:t>
            </w:r>
          </w:p>
        </w:tc>
        <w:tc>
          <w:tcPr>
            <w:tcW w:w="1134" w:type="dxa"/>
            <w:tcBorders>
              <w:left w:val="single" w:color="000000" w:sz="2" w:space="0"/>
              <w:bottom w:val="single" w:color="000000" w:sz="2" w:space="0"/>
              <w:right w:val="single" w:color="000000" w:sz="2" w:space="0"/>
            </w:tcBorders>
            <w:vAlign w:val="center"/>
          </w:tcPr>
          <w:p>
            <w:pPr>
              <w:jc w:val="center"/>
            </w:pPr>
            <w:r>
              <w:t>满意度指标</w:t>
            </w:r>
          </w:p>
        </w:tc>
        <w:tc>
          <w:tcPr>
            <w:tcW w:w="170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服务对象满意度</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cs="宋体" w:asciiTheme="majorEastAsia" w:hAnsiTheme="majorEastAsia" w:eastAsiaTheme="majorEastAsia"/>
                <w:color w:val="000000"/>
                <w:kern w:val="0"/>
                <w:sz w:val="20"/>
                <w:szCs w:val="20"/>
                <w:lang w:bidi="ar"/>
              </w:rPr>
              <w:t>≥95%</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‎计划标准</w:t>
            </w:r>
            <w:r>
              <w:rPr>
                <w:rFonts w:hint="eastAsia" w:ascii="MS Gothic" w:hAnsi="MS Gothic" w:eastAsia="MS Gothic" w:cs="MS Gothic"/>
                <w:color w:val="000000"/>
                <w:kern w:val="0"/>
                <w:sz w:val="20"/>
                <w:szCs w:val="20"/>
                <w:cs/>
                <w:lang w:bidi="ar"/>
              </w:rPr>
              <w:t>‎</w:t>
            </w:r>
          </w:p>
        </w:tc>
        <w:tc>
          <w:tcPr>
            <w:tcW w:w="819"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‎新增‎</w:t>
            </w:r>
            <w:r>
              <w:rPr>
                <w:rFonts w:hint="eastAsia" w:ascii="MS Gothic" w:hAnsi="MS Gothic" w:eastAsia="MS Gothic" w:cs="MS Gothic"/>
                <w:color w:val="000000"/>
                <w:kern w:val="0"/>
                <w:sz w:val="20"/>
                <w:szCs w:val="20"/>
                <w:cs/>
                <w:lang w:bidi="ar"/>
              </w:rPr>
              <w:t>‎</w:t>
            </w:r>
          </w:p>
        </w:tc>
        <w:tc>
          <w:tcPr>
            <w:tcW w:w="851"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‎20‎</w:t>
            </w:r>
            <w:r>
              <w:rPr>
                <w:rFonts w:hint="eastAsia" w:ascii="MS Gothic" w:hAnsi="MS Gothic" w:eastAsia="MS Gothic" w:cs="MS Gothic"/>
                <w:color w:val="000000"/>
                <w:kern w:val="0"/>
                <w:sz w:val="20"/>
                <w:szCs w:val="20"/>
                <w:cs/>
                <w:lang w:bidi="ar"/>
              </w:rPr>
              <w:t>‎</w:t>
            </w:r>
          </w:p>
        </w:tc>
        <w:tc>
          <w:tcPr>
            <w:tcW w:w="1023"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‎按工作赋分‎</w:t>
            </w:r>
            <w:r>
              <w:rPr>
                <w:rFonts w:hint="eastAsia" w:ascii="MS Gothic" w:hAnsi="MS Gothic" w:eastAsia="MS Gothic" w:cs="MS Gothic"/>
                <w:color w:val="000000"/>
                <w:kern w:val="0"/>
                <w:sz w:val="20"/>
                <w:szCs w:val="20"/>
                <w:cs/>
                <w:lang w:bidi="ar"/>
              </w:rPr>
              <w:t>‎</w:t>
            </w:r>
          </w:p>
        </w:tc>
        <w:tc>
          <w:tcPr>
            <w:tcW w:w="1276" w:type="dxa"/>
            <w:tcBorders>
              <w:top w:val="single" w:color="000000" w:sz="2" w:space="0"/>
              <w:left w:val="single" w:color="000000" w:sz="2" w:space="0"/>
              <w:bottom w:val="single" w:color="000000" w:sz="2" w:space="0"/>
              <w:right w:val="single" w:color="000000" w:sz="2" w:space="0"/>
            </w:tcBorders>
            <w:vAlign w:val="center"/>
          </w:tcPr>
          <w:p>
            <w:pPr>
              <w:widowControl/>
              <w:jc w:val="center"/>
              <w:textAlignment w:val="center"/>
              <w:rPr>
                <w:rFonts w:hint="eastAsia" w:cs="宋体" w:asciiTheme="majorEastAsia" w:hAnsiTheme="majorEastAsia" w:eastAsiaTheme="majorEastAsia"/>
                <w:color w:val="000000"/>
                <w:kern w:val="0"/>
                <w:sz w:val="20"/>
                <w:szCs w:val="20"/>
                <w:lang w:bidi="ar"/>
              </w:rPr>
            </w:pPr>
            <w:r>
              <w:rPr>
                <w:rFonts w:hint="eastAsia" w:ascii="MS Gothic" w:hAnsi="MS Gothic" w:eastAsia="MS Gothic" w:cs="MS Gothic"/>
                <w:color w:val="000000"/>
                <w:kern w:val="0"/>
                <w:sz w:val="20"/>
                <w:szCs w:val="20"/>
                <w:cs/>
                <w:lang w:bidi="ar"/>
              </w:rPr>
              <w:t>‎</w:t>
            </w:r>
            <w:r>
              <w:rPr>
                <w:rFonts w:cs="宋体" w:asciiTheme="majorEastAsia" w:hAnsiTheme="majorEastAsia" w:eastAsiaTheme="majorEastAsia"/>
                <w:color w:val="000000"/>
                <w:kern w:val="0"/>
                <w:sz w:val="20"/>
                <w:szCs w:val="20"/>
                <w:lang w:bidi="ar"/>
              </w:rPr>
              <w:t>‎工作资料‎</w:t>
            </w:r>
            <w:r>
              <w:rPr>
                <w:rFonts w:hint="eastAsia" w:ascii="MS Gothic" w:hAnsi="MS Gothic" w:eastAsia="MS Gothic" w:cs="MS Gothic"/>
                <w:color w:val="000000"/>
                <w:kern w:val="0"/>
                <w:sz w:val="20"/>
                <w:szCs w:val="20"/>
                <w:cs/>
                <w:lang w:bidi="ar"/>
              </w:rPr>
              <w:t>‎</w:t>
            </w:r>
          </w:p>
        </w:tc>
      </w:tr>
    </w:tbl>
    <w:p>
      <w:pPr>
        <w:jc w:val="center"/>
      </w:pPr>
    </w:p>
    <w:p>
      <w:r>
        <w:br w:type="page"/>
      </w:r>
    </w:p>
    <w:p>
      <w:pPr>
        <w:jc w:val="center"/>
      </w:pP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我部门无其他说明事项。</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C6F80"/>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4976"/>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679CA"/>
    <w:rsid w:val="0017160C"/>
    <w:rsid w:val="00172BE6"/>
    <w:rsid w:val="001737B6"/>
    <w:rsid w:val="00174586"/>
    <w:rsid w:val="00180912"/>
    <w:rsid w:val="00180FD9"/>
    <w:rsid w:val="001816FA"/>
    <w:rsid w:val="001817F3"/>
    <w:rsid w:val="00181921"/>
    <w:rsid w:val="00182196"/>
    <w:rsid w:val="00183297"/>
    <w:rsid w:val="00183CA4"/>
    <w:rsid w:val="00183E36"/>
    <w:rsid w:val="00184FDC"/>
    <w:rsid w:val="00185038"/>
    <w:rsid w:val="00186B6A"/>
    <w:rsid w:val="00187C8B"/>
    <w:rsid w:val="001928AB"/>
    <w:rsid w:val="00194101"/>
    <w:rsid w:val="0019410C"/>
    <w:rsid w:val="00194488"/>
    <w:rsid w:val="00195985"/>
    <w:rsid w:val="00196222"/>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ADA"/>
    <w:rsid w:val="00202FEC"/>
    <w:rsid w:val="00203D94"/>
    <w:rsid w:val="00204BC0"/>
    <w:rsid w:val="00205D66"/>
    <w:rsid w:val="00207587"/>
    <w:rsid w:val="00210EE6"/>
    <w:rsid w:val="002119D7"/>
    <w:rsid w:val="00211D4E"/>
    <w:rsid w:val="00212706"/>
    <w:rsid w:val="00212C11"/>
    <w:rsid w:val="00212DFD"/>
    <w:rsid w:val="00212F6D"/>
    <w:rsid w:val="00215173"/>
    <w:rsid w:val="00215F31"/>
    <w:rsid w:val="0021607C"/>
    <w:rsid w:val="00217DD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477B0"/>
    <w:rsid w:val="00250754"/>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0E76"/>
    <w:rsid w:val="00281EE8"/>
    <w:rsid w:val="00281FDD"/>
    <w:rsid w:val="0028210B"/>
    <w:rsid w:val="0028245B"/>
    <w:rsid w:val="00283074"/>
    <w:rsid w:val="0028379A"/>
    <w:rsid w:val="0028405D"/>
    <w:rsid w:val="00284B23"/>
    <w:rsid w:val="00285153"/>
    <w:rsid w:val="00285698"/>
    <w:rsid w:val="0028576C"/>
    <w:rsid w:val="00285BCC"/>
    <w:rsid w:val="00285BFE"/>
    <w:rsid w:val="00286965"/>
    <w:rsid w:val="00297957"/>
    <w:rsid w:val="002A0066"/>
    <w:rsid w:val="002A15E9"/>
    <w:rsid w:val="002A2135"/>
    <w:rsid w:val="002A5744"/>
    <w:rsid w:val="002A5A41"/>
    <w:rsid w:val="002A6B1E"/>
    <w:rsid w:val="002A6B2E"/>
    <w:rsid w:val="002A6FB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36CD"/>
    <w:rsid w:val="00303AB1"/>
    <w:rsid w:val="0030425A"/>
    <w:rsid w:val="00306110"/>
    <w:rsid w:val="00306797"/>
    <w:rsid w:val="003070BB"/>
    <w:rsid w:val="003071E3"/>
    <w:rsid w:val="00307651"/>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43"/>
    <w:rsid w:val="00341BAE"/>
    <w:rsid w:val="00341D31"/>
    <w:rsid w:val="00341E7D"/>
    <w:rsid w:val="003433EE"/>
    <w:rsid w:val="00343F03"/>
    <w:rsid w:val="00344E41"/>
    <w:rsid w:val="00345986"/>
    <w:rsid w:val="00345E58"/>
    <w:rsid w:val="0034677D"/>
    <w:rsid w:val="0034747D"/>
    <w:rsid w:val="00347DE8"/>
    <w:rsid w:val="00350F5B"/>
    <w:rsid w:val="00352976"/>
    <w:rsid w:val="00354680"/>
    <w:rsid w:val="003551D6"/>
    <w:rsid w:val="00356194"/>
    <w:rsid w:val="0035756E"/>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B8B"/>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037E"/>
    <w:rsid w:val="003A1559"/>
    <w:rsid w:val="003A3261"/>
    <w:rsid w:val="003A44ED"/>
    <w:rsid w:val="003A5621"/>
    <w:rsid w:val="003B05BA"/>
    <w:rsid w:val="003B0DA2"/>
    <w:rsid w:val="003B48BE"/>
    <w:rsid w:val="003B5C7E"/>
    <w:rsid w:val="003B76CB"/>
    <w:rsid w:val="003B7A83"/>
    <w:rsid w:val="003C0D15"/>
    <w:rsid w:val="003C23E0"/>
    <w:rsid w:val="003D0E59"/>
    <w:rsid w:val="003D29A4"/>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4002D6"/>
    <w:rsid w:val="00401702"/>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BF9"/>
    <w:rsid w:val="00490F7E"/>
    <w:rsid w:val="00491969"/>
    <w:rsid w:val="00492117"/>
    <w:rsid w:val="00492329"/>
    <w:rsid w:val="00492792"/>
    <w:rsid w:val="00493838"/>
    <w:rsid w:val="00494B21"/>
    <w:rsid w:val="00496F91"/>
    <w:rsid w:val="004A04D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0F54"/>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34E6"/>
    <w:rsid w:val="0053461E"/>
    <w:rsid w:val="00534961"/>
    <w:rsid w:val="0053676F"/>
    <w:rsid w:val="00537782"/>
    <w:rsid w:val="00544AC4"/>
    <w:rsid w:val="00544C7D"/>
    <w:rsid w:val="0054586F"/>
    <w:rsid w:val="005474F1"/>
    <w:rsid w:val="00547B4F"/>
    <w:rsid w:val="005513B3"/>
    <w:rsid w:val="00551D2B"/>
    <w:rsid w:val="00553588"/>
    <w:rsid w:val="00554786"/>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357"/>
    <w:rsid w:val="00584772"/>
    <w:rsid w:val="00584B4C"/>
    <w:rsid w:val="005868FB"/>
    <w:rsid w:val="00590B1F"/>
    <w:rsid w:val="00590EA2"/>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AEA"/>
    <w:rsid w:val="005B4B3C"/>
    <w:rsid w:val="005B5066"/>
    <w:rsid w:val="005B6709"/>
    <w:rsid w:val="005C1A7A"/>
    <w:rsid w:val="005C2577"/>
    <w:rsid w:val="005C50D9"/>
    <w:rsid w:val="005C53AC"/>
    <w:rsid w:val="005C5B15"/>
    <w:rsid w:val="005C6DCD"/>
    <w:rsid w:val="005D098D"/>
    <w:rsid w:val="005D2D73"/>
    <w:rsid w:val="005D48F3"/>
    <w:rsid w:val="005D52FF"/>
    <w:rsid w:val="005D5331"/>
    <w:rsid w:val="005D57CA"/>
    <w:rsid w:val="005D6305"/>
    <w:rsid w:val="005D7689"/>
    <w:rsid w:val="005E00E7"/>
    <w:rsid w:val="005E00FE"/>
    <w:rsid w:val="005E2094"/>
    <w:rsid w:val="005E2399"/>
    <w:rsid w:val="005E4BBC"/>
    <w:rsid w:val="005E75CA"/>
    <w:rsid w:val="005E7B5F"/>
    <w:rsid w:val="005F0E9A"/>
    <w:rsid w:val="005F19D7"/>
    <w:rsid w:val="005F4AB8"/>
    <w:rsid w:val="005F4CE2"/>
    <w:rsid w:val="006010D2"/>
    <w:rsid w:val="006037FA"/>
    <w:rsid w:val="00605057"/>
    <w:rsid w:val="00605AD9"/>
    <w:rsid w:val="00605D18"/>
    <w:rsid w:val="00607339"/>
    <w:rsid w:val="00611226"/>
    <w:rsid w:val="006114F0"/>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AB7"/>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2"/>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9E2"/>
    <w:rsid w:val="006B7BB4"/>
    <w:rsid w:val="006C058F"/>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73"/>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5951"/>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CBE"/>
    <w:rsid w:val="007F3FD4"/>
    <w:rsid w:val="007F43CC"/>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1DF7"/>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2133"/>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355D"/>
    <w:rsid w:val="008F3E39"/>
    <w:rsid w:val="008F4693"/>
    <w:rsid w:val="008F4F6B"/>
    <w:rsid w:val="008F5ADF"/>
    <w:rsid w:val="008F79FB"/>
    <w:rsid w:val="00900676"/>
    <w:rsid w:val="00902114"/>
    <w:rsid w:val="009037AF"/>
    <w:rsid w:val="00903FB9"/>
    <w:rsid w:val="00905A25"/>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1B"/>
    <w:rsid w:val="009740D0"/>
    <w:rsid w:val="00974297"/>
    <w:rsid w:val="009751E4"/>
    <w:rsid w:val="00976F95"/>
    <w:rsid w:val="00977343"/>
    <w:rsid w:val="00981277"/>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E7733"/>
    <w:rsid w:val="009F23C2"/>
    <w:rsid w:val="009F2C0F"/>
    <w:rsid w:val="009F44AD"/>
    <w:rsid w:val="009F47ED"/>
    <w:rsid w:val="009F4AE1"/>
    <w:rsid w:val="009F550E"/>
    <w:rsid w:val="009F65CB"/>
    <w:rsid w:val="00A02323"/>
    <w:rsid w:val="00A11CE4"/>
    <w:rsid w:val="00A11D17"/>
    <w:rsid w:val="00A12EC9"/>
    <w:rsid w:val="00A132D9"/>
    <w:rsid w:val="00A14EED"/>
    <w:rsid w:val="00A1747A"/>
    <w:rsid w:val="00A17511"/>
    <w:rsid w:val="00A239FE"/>
    <w:rsid w:val="00A23F46"/>
    <w:rsid w:val="00A259C5"/>
    <w:rsid w:val="00A25EBA"/>
    <w:rsid w:val="00A273D8"/>
    <w:rsid w:val="00A27A4E"/>
    <w:rsid w:val="00A32EB2"/>
    <w:rsid w:val="00A335E0"/>
    <w:rsid w:val="00A34E31"/>
    <w:rsid w:val="00A4091F"/>
    <w:rsid w:val="00A42D0D"/>
    <w:rsid w:val="00A44E3D"/>
    <w:rsid w:val="00A4540A"/>
    <w:rsid w:val="00A4565F"/>
    <w:rsid w:val="00A45B90"/>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6186"/>
    <w:rsid w:val="00A97713"/>
    <w:rsid w:val="00AA15F1"/>
    <w:rsid w:val="00AA6A6F"/>
    <w:rsid w:val="00AA6E04"/>
    <w:rsid w:val="00AA7BA9"/>
    <w:rsid w:val="00AA7FEC"/>
    <w:rsid w:val="00AB0B86"/>
    <w:rsid w:val="00AB218C"/>
    <w:rsid w:val="00AB2BE8"/>
    <w:rsid w:val="00AB3096"/>
    <w:rsid w:val="00AB3E60"/>
    <w:rsid w:val="00AB42AE"/>
    <w:rsid w:val="00AB7415"/>
    <w:rsid w:val="00AC16A2"/>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350B"/>
    <w:rsid w:val="00B169A2"/>
    <w:rsid w:val="00B17198"/>
    <w:rsid w:val="00B175D8"/>
    <w:rsid w:val="00B22DD6"/>
    <w:rsid w:val="00B22DDC"/>
    <w:rsid w:val="00B23AA0"/>
    <w:rsid w:val="00B250D5"/>
    <w:rsid w:val="00B25D8E"/>
    <w:rsid w:val="00B3194E"/>
    <w:rsid w:val="00B3336A"/>
    <w:rsid w:val="00B33A46"/>
    <w:rsid w:val="00B33EFA"/>
    <w:rsid w:val="00B3590C"/>
    <w:rsid w:val="00B35D82"/>
    <w:rsid w:val="00B36D4F"/>
    <w:rsid w:val="00B377E4"/>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58D4"/>
    <w:rsid w:val="00B66BA4"/>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3AC0"/>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4B38"/>
    <w:rsid w:val="00C011BE"/>
    <w:rsid w:val="00C03670"/>
    <w:rsid w:val="00C03D59"/>
    <w:rsid w:val="00C04809"/>
    <w:rsid w:val="00C05161"/>
    <w:rsid w:val="00C077DE"/>
    <w:rsid w:val="00C07C8A"/>
    <w:rsid w:val="00C1021E"/>
    <w:rsid w:val="00C12E0B"/>
    <w:rsid w:val="00C1524D"/>
    <w:rsid w:val="00C15C62"/>
    <w:rsid w:val="00C15D19"/>
    <w:rsid w:val="00C172F9"/>
    <w:rsid w:val="00C17F7C"/>
    <w:rsid w:val="00C17FB6"/>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3EC"/>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692"/>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565"/>
    <w:rsid w:val="00D559B2"/>
    <w:rsid w:val="00D55F56"/>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7B20"/>
    <w:rsid w:val="00E00B0E"/>
    <w:rsid w:val="00E04D4A"/>
    <w:rsid w:val="00E0581B"/>
    <w:rsid w:val="00E05A68"/>
    <w:rsid w:val="00E05BB4"/>
    <w:rsid w:val="00E077EB"/>
    <w:rsid w:val="00E077F9"/>
    <w:rsid w:val="00E1002A"/>
    <w:rsid w:val="00E10C5E"/>
    <w:rsid w:val="00E11C32"/>
    <w:rsid w:val="00E1201E"/>
    <w:rsid w:val="00E132C4"/>
    <w:rsid w:val="00E14133"/>
    <w:rsid w:val="00E14763"/>
    <w:rsid w:val="00E14F42"/>
    <w:rsid w:val="00E15068"/>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1D5B"/>
    <w:rsid w:val="00E4490C"/>
    <w:rsid w:val="00E45580"/>
    <w:rsid w:val="00E4772C"/>
    <w:rsid w:val="00E5014A"/>
    <w:rsid w:val="00E50391"/>
    <w:rsid w:val="00E5147F"/>
    <w:rsid w:val="00E51792"/>
    <w:rsid w:val="00E530B8"/>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DD2"/>
    <w:rsid w:val="00EB0475"/>
    <w:rsid w:val="00EB102C"/>
    <w:rsid w:val="00EB1368"/>
    <w:rsid w:val="00EB2E4B"/>
    <w:rsid w:val="00EB369A"/>
    <w:rsid w:val="00EB5E31"/>
    <w:rsid w:val="00EB60F8"/>
    <w:rsid w:val="00EB6709"/>
    <w:rsid w:val="00EB6DD1"/>
    <w:rsid w:val="00EB794C"/>
    <w:rsid w:val="00EC0CD2"/>
    <w:rsid w:val="00EC2321"/>
    <w:rsid w:val="00EC30D0"/>
    <w:rsid w:val="00EC30FC"/>
    <w:rsid w:val="00EC3D9F"/>
    <w:rsid w:val="00EC5107"/>
    <w:rsid w:val="00EC7124"/>
    <w:rsid w:val="00EC7A62"/>
    <w:rsid w:val="00ED09CD"/>
    <w:rsid w:val="00ED2D63"/>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07D7F"/>
    <w:rsid w:val="00F1181F"/>
    <w:rsid w:val="00F12215"/>
    <w:rsid w:val="00F12A8A"/>
    <w:rsid w:val="00F12E98"/>
    <w:rsid w:val="00F13AB5"/>
    <w:rsid w:val="00F13C23"/>
    <w:rsid w:val="00F14578"/>
    <w:rsid w:val="00F15FE2"/>
    <w:rsid w:val="00F21586"/>
    <w:rsid w:val="00F21D2F"/>
    <w:rsid w:val="00F2591B"/>
    <w:rsid w:val="00F25DB3"/>
    <w:rsid w:val="00F31C66"/>
    <w:rsid w:val="00F321DD"/>
    <w:rsid w:val="00F32D66"/>
    <w:rsid w:val="00F33D16"/>
    <w:rsid w:val="00F346C7"/>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882"/>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6F00"/>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A9E"/>
    <w:rsid w:val="00FB7CCF"/>
    <w:rsid w:val="00FC1922"/>
    <w:rsid w:val="00FC227A"/>
    <w:rsid w:val="00FC313E"/>
    <w:rsid w:val="00FC3208"/>
    <w:rsid w:val="00FC57A8"/>
    <w:rsid w:val="00FC5E01"/>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566A"/>
    <w:rsid w:val="00FF6873"/>
    <w:rsid w:val="010550DD"/>
    <w:rsid w:val="020C3215"/>
    <w:rsid w:val="0DA76EF7"/>
    <w:rsid w:val="0F5A7EF5"/>
    <w:rsid w:val="10B61AF9"/>
    <w:rsid w:val="14B95233"/>
    <w:rsid w:val="14D42614"/>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42B6BBD"/>
    <w:rsid w:val="65D4017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qFormat/>
    <w:uiPriority w:val="0"/>
    <w:rPr>
      <w:sz w:val="21"/>
      <w:szCs w:val="21"/>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qFormat/>
    <w:uiPriority w:val="99"/>
    <w:pPr>
      <w:ind w:firstLine="420" w:firstLineChars="200"/>
    </w:pPr>
  </w:style>
  <w:style w:type="character" w:customStyle="1" w:styleId="19">
    <w:name w:val="页眉 字符"/>
    <w:basedOn w:val="9"/>
    <w:link w:val="7"/>
    <w:qFormat/>
    <w:uiPriority w:val="0"/>
    <w:rPr>
      <w:kern w:val="2"/>
      <w:sz w:val="18"/>
      <w:szCs w:val="18"/>
    </w:rPr>
  </w:style>
  <w:style w:type="character" w:customStyle="1" w:styleId="20">
    <w:name w:val="HTML 预设格式 字符"/>
    <w:basedOn w:val="9"/>
    <w:link w:val="8"/>
    <w:qFormat/>
    <w:uiPriority w:val="99"/>
    <w:rPr>
      <w:rFonts w:ascii="宋体" w:hAnsi="宋体"/>
      <w:sz w:val="24"/>
      <w:szCs w:val="24"/>
    </w:rPr>
  </w:style>
  <w:style w:type="character" w:customStyle="1" w:styleId="21">
    <w:name w:val="name"/>
    <w:basedOn w:val="9"/>
    <w:qFormat/>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qFormat/>
    <w:uiPriority w:val="0"/>
    <w:rPr>
      <w:b/>
      <w:bCs/>
      <w:kern w:val="44"/>
      <w:sz w:val="44"/>
      <w:szCs w:val="44"/>
    </w:rPr>
  </w:style>
  <w:style w:type="paragraph" w:customStyle="1" w:styleId="24">
    <w:name w:val="修订2"/>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3</Pages>
  <Words>2535</Words>
  <Characters>14454</Characters>
  <Lines>120</Lines>
  <Paragraphs>33</Paragraphs>
  <TotalTime>2963</TotalTime>
  <ScaleCrop>false</ScaleCrop>
  <LinksUpToDate>false</LinksUpToDate>
  <CharactersWithSpaces>16956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2026-02-12T11:00:08Z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