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outlineLvl w:val="0"/>
        <w:rPr>
          <w:rFonts w:hint="eastAsia" w:ascii="宋体" w:hAnsi="宋体"/>
          <w:b/>
          <w:kern w:val="0"/>
          <w:sz w:val="44"/>
          <w:szCs w:val="44"/>
        </w:rPr>
      </w:pPr>
      <w:r>
        <w:rPr>
          <w:rFonts w:hint="eastAsia" w:ascii="方正小标宋_GBK" w:hAnsi="宋体" w:eastAsia="方正小标宋_GBK"/>
          <w:kern w:val="0"/>
          <w:sz w:val="44"/>
          <w:szCs w:val="44"/>
        </w:rPr>
        <w:t>新疆维吾尔自治区喀什地区麦盖提县应急管理局</w:t>
      </w:r>
      <w:r>
        <w:rPr>
          <w:rFonts w:hint="eastAsia" w:ascii="方正小标宋_GBK" w:hAnsi="宋体" w:eastAsia="方正小标宋_GBK"/>
          <w:kern w:val="0"/>
          <w:sz w:val="44"/>
          <w:szCs w:val="44"/>
          <w:lang w:eastAsia="zh-CN"/>
        </w:rPr>
        <w:t>2026</w:t>
      </w:r>
      <w:r>
        <w:rPr>
          <w:rFonts w:hint="eastAsia" w:ascii="方正小标宋_GBK" w:hAnsi="宋体" w:eastAsia="方正小标宋_GBK"/>
          <w:kern w:val="0"/>
          <w:sz w:val="44"/>
          <w:szCs w:val="44"/>
        </w:rPr>
        <w:t>年部门预算公开</w:t>
      </w:r>
    </w:p>
    <w:p>
      <w:pPr>
        <w:widowControl/>
        <w:jc w:val="left"/>
        <w:rPr>
          <w:rFonts w:hint="eastAsia" w:ascii="黑体" w:hAnsi="黑体" w:eastAsia="黑体" w:cs="黑体"/>
          <w:kern w:val="0"/>
          <w:sz w:val="32"/>
          <w:szCs w:val="32"/>
        </w:rPr>
      </w:pPr>
      <w:r>
        <w:rPr>
          <w:rFonts w:hint="eastAsia" w:ascii="黑体" w:hAnsi="黑体" w:eastAsia="黑体" w:cs="黑体"/>
          <w:kern w:val="0"/>
          <w:sz w:val="32"/>
          <w:szCs w:val="32"/>
        </w:rPr>
        <w:br w:type="page"/>
      </w:r>
    </w:p>
    <w:p>
      <w:pPr>
        <w:spacing w:line="600" w:lineRule="exact"/>
        <w:jc w:val="center"/>
        <w:rPr>
          <w:rFonts w:hint="eastAsia" w:ascii="黑体" w:hAnsi="黑体" w:eastAsia="黑体" w:cs="黑体"/>
          <w:kern w:val="0"/>
          <w:sz w:val="32"/>
          <w:szCs w:val="32"/>
        </w:rPr>
      </w:pPr>
      <w:r>
        <w:rPr>
          <w:rFonts w:hint="eastAsia" w:ascii="黑体" w:hAnsi="黑体" w:eastAsia="黑体" w:cs="黑体"/>
          <w:kern w:val="0"/>
          <w:sz w:val="32"/>
          <w:szCs w:val="32"/>
        </w:rPr>
        <w:t>目 录</w:t>
      </w:r>
    </w:p>
    <w:p>
      <w:pPr>
        <w:jc w:val="center"/>
        <w:rPr>
          <w:sz w:val="36"/>
          <w:szCs w:val="36"/>
        </w:rPr>
      </w:pP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第一部分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年部门概况</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二、机构设置及人员情况</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第二部分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年部门预算公开表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一、部门收支总体情况表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二、部门收入总体情况表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三、部门支出总体情况表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四、财政拨款收支预算总体情况表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五、一般公共预算支出情况表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六、一般公共预算基本支出情况表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七、一般公共预算项目支出情况表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八、政府性基金预算支出情况表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九、国有资本经营预算支出情况表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十、财政拨款“三公”经费支出情况表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十一、上年结转结余情况明细表</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第三部分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一、关于新疆维吾尔自治区喀什地区麦盖提县应急管理局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二、关于新疆维吾尔自治区喀什地区麦盖提县应急管理局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年收入预算情况说明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三、关于新疆维吾尔自治区喀什地区麦盖提县应急管理局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年支出预算情况说明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四、关于新疆维吾尔自治区喀什地区麦盖提县应急管理局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五、关于新疆维吾尔自治区喀什地区麦盖提县应急管理局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年一般公共预算当年拨款情况说明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六、关于新疆维吾尔自治区喀什地区麦盖提县应急管理局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年一般公共预算基本支出情况说明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七、关于新疆维吾尔自治区喀什地区麦盖提县应急管理局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年一般公共预算项目支出情况说明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八、关于新疆维吾尔自治区喀什地区麦盖提县应急管理局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年政府性基金预算拨款情况说明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九、关于新疆维吾尔自治区喀什地区麦盖提县应急管理局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年国有资本经营预算拨款情况说明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十、关于新疆维吾尔自治区喀什地区麦盖提县应急管理局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年财政拨款“三公”经费预算情况说明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十一、关于</w:t>
      </w:r>
      <w:bookmarkStart w:id="0" w:name="_Hlk159862468"/>
      <w:r>
        <w:rPr>
          <w:rFonts w:hint="eastAsia" w:ascii="仿宋_GB2312" w:hAnsi="仿宋_GB2312" w:eastAsia="仿宋_GB2312" w:cs="仿宋_GB2312"/>
          <w:kern w:val="0"/>
          <w:sz w:val="32"/>
          <w:szCs w:val="32"/>
        </w:rPr>
        <w:t>新疆维吾尔自治区喀什地区</w:t>
      </w:r>
      <w:bookmarkEnd w:id="0"/>
      <w:r>
        <w:rPr>
          <w:rFonts w:hint="eastAsia" w:ascii="仿宋_GB2312" w:hAnsi="仿宋_GB2312" w:eastAsia="仿宋_GB2312" w:cs="仿宋_GB2312"/>
          <w:kern w:val="0"/>
          <w:sz w:val="32"/>
          <w:szCs w:val="32"/>
        </w:rPr>
        <w:t>麦盖提县应急管理局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十二、其他重要事项的情况说明</w:t>
      </w:r>
    </w:p>
    <w:p>
      <w:pPr>
        <w:widowControl/>
        <w:spacing w:line="540" w:lineRule="exact"/>
        <w:ind w:firstLine="643" w:firstLineChars="200"/>
        <w:rPr>
          <w:rFonts w:hint="eastAsia" w:ascii="仿宋_GB2312" w:hAnsi="宋体" w:eastAsia="仿宋_GB2312"/>
          <w:b/>
          <w:kern w:val="0"/>
          <w:sz w:val="32"/>
          <w:szCs w:val="32"/>
        </w:rPr>
      </w:pPr>
      <w:r>
        <w:rPr>
          <w:rFonts w:hint="eastAsia" w:ascii="仿宋_GB2312" w:hAnsi="仿宋_GB2312" w:eastAsia="仿宋_GB2312" w:cs="仿宋_GB2312"/>
          <w:b/>
          <w:kern w:val="0"/>
          <w:sz w:val="32"/>
          <w:szCs w:val="32"/>
        </w:rPr>
        <w:t>第四部分 名词解释</w:t>
      </w:r>
      <w:r>
        <w:rPr>
          <w:rFonts w:ascii="仿宋_GB2312" w:hAnsi="宋体" w:eastAsia="仿宋_GB2312"/>
          <w:b/>
          <w:kern w:val="0"/>
          <w:sz w:val="32"/>
          <w:szCs w:val="32"/>
        </w:rPr>
        <w:br w:type="page"/>
      </w:r>
    </w:p>
    <w:p>
      <w:pPr>
        <w:widowControl/>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第一部分 </w:t>
      </w:r>
      <w:bookmarkStart w:id="1" w:name="_Hlk155094649"/>
      <w:r>
        <w:rPr>
          <w:rFonts w:hint="eastAsia" w:ascii="黑体" w:hAnsi="黑体" w:eastAsia="黑体"/>
          <w:kern w:val="0"/>
          <w:sz w:val="32"/>
          <w:szCs w:val="32"/>
          <w:lang w:eastAsia="zh-CN"/>
        </w:rPr>
        <w:t>2026</w:t>
      </w:r>
      <w:r>
        <w:rPr>
          <w:rFonts w:hint="eastAsia" w:ascii="黑体" w:hAnsi="黑体" w:eastAsia="黑体"/>
          <w:kern w:val="0"/>
          <w:sz w:val="32"/>
          <w:szCs w:val="32"/>
        </w:rPr>
        <w:t>年</w:t>
      </w:r>
      <w:bookmarkEnd w:id="1"/>
      <w:r>
        <w:rPr>
          <w:rFonts w:hint="eastAsia" w:ascii="黑体" w:hAnsi="黑体" w:eastAsia="黑体"/>
          <w:kern w:val="0"/>
          <w:sz w:val="32"/>
          <w:szCs w:val="32"/>
        </w:rPr>
        <w:t>部门概况</w:t>
      </w:r>
    </w:p>
    <w:p>
      <w:pPr>
        <w:jc w:val="center"/>
        <w:rPr>
          <w:sz w:val="30"/>
          <w:szCs w:val="30"/>
        </w:rPr>
      </w:pP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一、</w:t>
      </w:r>
      <w:bookmarkStart w:id="2" w:name="_Hlk149153910"/>
      <w:r>
        <w:rPr>
          <w:rFonts w:hint="eastAsia" w:ascii="楷体_GB2312" w:hAnsi="楷体_GB2312" w:eastAsia="楷体_GB2312" w:cs="楷体_GB2312"/>
          <w:b/>
          <w:bCs/>
          <w:kern w:val="0"/>
          <w:sz w:val="32"/>
          <w:szCs w:val="32"/>
        </w:rPr>
        <w:t>主要职能</w:t>
      </w:r>
      <w:bookmarkEnd w:id="2"/>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1、负责应急管理工作。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2、组织编制全县应急体系建设、安全生产和综合防灾减灾规划，起草相关工作计划、方案并组织实施。</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3、负责安全生产类、自然灾害类应急预案体系建设。</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4、牵头建立统一的应急管理信息系统。</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5、组织指导协调安全生产类、自然灾害类突发事件应急救援，承担全县应对重大灾害指挥部工作，综合研判突发事件负责态势并提出应对建议，协助县委、县人民政府指定的负责同志组织重大灾害应急处置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6、统一协调指挥各类应急专业队伍，建立应急协调联动机制，推进应急救援指挥平台对接，衔接解放军和武警部队参与应急救援工作。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7、统筹应急救援力量建设，负责消防森林和草原火灾扑救、抗洪抢险、地震和地质灾害救援、安全生产事故救援专业应急力量建设，管理指挥综合性应急救援队伍，指导全县及社会应急救援力量建设。</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8、负责消防管理工作，指导消防监督、火灾预防、火灾扑救等工作。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9、指导协调森林和草原火灾、水旱灾害、地震和地质灾害防治工作，负责自然灾害综合预测预警工作，指导开展自然灾害综合风险评估工作。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10、组织协调灾害救助工作，组织指导灾情核查、损失评估、救灾捐赠工作，管理、分配救灾款物并监督使用。</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11、依法行使安全生产综合监督管理职权，指导协调、监督检查各乡（镇）人民政府和有关部门安全生产工作，组织开展安全生产巡查、考核工作。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12、按照分级、属地原则，依法监督检查工矿商贸（煤矿除外）生产经营单位贯彻执行安全生产法律法规情况及其安全生产条件和有关设备（除特种设备外）、材料、劳动防护用品的安全生产管理工作。负责监督管理工矿商贸行业安全生产工作。依法组织并指导监督实施安全生产准入制度。负责危险化学品安全监督管理综合工作和烟花爆竹安全生产监督管理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13、依法组织指导安全生产事故调查处理，监督事故查处和责任追究落实情况。组织开展自然灾害类突发事件的调查评估工作。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14、制定应急物资储备和应急救援装备规划并组织实施，建立健全应急物资信息平台和调拨制度，在救灾时统一调度。</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15、负责应急管理、安全生产宣传教育和培训工作，组织指导自治区应急管理、安全生产的科学技术研究、推广应用和信息化建设工作。开展应急管理方面的对外合作与交流。</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16、承办县委、县人民政府交办的其他任务。</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17、职能转变。县应急管理局应加强、优化、统筹全县应急能力建设，构建统一领导、权责一致、权威高效的应急能力体系，推动形成统一指挥、专常兼备、反应灵敏、上下联动、平战结合的应急管理体制。</w:t>
      </w: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二、机构设置及人员情况</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w:t>
      </w:r>
      <w:r>
        <w:rPr>
          <w:rFonts w:ascii="仿宋_GB2312" w:hAnsi="宋体" w:eastAsia="仿宋_GB2312" w:cs="宋体"/>
          <w:kern w:val="0"/>
          <w:sz w:val="32"/>
          <w:szCs w:val="32"/>
        </w:rPr>
        <w:t>麦盖提县应急管理局</w:t>
      </w:r>
      <w:r>
        <w:rPr>
          <w:rFonts w:hint="eastAsia" w:ascii="仿宋_GB2312" w:hAnsi="黑体" w:eastAsia="仿宋_GB2312" w:cs="宋体"/>
          <w:bCs/>
          <w:kern w:val="0"/>
          <w:sz w:val="32"/>
          <w:szCs w:val="32"/>
        </w:rPr>
        <w:t>无下属预算单位，下设</w:t>
      </w:r>
      <w:r>
        <w:rPr>
          <w:rFonts w:ascii="仿宋_GB2312" w:hAnsi="黑体" w:eastAsia="仿宋_GB2312" w:cs="宋体"/>
          <w:bCs/>
          <w:kern w:val="0"/>
          <w:sz w:val="32"/>
          <w:szCs w:val="32"/>
        </w:rPr>
        <w:t>2</w:t>
      </w:r>
      <w:r>
        <w:rPr>
          <w:rFonts w:hint="eastAsia" w:ascii="仿宋_GB2312" w:hAnsi="黑体" w:eastAsia="仿宋_GB2312" w:cs="宋体"/>
          <w:bCs/>
          <w:kern w:val="0"/>
          <w:sz w:val="32"/>
          <w:szCs w:val="32"/>
        </w:rPr>
        <w:t>个股室，分别是：</w:t>
      </w:r>
      <w:r>
        <w:rPr>
          <w:rFonts w:hint="eastAsia" w:ascii="仿宋_GB2312" w:hAnsi="宋体" w:eastAsia="仿宋_GB2312" w:cs="宋体"/>
          <w:kern w:val="0"/>
          <w:sz w:val="32"/>
          <w:szCs w:val="32"/>
        </w:rPr>
        <w:t>办公室、综合业务股室。</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新疆维吾尔自治区喀什地区麦盖提县应急管理局实有人数</w:t>
      </w:r>
      <w:r>
        <w:rPr>
          <w:rFonts w:ascii="仿宋_GB2312" w:hAnsi="宋体" w:eastAsia="仿宋_GB2312" w:cs="宋体"/>
          <w:kern w:val="0"/>
          <w:sz w:val="32"/>
          <w:szCs w:val="32"/>
        </w:rPr>
        <w:t>22</w:t>
      </w:r>
      <w:r>
        <w:rPr>
          <w:rFonts w:hint="eastAsia" w:ascii="仿宋_GB2312" w:hAnsi="宋体" w:eastAsia="仿宋_GB2312" w:cs="宋体"/>
          <w:kern w:val="0"/>
          <w:sz w:val="32"/>
          <w:szCs w:val="32"/>
        </w:rPr>
        <w:t>人，其中：在职19人，增加</w:t>
      </w:r>
      <w:r>
        <w:rPr>
          <w:rFonts w:ascii="仿宋_GB2312" w:hAnsi="宋体" w:eastAsia="仿宋_GB2312" w:cs="宋体"/>
          <w:kern w:val="0"/>
          <w:sz w:val="32"/>
          <w:szCs w:val="32"/>
        </w:rPr>
        <w:t>1</w:t>
      </w:r>
      <w:r>
        <w:rPr>
          <w:rFonts w:hint="eastAsia" w:ascii="仿宋_GB2312" w:hAnsi="宋体" w:eastAsia="仿宋_GB2312" w:cs="宋体"/>
          <w:kern w:val="0"/>
          <w:sz w:val="32"/>
          <w:szCs w:val="32"/>
        </w:rPr>
        <w:t>人；退休</w:t>
      </w:r>
      <w:r>
        <w:rPr>
          <w:rFonts w:ascii="仿宋_GB2312" w:hAnsi="宋体" w:eastAsia="仿宋_GB2312" w:cs="宋体"/>
          <w:kern w:val="0"/>
          <w:sz w:val="32"/>
          <w:szCs w:val="32"/>
        </w:rPr>
        <w:t>3</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人；离休</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w:t>
      </w:r>
    </w:p>
    <w:p>
      <w:pPr>
        <w:widowControl/>
        <w:spacing w:line="440" w:lineRule="exact"/>
        <w:jc w:val="center"/>
        <w:outlineLvl w:val="1"/>
        <w:rPr>
          <w:rFonts w:hint="eastAsia"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 xml:space="preserve">第二部分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部门预算公开表</w:t>
      </w:r>
    </w:p>
    <w:p>
      <w:pPr>
        <w:widowControl/>
        <w:jc w:val="left"/>
        <w:rPr>
          <w:rFonts w:hint="eastAsia" w:ascii="宋体" w:hAnsi="宋体"/>
          <w:bCs/>
          <w:kern w:val="0"/>
          <w:sz w:val="20"/>
          <w:szCs w:val="20"/>
        </w:rPr>
      </w:pPr>
      <w:r>
        <w:rPr>
          <w:rFonts w:hint="eastAsia" w:ascii="宋体" w:hAnsi="宋体"/>
          <w:bCs/>
          <w:kern w:val="0"/>
          <w:sz w:val="20"/>
          <w:szCs w:val="20"/>
        </w:rPr>
        <w:t>表1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部门收支总体情况表</w:t>
      </w:r>
    </w:p>
    <w:tbl>
      <w:tblPr>
        <w:tblStyle w:val="12"/>
        <w:tblW w:w="10131" w:type="dxa"/>
        <w:jc w:val="center"/>
        <w:tblInd w:w="0" w:type="dxa"/>
        <w:tblLayout w:type="fixed"/>
        <w:tblCellMar>
          <w:top w:w="0" w:type="dxa"/>
          <w:left w:w="108" w:type="dxa"/>
          <w:bottom w:w="0" w:type="dxa"/>
          <w:right w:w="108" w:type="dxa"/>
        </w:tblCellMar>
      </w:tblPr>
      <w:tblGrid>
        <w:gridCol w:w="8789"/>
        <w:gridCol w:w="1342"/>
      </w:tblGrid>
      <w:tr>
        <w:tblPrEx>
          <w:tblLayout w:type="fixed"/>
          <w:tblCellMar>
            <w:top w:w="0" w:type="dxa"/>
            <w:left w:w="108" w:type="dxa"/>
            <w:bottom w:w="0" w:type="dxa"/>
            <w:right w:w="108" w:type="dxa"/>
          </w:tblCellMar>
        </w:tblPrEx>
        <w:trPr>
          <w:trHeight w:val="170" w:hRule="atLeast"/>
          <w:jc w:val="center"/>
        </w:trPr>
        <w:tc>
          <w:tcPr>
            <w:tcW w:w="8789"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编制部门：新疆维吾尔自治区喀什地区麦盖提县应急管理局</w:t>
            </w:r>
            <w:r>
              <w:rPr>
                <w:rFonts w:ascii="仿宋_GB2312" w:hAnsi="宋体" w:eastAsia="仿宋_GB2312" w:cs="宋体"/>
                <w:kern w:val="0"/>
                <w:sz w:val="24"/>
              </w:rPr>
              <w:t xml:space="preserve"> </w:t>
            </w:r>
          </w:p>
        </w:tc>
        <w:tc>
          <w:tcPr>
            <w:tcW w:w="1342"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12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4"/>
        <w:gridCol w:w="2133"/>
        <w:gridCol w:w="2755"/>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247"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收</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入</w:t>
            </w:r>
          </w:p>
        </w:tc>
        <w:tc>
          <w:tcPr>
            <w:tcW w:w="4881"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支</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exact"/>
          <w:jc w:val="center"/>
        </w:trPr>
        <w:tc>
          <w:tcPr>
            <w:tcW w:w="311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hAnsi="宋体" w:eastAsia="仿宋_GB2312" w:cs="宋体"/>
                <w:b/>
                <w:kern w:val="0"/>
                <w:sz w:val="20"/>
                <w:szCs w:val="20"/>
              </w:rPr>
              <w:t xml:space="preserve">     </w:t>
            </w:r>
            <w:r>
              <w:rPr>
                <w:rFonts w:hint="eastAsia" w:ascii="仿宋_GB2312" w:eastAsia="仿宋_GB2312" w:cs="宋体" w:hAnsiTheme="minorEastAsia"/>
                <w:b/>
                <w:bCs/>
                <w:kern w:val="0"/>
                <w:sz w:val="20"/>
                <w:szCs w:val="20"/>
              </w:rPr>
              <w:t>目</w:t>
            </w:r>
          </w:p>
        </w:tc>
        <w:tc>
          <w:tcPr>
            <w:tcW w:w="2133"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c>
          <w:tcPr>
            <w:tcW w:w="2755"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w:t>
            </w:r>
          </w:p>
        </w:tc>
        <w:tc>
          <w:tcPr>
            <w:tcW w:w="212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一、本年收入</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438.52</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438.52</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其中：一般财力</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438.52</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上级一般公共预算安排转移支付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w:t>
            </w:r>
            <w:r>
              <w:rPr>
                <w:rFonts w:hint="eastAsia" w:ascii="仿宋_GB2312" w:hAnsi="MS Gothic" w:eastAsia="仿宋_GB2312" w:cs="MS Gothic"/>
                <w:kern w:val="0"/>
                <w:sz w:val="18"/>
                <w:szCs w:val="18"/>
                <w:cs/>
              </w:rPr>
              <w:t>‎</w:t>
            </w: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其中：政府性基金收入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上级政府性基金安排转移支付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38.57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其中：国有资本经营收入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上级国有资本经营预算安排转移支付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16.27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其中：事业收入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上级补助收入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附属单位上缴收入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事业单位经营收入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其他收入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二、上年结转结余</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110.14</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1.财政拨款结转</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110.14</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110.14</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28.45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2.非财政拨款结余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465.37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wordWrap w:val="0"/>
              <w:spacing w:line="300" w:lineRule="exact"/>
              <w:ind w:right="2340"/>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 xml:space="preserve">     </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exact"/>
          <w:jc w:val="center"/>
        </w:trPr>
        <w:tc>
          <w:tcPr>
            <w:tcW w:w="3114"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收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入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33"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548.66</w:t>
            </w:r>
          </w:p>
        </w:tc>
        <w:tc>
          <w:tcPr>
            <w:tcW w:w="2755"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支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出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26"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548.66</w:t>
            </w:r>
          </w:p>
        </w:tc>
      </w:tr>
    </w:tbl>
    <w:p>
      <w:pPr>
        <w:widowControl/>
        <w:spacing w:line="20" w:lineRule="exact"/>
        <w:jc w:val="left"/>
        <w:rPr>
          <w:rFonts w:hint="eastAsia" w:ascii="黑体" w:hAnsi="黑体" w:eastAsia="黑体"/>
          <w:b/>
          <w:kern w:val="0"/>
          <w:sz w:val="30"/>
          <w:szCs w:val="30"/>
        </w:rPr>
        <w:sectPr>
          <w:footerReference r:id="rId3" w:type="default"/>
          <w:footerReference r:id="rId4" w:type="even"/>
          <w:pgSz w:w="11906" w:h="16838"/>
          <w:pgMar w:top="1134" w:right="1134" w:bottom="1134" w:left="1134" w:header="851" w:footer="992" w:gutter="0"/>
          <w:cols w:space="425" w:num="1"/>
          <w:docGrid w:type="lines" w:linePitch="312" w:charSpace="0"/>
        </w:sectPr>
      </w:pPr>
    </w:p>
    <w:p>
      <w:pPr>
        <w:widowControl/>
        <w:jc w:val="left"/>
        <w:rPr>
          <w:rFonts w:hint="eastAsia" w:ascii="仿宋_GB2312" w:hAnsi="宋体" w:eastAsia="仿宋_GB2312"/>
          <w:bCs/>
          <w:kern w:val="0"/>
          <w:sz w:val="20"/>
          <w:szCs w:val="20"/>
        </w:rPr>
      </w:pPr>
      <w:r>
        <w:rPr>
          <w:rFonts w:hint="eastAsia" w:ascii="宋体" w:hAnsi="宋体"/>
          <w:bCs/>
          <w:kern w:val="0"/>
          <w:sz w:val="20"/>
          <w:szCs w:val="20"/>
        </w:rPr>
        <w:t>表2</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部门收入总体情况表</w:t>
      </w:r>
    </w:p>
    <w:tbl>
      <w:tblPr>
        <w:tblStyle w:val="12"/>
        <w:tblW w:w="15026" w:type="dxa"/>
        <w:jc w:val="center"/>
        <w:tblInd w:w="0" w:type="dxa"/>
        <w:tblLayout w:type="fixed"/>
        <w:tblCellMar>
          <w:top w:w="0" w:type="dxa"/>
          <w:left w:w="108" w:type="dxa"/>
          <w:bottom w:w="0" w:type="dxa"/>
          <w:right w:w="108" w:type="dxa"/>
        </w:tblCellMar>
      </w:tblPr>
      <w:tblGrid>
        <w:gridCol w:w="13608"/>
        <w:gridCol w:w="1418"/>
      </w:tblGrid>
      <w:tr>
        <w:tblPrEx>
          <w:tblLayout w:type="fixed"/>
          <w:tblCellMar>
            <w:top w:w="0" w:type="dxa"/>
            <w:left w:w="108" w:type="dxa"/>
            <w:bottom w:w="0" w:type="dxa"/>
            <w:right w:w="108" w:type="dxa"/>
          </w:tblCellMar>
        </w:tblPrEx>
        <w:trPr>
          <w:trHeight w:val="246" w:hRule="atLeast"/>
          <w:jc w:val="center"/>
        </w:trPr>
        <w:tc>
          <w:tcPr>
            <w:tcW w:w="13608"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编制部门：新疆维吾尔自治区喀什地区麦盖提县应急管理局</w:t>
            </w:r>
          </w:p>
        </w:tc>
        <w:tc>
          <w:tcPr>
            <w:tcW w:w="1418" w:type="dxa"/>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50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559"/>
        <w:gridCol w:w="1843"/>
        <w:gridCol w:w="1559"/>
        <w:gridCol w:w="850"/>
        <w:gridCol w:w="851"/>
        <w:gridCol w:w="850"/>
        <w:gridCol w:w="851"/>
        <w:gridCol w:w="850"/>
        <w:gridCol w:w="851"/>
        <w:gridCol w:w="709"/>
        <w:gridCol w:w="708"/>
        <w:gridCol w:w="70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1" w:hRule="atLeast"/>
          <w:tblHeader/>
          <w:jc w:val="center"/>
        </w:trPr>
        <w:tc>
          <w:tcPr>
            <w:tcW w:w="2122" w:type="dxa"/>
            <w:gridSpan w:val="3"/>
            <w:tcBorders>
              <w:top w:val="single" w:color="auto" w:sz="4" w:space="0"/>
            </w:tcBorders>
            <w:vAlign w:val="center"/>
          </w:tcPr>
          <w:p>
            <w:pPr>
              <w:jc w:val="center"/>
              <w:rPr>
                <w:rFonts w:hint="eastAsia" w:ascii="仿宋_GB2312" w:eastAsia="仿宋_GB2312" w:hAnsiTheme="minorEastAsia"/>
                <w:b/>
                <w:color w:val="000000"/>
                <w:sz w:val="24"/>
              </w:rPr>
            </w:pPr>
            <w:r>
              <w:rPr>
                <w:rFonts w:hint="eastAsia" w:ascii="仿宋_GB2312" w:eastAsia="仿宋_GB2312" w:hAnsiTheme="minorEastAsia"/>
                <w:b/>
                <w:color w:val="000000"/>
                <w:sz w:val="24"/>
              </w:rPr>
              <w:t>功能分类</w:t>
            </w:r>
          </w:p>
          <w:p>
            <w:pPr>
              <w:jc w:val="center"/>
              <w:rPr>
                <w:rFonts w:hint="eastAsia" w:ascii="仿宋_GB2312" w:eastAsia="仿宋_GB2312" w:cs="宋体" w:hAnsiTheme="minorEastAsia"/>
                <w:b/>
                <w:color w:val="000000"/>
                <w:sz w:val="24"/>
              </w:rPr>
            </w:pPr>
            <w:r>
              <w:rPr>
                <w:rFonts w:hint="eastAsia" w:ascii="仿宋_GB2312" w:eastAsia="仿宋_GB2312" w:hAnsiTheme="minorEastAsia"/>
                <w:b/>
                <w:color w:val="000000"/>
                <w:sz w:val="24"/>
              </w:rPr>
              <w:t>科目编码</w:t>
            </w:r>
          </w:p>
        </w:tc>
        <w:tc>
          <w:tcPr>
            <w:tcW w:w="1559"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功能分类科目名称</w:t>
            </w:r>
          </w:p>
        </w:tc>
        <w:tc>
          <w:tcPr>
            <w:tcW w:w="1843"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总 计</w:t>
            </w:r>
          </w:p>
        </w:tc>
        <w:tc>
          <w:tcPr>
            <w:tcW w:w="6662" w:type="dxa"/>
            <w:gridSpan w:val="7"/>
            <w:tcBorders>
              <w:top w:val="single" w:color="auto" w:sz="4" w:space="0"/>
            </w:tcBorders>
            <w:vAlign w:val="center"/>
          </w:tcPr>
          <w:p>
            <w:pPr>
              <w:jc w:val="center"/>
              <w:rPr>
                <w:rFonts w:hint="eastAsia" w:ascii="仿宋_GB2312" w:eastAsia="仿宋_GB2312" w:cs="宋体" w:hAnsiTheme="minorEastAsia"/>
                <w:b/>
                <w:color w:val="000000"/>
                <w:sz w:val="24"/>
              </w:rPr>
            </w:pPr>
            <w:r>
              <w:rPr>
                <w:rFonts w:hint="eastAsia" w:ascii="仿宋_GB2312" w:eastAsia="仿宋_GB2312" w:cs="宋体" w:hAnsiTheme="minorEastAsia"/>
                <w:b/>
                <w:color w:val="000000"/>
                <w:sz w:val="24"/>
              </w:rPr>
              <w:t xml:space="preserve">财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政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拨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款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补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助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财政专户（教育收费）</w:t>
            </w:r>
          </w:p>
        </w:tc>
        <w:tc>
          <w:tcPr>
            <w:tcW w:w="708"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单位资金</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财政拨款结转</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tblHeader/>
          <w:jc w:val="center"/>
        </w:trPr>
        <w:tc>
          <w:tcPr>
            <w:tcW w:w="704"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类</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款</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项</w:t>
            </w:r>
          </w:p>
        </w:tc>
        <w:tc>
          <w:tcPr>
            <w:tcW w:w="1559" w:type="dxa"/>
            <w:vMerge w:val="continue"/>
            <w:vAlign w:val="center"/>
          </w:tcPr>
          <w:p>
            <w:pPr>
              <w:rPr>
                <w:rFonts w:hint="eastAsia" w:cs="宋体" w:asciiTheme="minorEastAsia" w:hAnsiTheme="minorEastAsia" w:eastAsiaTheme="minorEastAsia"/>
                <w:b/>
                <w:color w:val="000000"/>
                <w:sz w:val="20"/>
                <w:szCs w:val="20"/>
              </w:rPr>
            </w:pPr>
          </w:p>
        </w:tc>
        <w:tc>
          <w:tcPr>
            <w:tcW w:w="1843" w:type="dxa"/>
            <w:vMerge w:val="continue"/>
            <w:vAlign w:val="center"/>
          </w:tcPr>
          <w:p>
            <w:pPr>
              <w:rPr>
                <w:rFonts w:hint="eastAsia" w:cs="宋体" w:asciiTheme="minorEastAsia" w:hAnsiTheme="minorEastAsia" w:eastAsia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财政拨款（补助）小计</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一般公共预算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上级一般公共预算安排的转</w:t>
            </w:r>
          </w:p>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政府性基金预算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上级政府性基金安排的转移支付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国有资本经营预算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上级国有资本经营预算安排的转移支付</w:t>
            </w: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8"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社会保障和就业支出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38.57</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38.57</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38.57</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行政事业单位养老支出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38.57</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38.57</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38.57</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行政单位离退休</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5.00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5.00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机关事业单位基本养老保险缴费支出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33.57</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33.57</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33.57</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卫生健康支出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16.27</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16.27</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16.27</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行政事业单位医疗</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16.27</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16.27</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16.27</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行政单位医疗</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14.48</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14.48</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14.48</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03</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公务员医疗补助</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1.79</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1.79</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1.79</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住房保障支出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28.45</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28.45</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28.45</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住房改革支出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28.45</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28.45</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28.45</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住房公积金</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28.45</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28.45</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28.45</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224</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灾害防治及应急管理支出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465.37</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355.23</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355.23</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110.14</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224</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应急管理事务</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355.23</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355.23</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355.23</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224</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行政运行</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255.23</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255.23</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255.23</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224</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06</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安全监管</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100.00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100.00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100.00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224</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07</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自然灾害救灾及恢复重建支出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110.14</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110.14</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224</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07</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03</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自然灾害救灾补助</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110.14</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110.14</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合计</w:t>
            </w:r>
          </w:p>
        </w:tc>
        <w:tc>
          <w:tcPr>
            <w:tcW w:w="1843"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548.66</w:t>
            </w: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438.52</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438.52</w:t>
            </w: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8"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110.14</w:t>
            </w:r>
          </w:p>
        </w:tc>
        <w:tc>
          <w:tcPr>
            <w:tcW w:w="709" w:type="dxa"/>
            <w:vAlign w:val="center"/>
          </w:tcPr>
          <w:p>
            <w:pPr>
              <w:jc w:val="center"/>
              <w:rPr>
                <w:rFonts w:hint="eastAsia" w:ascii="仿宋_GB2312" w:eastAsia="仿宋_GB2312" w:cs="宋体" w:hAnsiTheme="minorEastAsia"/>
                <w:b/>
                <w:color w:val="000000"/>
                <w:sz w:val="20"/>
                <w:szCs w:val="20"/>
              </w:rPr>
            </w:pPr>
          </w:p>
        </w:tc>
      </w:tr>
    </w:tbl>
    <w:p>
      <w:pPr>
        <w:widowControl/>
        <w:spacing w:line="20" w:lineRule="exact"/>
        <w:jc w:val="left"/>
        <w:rPr>
          <w:rFonts w:hint="eastAsia" w:ascii="宋体" w:hAnsi="宋体"/>
          <w:bCs/>
          <w:kern w:val="0"/>
          <w:sz w:val="20"/>
          <w:szCs w:val="20"/>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表3</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部门支出总体情况表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center"/>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编制部门：新疆维吾尔自治区喀什地区麦盖提县应急管理局</w:t>
            </w:r>
          </w:p>
        </w:tc>
        <w:tc>
          <w:tcPr>
            <w:tcW w:w="1418" w:type="dxa"/>
            <w:vAlign w:val="center"/>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709"/>
        <w:gridCol w:w="709"/>
        <w:gridCol w:w="3510"/>
        <w:gridCol w:w="1984"/>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支出预算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2014"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510"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984"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tblHeader/>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510"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4"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社会保障和就业支出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38.57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38.57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行政事业单位养老支出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38.57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38.57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行政单位离退休</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机关事业单位基本养老保险缴费支出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33.57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33.57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卫生健康支出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16.27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16.27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行政事业单位医疗</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16.27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16.27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行政单位医疗</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14.48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14.48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03</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公务员医疗补助</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1.79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1.79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住房保障支出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28.45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28.45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住房改革支出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28.45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28.45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住房公积金</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28.45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28.45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224</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灾害防治及应急管理支出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465.37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255.23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224</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应急管理事务</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355.23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255.23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224</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行政运行</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255.23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255.23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224</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06</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安全监管</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100.00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224</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07</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自然灾害救灾及恢复重建支出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110.14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224</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07</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03</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自然灾害救灾补助</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110.14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3510"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984"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548.66</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338.52</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210.14</w:t>
            </w:r>
          </w:p>
        </w:tc>
      </w:tr>
    </w:tbl>
    <w:p>
      <w:pPr>
        <w:widowControl/>
        <w:jc w:val="left"/>
        <w:rPr>
          <w:rFonts w:hint="eastAsia" w:ascii="宋体" w:hAnsi="宋体"/>
          <w:bCs/>
          <w:kern w:val="0"/>
          <w:sz w:val="20"/>
          <w:szCs w:val="20"/>
        </w:rPr>
      </w:pPr>
      <w:r>
        <w:rPr>
          <w:rFonts w:ascii="微软雅黑" w:hAnsi="Calibri" w:eastAsia="微软雅黑"/>
          <w:b/>
          <w:bCs/>
          <w:kern w:val="44"/>
          <w:sz w:val="2"/>
          <w:szCs w:val="2"/>
        </w:rPr>
        <w:br w:type="page"/>
      </w:r>
      <w:r>
        <w:rPr>
          <w:rFonts w:hint="eastAsia" w:ascii="宋体" w:hAnsi="宋体"/>
          <w:bCs/>
          <w:kern w:val="0"/>
          <w:sz w:val="20"/>
          <w:szCs w:val="20"/>
        </w:rPr>
        <w:t>表4</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编制部门：新疆维吾尔自治区喀什地区麦盖提县应急管理局</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06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966"/>
        <w:gridCol w:w="2719"/>
        <w:gridCol w:w="1139"/>
        <w:gridCol w:w="1129"/>
        <w:gridCol w:w="992"/>
        <w:gridCol w:w="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4" w:hRule="atLeast"/>
          <w:tblHeader/>
          <w:jc w:val="center"/>
        </w:trPr>
        <w:tc>
          <w:tcPr>
            <w:tcW w:w="3088"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财政拨款收入</w:t>
            </w:r>
          </w:p>
        </w:tc>
        <w:tc>
          <w:tcPr>
            <w:tcW w:w="6976" w:type="dxa"/>
            <w:gridSpan w:val="5"/>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7" w:hRule="atLeast"/>
          <w:tblHeader/>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eastAsia="仿宋_GB2312" w:cs="宋体" w:hAnsiTheme="minorEastAsia"/>
                <w:b/>
                <w:kern w:val="0"/>
                <w:sz w:val="20"/>
                <w:szCs w:val="20"/>
              </w:rPr>
              <w:t xml:space="preserve">    </w:t>
            </w:r>
            <w:r>
              <w:rPr>
                <w:rFonts w:hint="eastAsia" w:ascii="仿宋_GB2312" w:eastAsia="仿宋_GB2312" w:cs="宋体" w:hAnsiTheme="minorEastAsia"/>
                <w:b/>
                <w:bCs/>
                <w:kern w:val="0"/>
                <w:sz w:val="20"/>
                <w:szCs w:val="20"/>
              </w:rPr>
              <w:t>目</w:t>
            </w:r>
          </w:p>
        </w:tc>
        <w:tc>
          <w:tcPr>
            <w:tcW w:w="96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  能  分  类</w:t>
            </w:r>
          </w:p>
        </w:tc>
        <w:tc>
          <w:tcPr>
            <w:tcW w:w="113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112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一般公共预算</w:t>
            </w:r>
          </w:p>
        </w:tc>
        <w:tc>
          <w:tcPr>
            <w:tcW w:w="99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政府性基金</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w:t>
            </w:r>
          </w:p>
        </w:tc>
        <w:tc>
          <w:tcPr>
            <w:tcW w:w="997"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一、财政拨款（补助）</w:t>
            </w:r>
            <w:r>
              <w:rPr>
                <w:rFonts w:hint="eastAsia" w:ascii="仿宋_GB2312" w:hAnsi="MS Gothic" w:eastAsia="仿宋_GB2312" w:cs="MS Gothic"/>
                <w:kern w:val="0"/>
                <w:sz w:val="18"/>
                <w:szCs w:val="18"/>
                <w:cs/>
              </w:rPr>
              <w:t>‎</w:t>
            </w:r>
          </w:p>
        </w:tc>
        <w:tc>
          <w:tcPr>
            <w:tcW w:w="966"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438.52</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一般公共预算</w:t>
            </w:r>
          </w:p>
        </w:tc>
        <w:tc>
          <w:tcPr>
            <w:tcW w:w="966"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438.52</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w:t>
            </w:r>
          </w:p>
        </w:tc>
        <w:tc>
          <w:tcPr>
            <w:tcW w:w="966"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w:t>
            </w:r>
          </w:p>
        </w:tc>
        <w:tc>
          <w:tcPr>
            <w:tcW w:w="966"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38.57</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38.57</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16.27</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16.27</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28.45</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28.45</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355.23</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355.23</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5" w:hRule="exact"/>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收 入 总 计</w:t>
            </w:r>
          </w:p>
        </w:tc>
        <w:tc>
          <w:tcPr>
            <w:tcW w:w="96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438.52</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 出 总 计</w:t>
            </w:r>
          </w:p>
        </w:tc>
        <w:tc>
          <w:tcPr>
            <w:tcW w:w="113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438.52</w:t>
            </w:r>
          </w:p>
        </w:tc>
        <w:tc>
          <w:tcPr>
            <w:tcW w:w="112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color w:val="000000"/>
                <w:kern w:val="0"/>
                <w:sz w:val="20"/>
                <w:szCs w:val="20"/>
              </w:rPr>
              <w:t>438.52</w:t>
            </w:r>
          </w:p>
        </w:tc>
        <w:tc>
          <w:tcPr>
            <w:tcW w:w="992" w:type="dxa"/>
            <w:vAlign w:val="center"/>
          </w:tcPr>
          <w:p>
            <w:pPr>
              <w:widowControl/>
              <w:jc w:val="right"/>
              <w:rPr>
                <w:rFonts w:hint="eastAsia" w:ascii="仿宋_GB2312" w:eastAsia="仿宋_GB2312" w:cs="宋体" w:hAnsiTheme="minorEastAsia"/>
                <w:b/>
                <w:bCs/>
                <w:kern w:val="0"/>
                <w:sz w:val="20"/>
                <w:szCs w:val="20"/>
              </w:rPr>
            </w:pPr>
          </w:p>
        </w:tc>
        <w:tc>
          <w:tcPr>
            <w:tcW w:w="997" w:type="dxa"/>
            <w:vAlign w:val="center"/>
          </w:tcPr>
          <w:p>
            <w:pPr>
              <w:widowControl/>
              <w:jc w:val="right"/>
              <w:rPr>
                <w:rFonts w:hint="eastAsia" w:ascii="仿宋_GB2312" w:eastAsia="仿宋_GB2312" w:cs="宋体" w:hAnsiTheme="minorEastAsia"/>
                <w:b/>
                <w:bCs/>
                <w:kern w:val="0"/>
                <w:sz w:val="20"/>
                <w:szCs w:val="20"/>
              </w:rPr>
            </w:pPr>
          </w:p>
        </w:tc>
      </w:tr>
    </w:tbl>
    <w:p>
      <w:pPr>
        <w:widowControl/>
        <w:spacing w:line="20" w:lineRule="exact"/>
        <w:jc w:val="left"/>
        <w:rPr>
          <w:rFonts w:ascii="微软雅黑" w:hAnsi="Calibri" w:eastAsia="微软雅黑"/>
          <w:b/>
          <w:bCs/>
          <w:kern w:val="44"/>
          <w:sz w:val="24"/>
        </w:rPr>
      </w:pPr>
      <w:r>
        <w:rPr>
          <w:rFonts w:ascii="微软雅黑" w:hAnsi="Calibri" w:eastAsia="微软雅黑"/>
          <w:b/>
          <w:bCs/>
          <w:kern w:val="44"/>
          <w:sz w:val="24"/>
        </w:rPr>
        <w:br w:type="page"/>
      </w:r>
    </w:p>
    <w:p>
      <w:pPr>
        <w:widowControl/>
        <w:jc w:val="left"/>
        <w:rPr>
          <w:rFonts w:hint="eastAsia" w:ascii="宋体" w:hAnsi="宋体"/>
          <w:bCs/>
          <w:kern w:val="0"/>
          <w:sz w:val="20"/>
          <w:szCs w:val="20"/>
        </w:rPr>
      </w:pPr>
      <w:r>
        <w:rPr>
          <w:rFonts w:hint="eastAsia" w:ascii="宋体" w:hAnsi="宋体"/>
          <w:bCs/>
          <w:kern w:val="0"/>
          <w:sz w:val="20"/>
          <w:szCs w:val="20"/>
        </w:rPr>
        <w:t>表5</w:t>
      </w:r>
    </w:p>
    <w:p>
      <w:pPr>
        <w:widowControl/>
        <w:jc w:val="center"/>
        <w:outlineLvl w:val="2"/>
        <w:rPr>
          <w:rFonts w:ascii="微软雅黑" w:hAnsi="Calibri" w:eastAsia="微软雅黑"/>
          <w:b/>
          <w:bCs/>
          <w:kern w:val="44"/>
          <w:sz w:val="32"/>
          <w:szCs w:val="32"/>
        </w:rPr>
      </w:pPr>
      <w:r>
        <w:rPr>
          <w:rFonts w:hint="eastAsia" w:ascii="仿宋_GB2312" w:hAnsi="宋体" w:eastAsia="仿宋_GB2312"/>
          <w:b/>
          <w:kern w:val="0"/>
          <w:sz w:val="32"/>
          <w:szCs w:val="32"/>
        </w:rPr>
        <w:t>一般公共预算支出情况表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编制部门：新疆维吾尔自治区喀什地区麦盖提县应急管理局</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709"/>
        <w:gridCol w:w="769"/>
        <w:gridCol w:w="3146"/>
        <w:gridCol w:w="1559"/>
        <w:gridCol w:w="127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3" w:hRule="atLeast"/>
          <w:tblHeader/>
          <w:jc w:val="center"/>
        </w:trPr>
        <w:tc>
          <w:tcPr>
            <w:tcW w:w="5382"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blHeader/>
          <w:jc w:val="center"/>
        </w:trPr>
        <w:tc>
          <w:tcPr>
            <w:tcW w:w="2236"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14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559"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  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701"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jc w:val="center"/>
        </w:trPr>
        <w:tc>
          <w:tcPr>
            <w:tcW w:w="75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6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14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559"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701"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社会保障和就业支出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38.57</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38.57</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行政事业单位养老支出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38.57</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38.57</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行政单位离退休</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5.00</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5.00</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33.57</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33.57</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卫生健康支出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16.27</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16.27</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行政事业单位医疗</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16.27</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16.27</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行政单位医疗</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14.48</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14.48</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03</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公务员医疗补助</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1.79</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1.79</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住房保障支出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28.45</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28.45</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住房改革支出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28.45</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28.45</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28.45</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28.45</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224</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灾害防治及应急管理支出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355.23</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255.23</w:t>
            </w: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224</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应急管理事务</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355.23</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255.23</w:t>
            </w: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224</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行政运行</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255.23</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255.23</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224</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06</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安全监管</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100.00</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20"/>
                <w:szCs w:val="20"/>
              </w:rPr>
            </w:pPr>
          </w:p>
        </w:tc>
        <w:tc>
          <w:tcPr>
            <w:tcW w:w="709" w:type="dxa"/>
            <w:vAlign w:val="center"/>
          </w:tcPr>
          <w:p>
            <w:pPr>
              <w:widowControl/>
              <w:jc w:val="center"/>
              <w:rPr>
                <w:rFonts w:hint="eastAsia" w:ascii="仿宋_GB2312" w:eastAsia="仿宋_GB2312" w:cs="宋体" w:hAnsiTheme="minorEastAsia"/>
                <w:color w:val="000000"/>
                <w:kern w:val="0"/>
                <w:sz w:val="20"/>
                <w:szCs w:val="20"/>
              </w:rPr>
            </w:pPr>
          </w:p>
        </w:tc>
        <w:tc>
          <w:tcPr>
            <w:tcW w:w="769" w:type="dxa"/>
            <w:vAlign w:val="center"/>
          </w:tcPr>
          <w:p>
            <w:pPr>
              <w:widowControl/>
              <w:jc w:val="center"/>
              <w:rPr>
                <w:rFonts w:hint="eastAsia" w:ascii="仿宋_GB2312" w:eastAsia="仿宋_GB2312" w:cs="宋体" w:hAnsiTheme="minorEastAsia"/>
                <w:color w:val="000000"/>
                <w:kern w:val="0"/>
                <w:sz w:val="20"/>
                <w:szCs w:val="20"/>
              </w:rPr>
            </w:pPr>
          </w:p>
        </w:tc>
        <w:tc>
          <w:tcPr>
            <w:tcW w:w="314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559"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438.52</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338.52</w:t>
            </w:r>
          </w:p>
        </w:tc>
        <w:tc>
          <w:tcPr>
            <w:tcW w:w="1701"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100.00</w:t>
            </w:r>
          </w:p>
        </w:tc>
      </w:tr>
    </w:tbl>
    <w:p>
      <w:pPr>
        <w:widowControl/>
        <w:spacing w:line="20" w:lineRule="exact"/>
        <w:jc w:val="left"/>
        <w:rPr>
          <w:rFonts w:hint="eastAsia" w:cs="宋体" w:asciiTheme="minorEastAsia" w:hAnsiTheme="minorEastAsia" w:eastAsiaTheme="minorEastAsia"/>
          <w:kern w:val="0"/>
          <w:sz w:val="18"/>
          <w:szCs w:val="18"/>
        </w:rPr>
      </w:pPr>
      <w:r>
        <w:rPr>
          <w:rFonts w:cs="宋体" w:asciiTheme="minorEastAsia" w:hAnsiTheme="minorEastAsia" w:eastAsiaTheme="minorEastAsia"/>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表6</w:t>
      </w:r>
    </w:p>
    <w:p>
      <w:pPr>
        <w:widowControl/>
        <w:jc w:val="center"/>
        <w:outlineLvl w:val="2"/>
        <w:rPr>
          <w:sz w:val="22"/>
          <w:szCs w:val="28"/>
        </w:rPr>
      </w:pPr>
      <w:r>
        <w:rPr>
          <w:rFonts w:hint="eastAsia" w:ascii="仿宋_GB2312" w:hAnsi="宋体" w:eastAsia="仿宋_GB2312"/>
          <w:b/>
          <w:kern w:val="0"/>
          <w:sz w:val="32"/>
          <w:szCs w:val="32"/>
        </w:rPr>
        <w:t>一般公共预算基本支出情况表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编制部门：新疆维吾尔自治区喀什地区麦盖提县应急管理局</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992"/>
        <w:gridCol w:w="3118"/>
        <w:gridCol w:w="1985"/>
        <w:gridCol w:w="1417"/>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blHeader/>
          <w:jc w:val="center"/>
        </w:trPr>
        <w:tc>
          <w:tcPr>
            <w:tcW w:w="5098"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820"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9" w:hRule="atLeast"/>
          <w:tblHeader/>
          <w:jc w:val="center"/>
        </w:trPr>
        <w:tc>
          <w:tcPr>
            <w:tcW w:w="1980" w:type="dxa"/>
            <w:gridSpan w:val="2"/>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经济分类科目编码</w:t>
            </w:r>
          </w:p>
        </w:tc>
        <w:tc>
          <w:tcPr>
            <w:tcW w:w="31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经济分类科目名称</w:t>
            </w:r>
          </w:p>
        </w:tc>
        <w:tc>
          <w:tcPr>
            <w:tcW w:w="1985"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417"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人员经费</w:t>
            </w:r>
          </w:p>
        </w:tc>
        <w:tc>
          <w:tcPr>
            <w:tcW w:w="14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blHeader/>
          <w:jc w:val="center"/>
        </w:trPr>
        <w:tc>
          <w:tcPr>
            <w:tcW w:w="98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992"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3118"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5"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7"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8"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工资福利支出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320.87</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320.87</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基本工资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80.70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80.70</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津贴补贴</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80.79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80.79</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奖金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51.92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51.92</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绩效工资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28.57</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28.57</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08</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33.57</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33.57</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10</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职工基本医疗保险缴费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14.48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14.48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公务员医疗补助缴费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1.79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1.79</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其他社会保障缴费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0.60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0.60</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28.45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28.45</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12.85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办公费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2.52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05</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0.22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06</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电费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0.50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邮电费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08</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取暖费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1.99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差旅费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1.88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公务接待费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公务用车运行维护费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3.33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0.33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对个人和家庭的补助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4.80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4.80</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退休费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4.80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4.80</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20"/>
                <w:szCs w:val="20"/>
              </w:rPr>
            </w:pPr>
          </w:p>
        </w:tc>
        <w:tc>
          <w:tcPr>
            <w:tcW w:w="992" w:type="dxa"/>
            <w:vAlign w:val="center"/>
          </w:tcPr>
          <w:p>
            <w:pPr>
              <w:widowControl/>
              <w:jc w:val="center"/>
              <w:rPr>
                <w:rFonts w:hint="eastAsia" w:ascii="仿宋_GB2312" w:eastAsia="仿宋_GB2312" w:cs="宋体" w:hAnsiTheme="minorEastAsia"/>
                <w:color w:val="000000"/>
                <w:kern w:val="0"/>
                <w:sz w:val="20"/>
                <w:szCs w:val="20"/>
              </w:rPr>
            </w:pPr>
          </w:p>
        </w:tc>
        <w:tc>
          <w:tcPr>
            <w:tcW w:w="311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985"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338.52</w:t>
            </w:r>
          </w:p>
        </w:tc>
        <w:tc>
          <w:tcPr>
            <w:tcW w:w="1417" w:type="dxa"/>
            <w:vAlign w:val="center"/>
          </w:tcPr>
          <w:p>
            <w:pPr>
              <w:widowControl/>
              <w:ind w:right="147" w:rightChars="70"/>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325.67</w:t>
            </w:r>
          </w:p>
        </w:tc>
        <w:tc>
          <w:tcPr>
            <w:tcW w:w="1418"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12.85</w:t>
            </w: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宋体" w:hAnsi="宋体"/>
          <w:bCs/>
          <w:kern w:val="0"/>
          <w:sz w:val="20"/>
          <w:szCs w:val="20"/>
        </w:rPr>
        <w:sectPr>
          <w:pgSz w:w="11906" w:h="16838"/>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表7</w:t>
      </w:r>
    </w:p>
    <w:p>
      <w:pPr>
        <w:widowControl/>
        <w:jc w:val="center"/>
        <w:outlineLvl w:val="2"/>
        <w:rPr>
          <w:rFonts w:hint="eastAsia" w:ascii="仿宋_GB2312" w:hAnsi="宋体" w:eastAsia="仿宋_GB2312"/>
          <w:b/>
          <w:kern w:val="0"/>
          <w:sz w:val="36"/>
          <w:szCs w:val="36"/>
        </w:rPr>
      </w:pPr>
      <w:r>
        <w:rPr>
          <w:rFonts w:hint="eastAsia" w:ascii="仿宋_GB2312" w:hAnsi="宋体" w:eastAsia="仿宋_GB2312"/>
          <w:b/>
          <w:kern w:val="0"/>
          <w:sz w:val="32"/>
          <w:szCs w:val="32"/>
        </w:rPr>
        <w:t>一般公共预算项目支出情况表</w:t>
      </w:r>
    </w:p>
    <w:tbl>
      <w:tblPr>
        <w:tblStyle w:val="12"/>
        <w:tblW w:w="1488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6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13467" w:type="dxa"/>
            <w:tcBorders>
              <w:top w:val="nil"/>
              <w:left w:val="nil"/>
              <w:bottom w:val="nil"/>
              <w:right w:val="nil"/>
            </w:tcBorders>
            <w:vAlign w:val="bottom"/>
          </w:tcPr>
          <w:p>
            <w:pPr>
              <w:widowControl/>
              <w:ind w:left="-122"/>
              <w:jc w:val="left"/>
              <w:rPr>
                <w:rFonts w:hint="eastAsia" w:ascii="仿宋_GB2312" w:hAnsi="宋体" w:eastAsia="仿宋_GB2312" w:cs="宋体"/>
                <w:color w:val="000000"/>
                <w:kern w:val="0"/>
                <w:sz w:val="24"/>
              </w:rPr>
            </w:pPr>
            <w:r>
              <w:rPr>
                <w:rFonts w:hint="eastAsia" w:ascii="仿宋_GB2312" w:hAnsi="宋体" w:eastAsia="仿宋_GB2312" w:cs="宋体"/>
                <w:kern w:val="0"/>
                <w:sz w:val="24"/>
              </w:rPr>
              <w:t>编制部门：新疆维吾尔自治区喀什地区麦盖提县应急管理局</w:t>
            </w:r>
          </w:p>
        </w:tc>
        <w:tc>
          <w:tcPr>
            <w:tcW w:w="1417" w:type="dxa"/>
            <w:tcBorders>
              <w:top w:val="nil"/>
              <w:left w:val="nil"/>
              <w:bottom w:val="nil"/>
              <w:right w:val="nil"/>
            </w:tcBorders>
            <w:vAlign w:val="bottom"/>
          </w:tcPr>
          <w:p>
            <w:pPr>
              <w:widowControl/>
              <w:jc w:val="righ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单位：万元</w:t>
            </w:r>
          </w:p>
        </w:tc>
      </w:tr>
    </w:tbl>
    <w:p>
      <w:pPr>
        <w:spacing w:line="20" w:lineRule="exact"/>
        <w:rPr>
          <w:sz w:val="2"/>
          <w:szCs w:val="2"/>
        </w:rPr>
      </w:pPr>
    </w:p>
    <w:tbl>
      <w:tblPr>
        <w:tblStyle w:val="12"/>
        <w:tblW w:w="1487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842"/>
        <w:gridCol w:w="2127"/>
        <w:gridCol w:w="1417"/>
        <w:gridCol w:w="709"/>
        <w:gridCol w:w="709"/>
        <w:gridCol w:w="708"/>
        <w:gridCol w:w="709"/>
        <w:gridCol w:w="851"/>
        <w:gridCol w:w="708"/>
        <w:gridCol w:w="851"/>
        <w:gridCol w:w="709"/>
        <w:gridCol w:w="708"/>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blHeader/>
          <w:jc w:val="center"/>
        </w:trPr>
        <w:tc>
          <w:tcPr>
            <w:tcW w:w="2122"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 目 编 码</w:t>
            </w:r>
          </w:p>
        </w:tc>
        <w:tc>
          <w:tcPr>
            <w:tcW w:w="1842"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科目名称</w:t>
            </w:r>
          </w:p>
        </w:tc>
        <w:tc>
          <w:tcPr>
            <w:tcW w:w="2127" w:type="dxa"/>
            <w:vMerge w:val="restart"/>
            <w:tcBorders>
              <w:top w:val="single" w:color="auto" w:sz="4" w:space="0"/>
            </w:tcBorders>
            <w:vAlign w:val="center"/>
          </w:tcPr>
          <w:p>
            <w:pPr>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项目名称</w:t>
            </w:r>
          </w:p>
        </w:tc>
        <w:tc>
          <w:tcPr>
            <w:tcW w:w="1417"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r>
              <w:rPr>
                <w:rFonts w:ascii="仿宋_GB2312" w:eastAsia="仿宋_GB2312" w:cs="宋体" w:hAnsiTheme="minorEastAsia"/>
                <w:b/>
                <w:bCs/>
                <w:color w:val="000000"/>
                <w:kern w:val="0"/>
                <w:sz w:val="20"/>
                <w:szCs w:val="20"/>
              </w:rPr>
              <w:t>合计</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工资福利支出</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商品和服务支出</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对个人和家庭的补助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债务利息及费用支出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性支出（基本建设）</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资本性支出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对企业补助（基本建设）</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对社会保障基金补助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其他</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atLeast"/>
          <w:tblHeader/>
          <w:jc w:val="center"/>
        </w:trPr>
        <w:tc>
          <w:tcPr>
            <w:tcW w:w="704"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1842"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2127" w:type="dxa"/>
            <w:vMerge w:val="continue"/>
          </w:tcPr>
          <w:p>
            <w:pPr>
              <w:widowControl/>
              <w:jc w:val="left"/>
              <w:rPr>
                <w:rFonts w:hint="eastAsia" w:ascii="仿宋_GB2312" w:eastAsia="仿宋_GB2312" w:cs="宋体" w:hAnsiTheme="minorEastAsia"/>
                <w:b/>
                <w:bCs/>
                <w:color w:val="000000"/>
                <w:kern w:val="0"/>
                <w:sz w:val="20"/>
                <w:szCs w:val="20"/>
              </w:rPr>
            </w:pPr>
          </w:p>
        </w:tc>
        <w:tc>
          <w:tcPr>
            <w:tcW w:w="1417"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224</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灾害防治及应急管理支出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100.00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100.00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224</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应急管理事务</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100.00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100.00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224</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06</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安全监管</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安全生产工作经费</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100.00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100.00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1842" w:type="dxa"/>
            <w:vAlign w:val="center"/>
          </w:tcPr>
          <w:p>
            <w:pPr>
              <w:widowControl/>
              <w:jc w:val="center"/>
              <w:outlineLvl w:val="1"/>
              <w:rPr>
                <w:rFonts w:hint="eastAsia" w:ascii="仿宋_GB2312" w:eastAsia="仿宋_GB2312" w:hAnsiTheme="minorEastAsia"/>
                <w:kern w:val="0"/>
                <w:sz w:val="20"/>
                <w:szCs w:val="20"/>
              </w:rPr>
            </w:pPr>
          </w:p>
        </w:tc>
        <w:tc>
          <w:tcPr>
            <w:tcW w:w="212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合计</w:t>
            </w:r>
          </w:p>
        </w:tc>
        <w:tc>
          <w:tcPr>
            <w:tcW w:w="141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100.00</w:t>
            </w: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100.00</w:t>
            </w: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pStyle w:val="8"/>
              <w:shd w:val="clear" w:color="auto" w:fill="FFFFFF"/>
              <w:jc w:val="center"/>
              <w:rPr>
                <w:rFonts w:hint="default" w:ascii="仿宋_GB2312" w:hAnsi="Courier New" w:eastAsia="仿宋_GB2312" w:cs="Courier New"/>
                <w:color w:val="080808"/>
                <w:sz w:val="20"/>
                <w:szCs w:val="20"/>
              </w:rPr>
            </w:pP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仿宋_GB2312" w:hAnsi="宋体" w:eastAsia="仿宋_GB2312" w:cs="宋体"/>
          <w:b/>
          <w:bCs/>
          <w:color w:val="000000"/>
          <w:kern w:val="0"/>
          <w:sz w:val="18"/>
          <w:szCs w:val="18"/>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表8</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编制部门：新疆维吾尔自治区喀什地区麦盖提县应急管理局</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3402"/>
        <w:gridCol w:w="1134"/>
        <w:gridCol w:w="1134"/>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536"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340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exac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3402"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8" w:hRule="atLeast"/>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340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134"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备注：新疆维吾尔自治区喀什地区麦盖提县应急管理局</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年没有使用政府性基金预算拨款安排的支出，政府性基金预算支出情况表为空表。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表9</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编制部门：新疆维吾尔自治区喀什地区麦盖提县应急管理局</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2948"/>
        <w:gridCol w:w="1446"/>
        <w:gridCol w:w="1134"/>
        <w:gridCol w:w="1134"/>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07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99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2948"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44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2948" w:type="dxa"/>
            <w:vMerge w:val="continue"/>
            <w:vAlign w:val="center"/>
          </w:tcPr>
          <w:p>
            <w:pPr>
              <w:widowControl/>
              <w:jc w:val="left"/>
              <w:rPr>
                <w:rFonts w:hint="eastAsia" w:ascii="仿宋_GB2312" w:eastAsia="仿宋_GB2312" w:cs="宋体" w:hAnsiTheme="minorEastAsia"/>
                <w:b/>
                <w:bCs/>
                <w:kern w:val="0"/>
                <w:sz w:val="20"/>
                <w:szCs w:val="20"/>
              </w:rPr>
            </w:pPr>
          </w:p>
        </w:tc>
        <w:tc>
          <w:tcPr>
            <w:tcW w:w="1446"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276"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294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446"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276"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备注：新疆维吾尔自治区喀什地区麦盖提县应急管理局</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年没有使用国有资本经营预算拨款安排的支出，国有资本经营预算支出情况表为空表。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表1</w:t>
      </w:r>
      <w:r>
        <w:rPr>
          <w:rFonts w:ascii="宋体" w:hAnsi="宋体"/>
          <w:bCs/>
          <w:kern w:val="0"/>
          <w:sz w:val="20"/>
          <w:szCs w:val="20"/>
        </w:rPr>
        <w:t>0</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446" w:hRule="atLeast"/>
          <w:jc w:val="center"/>
        </w:trPr>
        <w:tc>
          <w:tcPr>
            <w:tcW w:w="8505" w:type="dxa"/>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编制部门：新疆维吾尔自治区喀什地区麦盖提县应急管理局</w:t>
            </w:r>
          </w:p>
        </w:tc>
        <w:tc>
          <w:tcPr>
            <w:tcW w:w="1418" w:type="dxa"/>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2"/>
        <w:gridCol w:w="2268"/>
        <w:gridCol w:w="1985"/>
        <w:gridCol w:w="1134"/>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tblHeader/>
          <w:jc w:val="center"/>
        </w:trPr>
        <w:tc>
          <w:tcPr>
            <w:tcW w:w="2972"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hAnsi="MS Gothic" w:eastAsia="仿宋_GB2312" w:cs="MS Gothic"/>
                <w:b/>
                <w:bCs/>
                <w:kern w:val="0"/>
                <w:sz w:val="24"/>
                <w:cs/>
              </w:rPr>
              <w:t>‎</w:t>
            </w:r>
            <w:r>
              <w:rPr>
                <w:rFonts w:hint="eastAsia" w:ascii="仿宋_GB2312" w:eastAsia="仿宋_GB2312" w:cs="宋体" w:hAnsiTheme="minorEastAsia"/>
                <w:b/>
                <w:bCs/>
                <w:kern w:val="0"/>
                <w:sz w:val="24"/>
              </w:rPr>
              <w:t>“三公”经费支出内容</w:t>
            </w:r>
            <w:r>
              <w:rPr>
                <w:rFonts w:hint="eastAsia" w:ascii="仿宋_GB2312" w:hAnsi="MS Gothic" w:eastAsia="仿宋_GB2312" w:cs="MS Gothic"/>
                <w:b/>
                <w:bCs/>
                <w:kern w:val="0"/>
                <w:sz w:val="24"/>
                <w:cs/>
              </w:rPr>
              <w:t>‎</w:t>
            </w:r>
          </w:p>
        </w:tc>
        <w:tc>
          <w:tcPr>
            <w:tcW w:w="2268"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4678" w:type="dxa"/>
            <w:gridSpan w:val="3"/>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8" w:hRule="atLeast"/>
          <w:tblHeader/>
          <w:jc w:val="center"/>
        </w:trPr>
        <w:tc>
          <w:tcPr>
            <w:tcW w:w="2972" w:type="dxa"/>
            <w:vMerge w:val="continue"/>
            <w:vAlign w:val="center"/>
          </w:tcPr>
          <w:p>
            <w:pPr>
              <w:widowControl/>
              <w:jc w:val="center"/>
              <w:rPr>
                <w:rFonts w:hint="eastAsia" w:ascii="仿宋_GB2312" w:eastAsia="仿宋_GB2312" w:cs="宋体" w:hAnsiTheme="minorEastAsia"/>
                <w:b/>
                <w:bCs/>
                <w:kern w:val="0"/>
                <w:sz w:val="24"/>
              </w:rPr>
            </w:pPr>
          </w:p>
        </w:tc>
        <w:tc>
          <w:tcPr>
            <w:tcW w:w="2268" w:type="dxa"/>
            <w:vMerge w:val="continue"/>
            <w:vAlign w:val="center"/>
          </w:tcPr>
          <w:p>
            <w:pPr>
              <w:widowControl/>
              <w:jc w:val="center"/>
              <w:rPr>
                <w:rFonts w:hint="eastAsia" w:ascii="仿宋_GB2312" w:eastAsia="仿宋_GB2312" w:cs="宋体" w:hAnsiTheme="minorEastAsia"/>
                <w:b/>
                <w:bCs/>
                <w:kern w:val="0"/>
                <w:sz w:val="24"/>
              </w:rPr>
            </w:pPr>
          </w:p>
        </w:tc>
        <w:tc>
          <w:tcPr>
            <w:tcW w:w="1985"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一般公共预算</w:t>
            </w:r>
          </w:p>
        </w:tc>
        <w:tc>
          <w:tcPr>
            <w:tcW w:w="1134"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w:t>
            </w:r>
          </w:p>
        </w:tc>
        <w:tc>
          <w:tcPr>
            <w:tcW w:w="1559"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226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4.33</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4.33</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因公出国（境）费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公务接待费</w:t>
            </w:r>
          </w:p>
        </w:tc>
        <w:tc>
          <w:tcPr>
            <w:tcW w:w="2268" w:type="dxa"/>
            <w:vAlign w:val="center"/>
          </w:tcPr>
          <w:p>
            <w:pPr>
              <w:widowControl/>
              <w:jc w:val="center"/>
              <w:rPr>
                <w:rFonts w:hint="eastAsia" w:ascii="仿宋_GB2312" w:eastAsia="仿宋_GB2312" w:cs="宋体" w:hAnsiTheme="minorEastAsia"/>
                <w:kern w:val="0"/>
                <w:sz w:val="20"/>
                <w:szCs w:val="20"/>
              </w:rPr>
            </w:pPr>
            <w:r>
              <w:rPr>
                <w:rFonts w:hint="eastAsia" w:ascii="仿宋_GB2312" w:eastAsia="仿宋_GB2312" w:cs="宋体" w:hAnsiTheme="minorEastAsia"/>
                <w:kern w:val="0"/>
                <w:sz w:val="20"/>
                <w:szCs w:val="20"/>
              </w:rPr>
              <w:t>1.00</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1.00</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公务用车购置及运行费（小计）</w:t>
            </w:r>
            <w:r>
              <w:rPr>
                <w:rFonts w:hint="eastAsia" w:ascii="仿宋_GB2312" w:hAnsi="MS Gothic" w:eastAsia="仿宋_GB2312" w:cs="MS Gothic"/>
                <w:b/>
                <w:bCs/>
                <w:kern w:val="0"/>
                <w:sz w:val="24"/>
                <w:cs/>
              </w:rPr>
              <w:t>‎</w:t>
            </w:r>
          </w:p>
        </w:tc>
        <w:tc>
          <w:tcPr>
            <w:tcW w:w="2268" w:type="dxa"/>
            <w:vAlign w:val="center"/>
          </w:tcPr>
          <w:p>
            <w:pPr>
              <w:widowControl/>
              <w:jc w:val="center"/>
              <w:rPr>
                <w:rFonts w:hint="eastAsia" w:ascii="仿宋_GB2312" w:eastAsia="仿宋_GB2312" w:cs="宋体" w:hAnsiTheme="minorEastAsia"/>
                <w:kern w:val="0"/>
                <w:sz w:val="20"/>
                <w:szCs w:val="20"/>
              </w:rPr>
            </w:pPr>
            <w:r>
              <w:rPr>
                <w:rFonts w:hint="eastAsia" w:ascii="仿宋_GB2312" w:eastAsia="仿宋_GB2312" w:cs="宋体" w:hAnsiTheme="minorEastAsia"/>
                <w:kern w:val="0"/>
                <w:sz w:val="20"/>
                <w:szCs w:val="20"/>
              </w:rPr>
              <w:t>3.33</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3.33</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其中：公务用车购置费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 xml:space="preserve">      公务用车运行费</w:t>
            </w:r>
          </w:p>
        </w:tc>
        <w:tc>
          <w:tcPr>
            <w:tcW w:w="2268" w:type="dxa"/>
            <w:vAlign w:val="center"/>
          </w:tcPr>
          <w:p>
            <w:pPr>
              <w:widowControl/>
              <w:jc w:val="center"/>
              <w:rPr>
                <w:rFonts w:hint="eastAsia" w:ascii="仿宋_GB2312" w:eastAsia="仿宋_GB2312" w:cs="宋体" w:hAnsiTheme="minorEastAsia"/>
                <w:kern w:val="0"/>
                <w:sz w:val="20"/>
                <w:szCs w:val="20"/>
              </w:rPr>
            </w:pPr>
            <w:r>
              <w:rPr>
                <w:rFonts w:hint="eastAsia" w:ascii="仿宋_GB2312" w:eastAsia="仿宋_GB2312" w:cs="宋体" w:hAnsiTheme="minorEastAsia"/>
                <w:kern w:val="0"/>
                <w:sz w:val="20"/>
                <w:szCs w:val="20"/>
              </w:rPr>
              <w:t>3.33</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3.33</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bl>
    <w:p>
      <w:pPr>
        <w:widowControl/>
        <w:spacing w:line="20" w:lineRule="exact"/>
        <w:jc w:val="left"/>
        <w:rPr>
          <w:rFonts w:hint="eastAsia" w:ascii="仿宋_GB2312" w:hAnsi="宋体" w:eastAsia="仿宋_GB2312" w:cs="宋体"/>
          <w:b/>
          <w:bCs/>
          <w:color w:val="000000"/>
          <w:kern w:val="0"/>
          <w:sz w:val="18"/>
          <w:szCs w:val="18"/>
        </w:rPr>
      </w:pPr>
      <w:r>
        <w:rPr>
          <w:rFonts w:ascii="仿宋_GB2312" w:hAnsi="宋体" w:eastAsia="仿宋_GB2312" w:cs="宋体"/>
          <w:b/>
          <w:bCs/>
          <w:color w:val="000000"/>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w:t>
      </w:r>
      <w:r>
        <w:rPr>
          <w:rFonts w:ascii="宋体" w:hAnsi="宋体"/>
          <w:bCs/>
          <w:kern w:val="0"/>
          <w:sz w:val="20"/>
          <w:szCs w:val="20"/>
        </w:rPr>
        <w:t>11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tbl>
      <w:tblPr>
        <w:tblStyle w:val="12"/>
        <w:tblW w:w="10065" w:type="dxa"/>
        <w:jc w:val="center"/>
        <w:tblInd w:w="0" w:type="dxa"/>
        <w:tblLayout w:type="fixed"/>
        <w:tblCellMar>
          <w:top w:w="0" w:type="dxa"/>
          <w:left w:w="108" w:type="dxa"/>
          <w:bottom w:w="0" w:type="dxa"/>
          <w:right w:w="108" w:type="dxa"/>
        </w:tblCellMar>
      </w:tblPr>
      <w:tblGrid>
        <w:gridCol w:w="8222"/>
        <w:gridCol w:w="1843"/>
      </w:tblGrid>
      <w:tr>
        <w:tblPrEx>
          <w:tblLayout w:type="fixed"/>
          <w:tblCellMar>
            <w:top w:w="0" w:type="dxa"/>
            <w:left w:w="108" w:type="dxa"/>
            <w:bottom w:w="0" w:type="dxa"/>
            <w:right w:w="108" w:type="dxa"/>
          </w:tblCellMar>
        </w:tblPrEx>
        <w:trPr>
          <w:trHeight w:val="357" w:hRule="atLeast"/>
          <w:jc w:val="center"/>
        </w:trPr>
        <w:tc>
          <w:tcPr>
            <w:tcW w:w="8222" w:type="dxa"/>
            <w:vAlign w:val="bottom"/>
          </w:tcPr>
          <w:p>
            <w:pPr>
              <w:widowControl/>
              <w:rPr>
                <w:rFonts w:hint="eastAsia" w:ascii="仿宋_GB2312" w:hAnsi="宋体" w:eastAsia="仿宋_GB2312" w:cs="宋体"/>
                <w:b/>
                <w:bCs/>
                <w:kern w:val="0"/>
                <w:sz w:val="24"/>
              </w:rPr>
            </w:pPr>
            <w:r>
              <w:rPr>
                <w:rFonts w:hint="eastAsia" w:ascii="仿宋_GB2312" w:hAnsi="宋体" w:eastAsia="仿宋_GB2312" w:cs="宋体"/>
                <w:kern w:val="0"/>
                <w:sz w:val="24"/>
              </w:rPr>
              <w:t>编制部门：新疆维吾尔自治区喀什地区麦盖提县应急管理局</w:t>
            </w:r>
          </w:p>
        </w:tc>
        <w:tc>
          <w:tcPr>
            <w:tcW w:w="1843"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tbl>
      <w:tblPr>
        <w:tblStyle w:val="22"/>
        <w:tblpPr w:leftFromText="180" w:rightFromText="180" w:vertAnchor="text" w:horzAnchor="margin" w:tblpXSpec="center" w:tblpY="47"/>
        <w:tblOverlap w:val="never"/>
        <w:tblW w:w="10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163"/>
        <w:gridCol w:w="992"/>
        <w:gridCol w:w="709"/>
        <w:gridCol w:w="709"/>
        <w:gridCol w:w="992"/>
        <w:gridCol w:w="1134"/>
        <w:gridCol w:w="709"/>
        <w:gridCol w:w="708"/>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trPr>
        <w:tc>
          <w:tcPr>
            <w:tcW w:w="1951"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tc>
        <w:tc>
          <w:tcPr>
            <w:tcW w:w="1163"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3402"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财政拨款</w:t>
            </w:r>
          </w:p>
        </w:tc>
        <w:tc>
          <w:tcPr>
            <w:tcW w:w="3544"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blHeader/>
        </w:trPr>
        <w:tc>
          <w:tcPr>
            <w:tcW w:w="1951" w:type="dxa"/>
            <w:vMerge w:val="continue"/>
            <w:vAlign w:val="center"/>
          </w:tcPr>
          <w:p>
            <w:pPr>
              <w:widowControl/>
              <w:jc w:val="center"/>
              <w:rPr>
                <w:rFonts w:hint="eastAsia" w:ascii="仿宋_GB2312" w:eastAsia="仿宋_GB2312" w:cs="宋体" w:hAnsiTheme="minorEastAsia"/>
                <w:b/>
                <w:bCs/>
                <w:kern w:val="0"/>
                <w:sz w:val="20"/>
                <w:szCs w:val="20"/>
              </w:rPr>
            </w:pPr>
          </w:p>
        </w:tc>
        <w:tc>
          <w:tcPr>
            <w:tcW w:w="1163" w:type="dxa"/>
            <w:vMerge w:val="continue"/>
            <w:vAlign w:val="center"/>
          </w:tcPr>
          <w:p>
            <w:pPr>
              <w:rPr>
                <w:rFonts w:hint="eastAsia" w:ascii="仿宋_GB2312" w:eastAsia="仿宋_GB2312" w:cs="宋体" w:hAnsiTheme="minorEastAsia"/>
                <w:b/>
                <w:bCs/>
                <w:kern w:val="0"/>
                <w:sz w:val="20"/>
                <w:szCs w:val="20"/>
              </w:rPr>
            </w:pP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7"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3" w:type="dxa"/>
            <w:vMerge w:val="restart"/>
            <w:vAlign w:val="center"/>
          </w:tcPr>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tblHeader/>
        </w:trPr>
        <w:tc>
          <w:tcPr>
            <w:tcW w:w="1951"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63"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34"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3" w:type="dxa"/>
            <w:vMerge w:val="continue"/>
            <w:vAlign w:val="center"/>
          </w:tcPr>
          <w:p>
            <w:pPr>
              <w:widowControl/>
              <w:spacing w:line="280" w:lineRule="exact"/>
              <w:jc w:val="center"/>
              <w:rPr>
                <w:rFonts w:hint="eastAsia" w:ascii="仿宋_GB2312" w:hAnsi="宋体" w:eastAsia="仿宋_GB2312"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rPr>
              <w:t>中央自然灾害救灾资金[森林草原航空消防补助资金]</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110.14</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110.14</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110.14</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jc w:val="center"/>
              <w:rPr>
                <w:rFonts w:ascii="仿宋_GB2312" w:eastAsia="仿宋_GB2312"/>
                <w:b/>
                <w:bCs/>
                <w:sz w:val="18"/>
                <w:szCs w:val="18"/>
              </w:rPr>
            </w:pPr>
          </w:p>
        </w:tc>
        <w:tc>
          <w:tcPr>
            <w:tcW w:w="1163" w:type="dxa"/>
            <w:vAlign w:val="center"/>
          </w:tcPr>
          <w:p>
            <w:pPr>
              <w:jc w:val="center"/>
              <w:rPr>
                <w:rFonts w:ascii="仿宋_GB2312" w:eastAsia="仿宋_GB2312"/>
                <w:b/>
                <w:bCs/>
                <w:sz w:val="18"/>
                <w:szCs w:val="18"/>
              </w:rPr>
            </w:pPr>
            <w:r>
              <w:rPr>
                <w:rFonts w:hint="eastAsia" w:ascii="仿宋_GB2312" w:eastAsia="仿宋_GB2312"/>
                <w:b/>
                <w:bCs/>
                <w:sz w:val="18"/>
                <w:szCs w:val="18"/>
              </w:rPr>
              <w:t>总计</w:t>
            </w:r>
          </w:p>
        </w:tc>
        <w:tc>
          <w:tcPr>
            <w:tcW w:w="992" w:type="dxa"/>
            <w:vAlign w:val="center"/>
          </w:tcPr>
          <w:p>
            <w:pPr>
              <w:jc w:val="center"/>
              <w:rPr>
                <w:rFonts w:ascii="仿宋_GB2312" w:eastAsia="仿宋_GB2312"/>
                <w:b/>
                <w:bCs/>
                <w:sz w:val="18"/>
                <w:szCs w:val="18"/>
              </w:rPr>
            </w:pPr>
            <w:r>
              <w:rPr>
                <w:rFonts w:hint="eastAsia" w:ascii="仿宋_GB2312" w:eastAsia="仿宋_GB2312"/>
                <w:b/>
                <w:bCs/>
                <w:sz w:val="18"/>
                <w:szCs w:val="18"/>
              </w:rPr>
              <w:t>110.14</w:t>
            </w:r>
          </w:p>
        </w:tc>
        <w:tc>
          <w:tcPr>
            <w:tcW w:w="709" w:type="dxa"/>
            <w:vAlign w:val="center"/>
          </w:tcPr>
          <w:p>
            <w:pPr>
              <w:widowControl/>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992" w:type="dxa"/>
            <w:vAlign w:val="center"/>
          </w:tcPr>
          <w:p>
            <w:pPr>
              <w:jc w:val="center"/>
              <w:rPr>
                <w:rFonts w:ascii="仿宋_GB2312" w:eastAsia="仿宋_GB2312"/>
                <w:b/>
                <w:bCs/>
                <w:sz w:val="18"/>
                <w:szCs w:val="18"/>
              </w:rPr>
            </w:pPr>
            <w:r>
              <w:rPr>
                <w:rFonts w:hint="eastAsia" w:ascii="仿宋_GB2312" w:eastAsia="仿宋_GB2312"/>
                <w:b/>
                <w:bCs/>
                <w:sz w:val="18"/>
                <w:szCs w:val="18"/>
              </w:rPr>
              <w:t>110.14</w:t>
            </w:r>
          </w:p>
        </w:tc>
        <w:tc>
          <w:tcPr>
            <w:tcW w:w="1134" w:type="dxa"/>
            <w:vAlign w:val="center"/>
          </w:tcPr>
          <w:p>
            <w:pPr>
              <w:jc w:val="center"/>
              <w:rPr>
                <w:rFonts w:ascii="仿宋_GB2312" w:eastAsia="仿宋_GB2312"/>
                <w:b/>
                <w:bCs/>
                <w:sz w:val="18"/>
                <w:szCs w:val="18"/>
              </w:rPr>
            </w:pPr>
          </w:p>
        </w:tc>
        <w:tc>
          <w:tcPr>
            <w:tcW w:w="709" w:type="dxa"/>
            <w:vAlign w:val="center"/>
          </w:tcPr>
          <w:p>
            <w:pPr>
              <w:jc w:val="center"/>
              <w:rPr>
                <w:rFonts w:ascii="仿宋_GB2312" w:eastAsia="仿宋_GB2312"/>
                <w:b/>
                <w:bCs/>
                <w:sz w:val="18"/>
                <w:szCs w:val="18"/>
              </w:rPr>
            </w:pPr>
          </w:p>
        </w:tc>
        <w:tc>
          <w:tcPr>
            <w:tcW w:w="708" w:type="dxa"/>
            <w:vAlign w:val="center"/>
          </w:tcPr>
          <w:p>
            <w:pPr>
              <w:jc w:val="center"/>
              <w:rPr>
                <w:rFonts w:ascii="仿宋_GB2312" w:eastAsia="仿宋_GB2312"/>
                <w:b/>
                <w:bCs/>
                <w:sz w:val="18"/>
                <w:szCs w:val="18"/>
              </w:rPr>
            </w:pPr>
          </w:p>
        </w:tc>
        <w:tc>
          <w:tcPr>
            <w:tcW w:w="993" w:type="dxa"/>
            <w:vAlign w:val="center"/>
          </w:tcPr>
          <w:p>
            <w:pPr>
              <w:jc w:val="center"/>
              <w:rPr>
                <w:rFonts w:ascii="仿宋_GB2312" w:eastAsia="仿宋_GB2312"/>
                <w:b/>
                <w:bCs/>
                <w:sz w:val="18"/>
                <w:szCs w:val="18"/>
              </w:rPr>
            </w:pPr>
          </w:p>
        </w:tc>
      </w:tr>
    </w:tbl>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spacing w:line="600" w:lineRule="exact"/>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第三部分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部门预算情况说明</w:t>
      </w:r>
    </w:p>
    <w:p>
      <w:pPr>
        <w:spacing w:line="560" w:lineRule="exact"/>
        <w:jc w:val="center"/>
        <w:rPr>
          <w:rFonts w:hint="eastAsia" w:ascii="黑体" w:hAnsi="黑体" w:eastAsia="黑体"/>
          <w:kern w:val="0"/>
          <w:sz w:val="32"/>
          <w:szCs w:val="32"/>
        </w:rPr>
      </w:pP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一、关于新疆维吾尔自治区喀什地区麦盖提县应急管理局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按照全口径预算的原则，新疆维吾尔自治区喀什地区麦盖提县应急管理局</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年所有收入和支出均纳入部门预算管理。收支总预算548.66万元。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收入预算包括：一般公共预算、财政拨款结转结余。</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支出预算包括：社会保障和就业支出、卫生健康支出、住房保障支出、灾害防治及应急管理支出。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二、关于新疆维吾尔自治区喀什地区麦盖提县应急管理局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年收入预算情况说明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新疆维吾尔自治区喀什地区麦盖提县应急管理局收入预算548.66万元，其中：</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一般公共预算438.52万元，占79.93%,比上年预算增加44.63万元，增长11.33%，主要原因是：本年度在职人员增加，在职人员职务职级晋升，工资调整等相关政策发生变化等，导致预算数相应增加。</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MS Gothic" w:eastAsia="仿宋_GB2312" w:cs="MS Gothic"/>
          <w:kern w:val="0"/>
          <w:sz w:val="32"/>
          <w:szCs w:val="32"/>
          <w:cs/>
        </w:rPr>
        <w:t>‎</w:t>
      </w:r>
      <w:r>
        <w:rPr>
          <w:rFonts w:hint="eastAsia" w:ascii="仿宋_GB2312" w:hAnsi="宋体" w:eastAsia="仿宋_GB2312" w:cs="宋体"/>
          <w:kern w:val="0"/>
          <w:sz w:val="32"/>
          <w:szCs w:val="32"/>
        </w:rPr>
        <w:t>财政拨款结转110.14万元，占20.07%,比上年预算增加15.5万元，增长16.38%，主要原因是：上年度自然灾害补助资金项目支出进度缓慢，结转资金相应增加。</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三、关于新疆维吾尔自治区喀什地区麦盖提县应急管理局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年支出预算情况说明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新疆维吾尔自治区喀什地区麦盖提县应急管理局</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年支出预算</w:t>
      </w:r>
      <w:r>
        <w:rPr>
          <w:rFonts w:ascii="仿宋_GB2312" w:hAnsi="宋体" w:eastAsia="仿宋_GB2312" w:cs="宋体"/>
          <w:kern w:val="0"/>
          <w:sz w:val="32"/>
          <w:szCs w:val="32"/>
        </w:rPr>
        <w:t>548.66</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338.52</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61.7</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44.64</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15.19</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本年度在职人员增加，在职人员职务职级晋升，工资调整等相关政策发生变化等，导致预算数相应增加。</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210.14</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38.3</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15.49</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7.96</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上年度自然灾害补助资金项目支出进度缓慢，结转项目资金增加，预算数增加。</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四、关于新疆维吾尔自治区喀什地区麦盖提县应急管理局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年财政拨款收支总预算438.52万元。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收入全部为一般公共预算拨款，无政府性基金预算拨款和国有资本经营预算。</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收入预算包括：一般公共预算拨款438.52万元。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社会保障和就业支出38.57万元，主要用于：退休人员退休费、在职人员的养老保险缴费支出、失业保险、工伤保险；卫生健康支出16.27万元，主要用于：保障在职人员的医疗保险、公务员医疗、大额医疗；住房保障支出28.45万元，主要用于：缴纳在职人员住房公积金；灾害防治及应急管理支出355.23万元，主要用于：人员工资福利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五、关于新疆维吾尔自治区喀什地区麦盖提县应急管理局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年一般公共预算当年拨款情况说明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新疆维吾尔自治区喀什地区麦盖提县应急管理局</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年一般公共预算拨款合计</w:t>
      </w:r>
      <w:r>
        <w:rPr>
          <w:rFonts w:ascii="仿宋_GB2312" w:hAnsi="宋体" w:eastAsia="仿宋_GB2312" w:cs="宋体"/>
          <w:kern w:val="0"/>
          <w:sz w:val="32"/>
          <w:szCs w:val="32"/>
        </w:rPr>
        <w:t>438.52</w:t>
      </w:r>
      <w:r>
        <w:rPr>
          <w:rFonts w:hint="eastAsia" w:ascii="仿宋_GB2312" w:hAnsi="宋体" w:eastAsia="仿宋_GB2312" w:cs="宋体"/>
          <w:kern w:val="0"/>
          <w:sz w:val="32"/>
          <w:szCs w:val="32"/>
        </w:rPr>
        <w:t>万元，其中：</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338.52</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44.64</w:t>
      </w:r>
      <w:r>
        <w:rPr>
          <w:rFonts w:hint="eastAsia" w:ascii="仿宋_GB2312" w:hAnsi="宋体" w:eastAsia="仿宋_GB2312" w:cs="宋体"/>
          <w:kern w:val="0"/>
          <w:sz w:val="32"/>
          <w:szCs w:val="32"/>
        </w:rPr>
        <w:t>万元，</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r>
        <w:rPr>
          <w:rFonts w:ascii="仿宋_GB2312" w:hAnsi="宋体" w:eastAsia="仿宋_GB2312" w:cs="宋体"/>
          <w:kern w:val="0"/>
          <w:sz w:val="32"/>
          <w:szCs w:val="32"/>
        </w:rPr>
        <w:t>15.19</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 xml:space="preserve"> %。主要原因是：</w:t>
      </w:r>
      <w:r>
        <w:rPr>
          <w:rFonts w:ascii="仿宋_GB2312" w:hAnsi="宋体" w:eastAsia="仿宋_GB2312" w:cs="宋体"/>
          <w:kern w:val="0"/>
          <w:sz w:val="32"/>
          <w:szCs w:val="32"/>
        </w:rPr>
        <w:t>本年度在职人员增加，在职人员职务职级晋升，工资调整等相关政策发生变化等，导致预算数相应增加。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100</w:t>
      </w:r>
      <w:r>
        <w:rPr>
          <w:rFonts w:hint="eastAsia" w:ascii="仿宋_GB2312" w:hAnsi="宋体" w:eastAsia="仿宋_GB2312" w:cs="宋体"/>
          <w:kern w:val="0"/>
          <w:sz w:val="32"/>
          <w:szCs w:val="32"/>
        </w:rPr>
        <w:t>万元，比上年预算减少</w:t>
      </w:r>
      <w:r>
        <w:rPr>
          <w:rFonts w:ascii="仿宋_GB2312" w:hAnsi="宋体" w:eastAsia="仿宋_GB2312" w:cs="宋体"/>
          <w:kern w:val="0"/>
          <w:sz w:val="32"/>
          <w:szCs w:val="32"/>
        </w:rPr>
        <w:t>0.01</w:t>
      </w:r>
      <w:r>
        <w:rPr>
          <w:rFonts w:hint="eastAsia" w:ascii="仿宋_GB2312" w:hAnsi="宋体" w:eastAsia="仿宋_GB2312" w:cs="宋体"/>
          <w:kern w:val="0"/>
          <w:sz w:val="32"/>
          <w:szCs w:val="32"/>
        </w:rPr>
        <w:t>万元，</w:t>
      </w:r>
      <w:bookmarkStart w:id="3" w:name="_Hlk157511263"/>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下降</w:t>
      </w:r>
      <w:bookmarkEnd w:id="3"/>
      <w:r>
        <w:rPr>
          <w:rFonts w:ascii="仿宋_GB2312" w:hAnsi="宋体" w:eastAsia="仿宋_GB2312" w:cs="宋体"/>
          <w:kern w:val="0"/>
          <w:sz w:val="32"/>
          <w:szCs w:val="32"/>
        </w:rPr>
        <w:t>0.01</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根据实际工作情况减少预算。</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w:t>
      </w:r>
      <w:r>
        <w:rPr>
          <w:rFonts w:ascii="仿宋_GB2312" w:hAnsi="宋体" w:eastAsia="仿宋_GB2312" w:cs="宋体"/>
          <w:kern w:val="0"/>
          <w:sz w:val="32"/>
          <w:szCs w:val="32"/>
        </w:rPr>
        <w:t>.社会保障和就业支出（类）38.57万元，占8.80%</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w:t>
      </w:r>
      <w:r>
        <w:rPr>
          <w:rFonts w:ascii="仿宋_GB2312" w:hAnsi="宋体" w:eastAsia="仿宋_GB2312" w:cs="宋体"/>
          <w:kern w:val="0"/>
          <w:sz w:val="32"/>
          <w:szCs w:val="32"/>
        </w:rPr>
        <w:t>.卫生健康支出（类）16.27万元，占3.71%</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w:t>
      </w:r>
      <w:r>
        <w:rPr>
          <w:rFonts w:ascii="仿宋_GB2312" w:hAnsi="宋体" w:eastAsia="仿宋_GB2312" w:cs="宋体"/>
          <w:kern w:val="0"/>
          <w:sz w:val="32"/>
          <w:szCs w:val="32"/>
        </w:rPr>
        <w:t>.住房保障支出（类）28.45万元，占6.49%</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w:t>
      </w:r>
      <w:r>
        <w:rPr>
          <w:rFonts w:ascii="仿宋_GB2312" w:hAnsi="宋体" w:eastAsia="仿宋_GB2312" w:cs="宋体"/>
          <w:kern w:val="0"/>
          <w:sz w:val="32"/>
          <w:szCs w:val="32"/>
        </w:rPr>
        <w:t>.灾害防治及应急管理支出（类）355.23万元，占81.01%</w:t>
      </w:r>
      <w:r>
        <w:rPr>
          <w:rFonts w:hint="eastAsia" w:ascii="仿宋_GB2312" w:hAnsi="宋体" w:eastAsia="仿宋_GB2312" w:cs="宋体"/>
          <w:kern w:val="0"/>
          <w:sz w:val="32"/>
          <w:szCs w:val="32"/>
        </w:rPr>
        <w:t>。</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1.社会保障和就业支出（类）行政事业单位养老支出（款）行政单位离退休（项）：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年预算数为5.00万元，比上年预算增加0.60万元，增长13.64%，主要原因是：本年预算增加退休人员奖励性绩效增资部分，预算数增加。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2.社会保障和就业支出（类）行政事业单位养老支出（款）机关事业单位基本养老保险缴费支出（项）：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年预算数为33.57万元，比上年预算增加4.90万元，增长17.09%，主要原因是：本年度在职人员增加，在职人员职务职级晋升，工资调整等相关政策发生变化等，机关事业单位基本养老保险缴费基数增长，预算数增加。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3.卫生健康支出（类）行政事业单位医疗（款）行政单位医疗（项）：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年预算数为14.48万元，比上年预算增加2.30万元，增长18.88%，主要原因是：本年度在职人员增加，在职人员职务职级晋升，工资调整等相关政策发生变化等，行政单位医疗缴费基数增长，预算数增加。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4.卫生健康支出（类）行政事业单位医疗（款）公务员医疗补助（项）：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年预算数为1.79万元，比上年预算增加0.15万元，增长9.15%，主要原因是：本年度在职人员增加，在职人员职务职级晋升，工资调整等相关政策发生变化等，公务员医疗补助缴费基数增长，预算数增加。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5.住房保障支出（类）住房改革支出（款）住房公积金（项）：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年预算数为28.45万元，比上年预算增加4.93万元，增长20.96%，主要原因是：本年度在职人员增加，在职人员职务职级晋升，工资调整等相关政策发生变化等，住房公积金缴费基数增长，预算数增加。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6.灾害防治及应急管理支出（类）应急管理事务（款）行政运行（项）：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年预算数为255.23万元，比上年预算增加31.76万元，增长14.21%，主要原因是：本年度在职人员增加，在职人员职务职级晋升，工资调整等相关政策发生变化等，导致预算数相应增加。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7.灾害防治及应急管理支出（类）应急管理事务（款）安全监管（项）：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年预算数为100.00万元，比上年预算减少0.01万元，</w:t>
      </w:r>
      <w:bookmarkStart w:id="4" w:name="_Hlk157617573"/>
      <w:r>
        <w:rPr>
          <w:rFonts w:hint="eastAsia" w:ascii="仿宋_GB2312" w:hAnsi="宋体" w:eastAsia="仿宋_GB2312" w:cs="宋体"/>
          <w:kern w:val="0"/>
          <w:sz w:val="32"/>
          <w:szCs w:val="32"/>
        </w:rPr>
        <w:t>下降</w:t>
      </w:r>
      <w:bookmarkEnd w:id="4"/>
      <w:r>
        <w:rPr>
          <w:rFonts w:hint="eastAsia" w:ascii="仿宋_GB2312" w:hAnsi="宋体" w:eastAsia="仿宋_GB2312" w:cs="宋体"/>
          <w:kern w:val="0"/>
          <w:sz w:val="32"/>
          <w:szCs w:val="32"/>
        </w:rPr>
        <w:t>0.01%，主要原因是：根据实际工作情况减少预算。</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六、关于新疆维吾尔自治区喀什地区麦盖提县应急管理局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年一般公共预算基本支出情况说明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新疆维吾尔自治区喀什地区麦盖提县应急管理局</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年一般公共预算基本支出</w:t>
      </w:r>
      <w:r>
        <w:rPr>
          <w:rFonts w:ascii="仿宋_GB2312" w:hAnsi="宋体" w:eastAsia="仿宋_GB2312" w:cs="宋体"/>
          <w:kern w:val="0"/>
          <w:sz w:val="32"/>
          <w:szCs w:val="32"/>
        </w:rPr>
        <w:t>338.52</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人员经费325.67万元，主要包括：基本工资、津贴补贴、奖金、绩效工资、机关事业单位基本养老保险缴费、职工基本医疗保险缴费、公务员医疗补助缴费、其他社会保障缴费、住房公积金、退休费。</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公用经费12.85万元，主要包括：办公费、水费、电费、邮电费、取暖费、差旅费、公务接待费、公务用车运行维护费、其他商品和服务支出。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七、关于新疆维吾尔自治区喀什地区麦盖提县应急管理局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年一般公共预算项目支出情况说明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（1）项目名称：安全生产工作经费</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设立的政策依据：麦财预〔</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〕1号《麦盖提县财政局关于批复</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预算安排规模：100.00万元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项目承担单位：新疆维吾尔自治区喀什地区麦盖提县应急管理局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资金分配情况：支付日常工作产生的各类办公费74.94万元，发放安全生产先进单位奖励金和安全生产举报奖励资金25.06万元。共计100万元。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八、关于新疆维吾尔自治区喀什地区麦盖提县应急管理局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年政府性基金预算拨款情况说明</w:t>
      </w:r>
    </w:p>
    <w:p>
      <w:pPr>
        <w:spacing w:line="560" w:lineRule="exact"/>
        <w:ind w:firstLine="640" w:firstLineChars="200"/>
        <w:rPr>
          <w:rFonts w:hint="eastAsia" w:ascii="仿宋_GB2312" w:hAnsi="宋体" w:eastAsia="仿宋_GB2312" w:cs="宋体"/>
          <w:kern w:val="0"/>
          <w:sz w:val="32"/>
          <w:szCs w:val="32"/>
        </w:rPr>
      </w:pPr>
      <w:bookmarkStart w:id="5" w:name="_Hlk160636468"/>
      <w:r>
        <w:rPr>
          <w:rFonts w:hint="eastAsia" w:ascii="仿宋_GB2312" w:hAnsi="宋体" w:eastAsia="仿宋_GB2312" w:cs="宋体"/>
          <w:kern w:val="0"/>
          <w:sz w:val="32"/>
          <w:szCs w:val="32"/>
        </w:rPr>
        <w:t>新疆维吾尔自治区喀什地区</w:t>
      </w:r>
      <w:bookmarkEnd w:id="5"/>
      <w:r>
        <w:rPr>
          <w:rFonts w:hint="eastAsia" w:ascii="仿宋_GB2312" w:hAnsi="宋体" w:eastAsia="仿宋_GB2312" w:cs="宋体"/>
          <w:kern w:val="0"/>
          <w:sz w:val="32"/>
          <w:szCs w:val="32"/>
        </w:rPr>
        <w:t>麦盖提县应急管理局</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年没有使用政府性基金预算拨款安排的支出，政府性基金预算支出情况表为空表。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九、关于新疆维吾尔自治区喀什地区麦盖提县应急管理局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年国有资本预算拨款情况说明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新疆维吾尔自治区喀什地区麦盖提县应急管理局</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年没有使用国有资本经营预算拨款安排的支出，国有资本经营预算支出情况表为空表。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十、关于新疆维吾尔自治区喀什地区麦盖提县应急管理局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年财政拨款“三公”经费预算情况说明</w:t>
      </w:r>
    </w:p>
    <w:p>
      <w:pPr>
        <w:spacing w:line="560" w:lineRule="exact"/>
        <w:ind w:firstLine="560" w:firstLineChars="200"/>
        <w:rPr>
          <w:rFonts w:hint="eastAsia" w:ascii="仿宋_GB2312" w:hAnsi="宋体" w:eastAsia="仿宋_GB2312" w:cs="宋体"/>
          <w:kern w:val="0"/>
          <w:sz w:val="32"/>
          <w:szCs w:val="32"/>
        </w:rPr>
      </w:pPr>
      <w:r>
        <w:rPr>
          <w:rFonts w:hint="eastAsia" w:ascii="MS Gothic" w:hAnsi="MS Gothic" w:eastAsia="MS Gothic" w:cs="MS Gothic"/>
          <w:kern w:val="0"/>
          <w:sz w:val="28"/>
          <w:szCs w:val="28"/>
          <w:cs/>
        </w:rPr>
        <w:t>‎</w:t>
      </w:r>
      <w:r>
        <w:rPr>
          <w:rFonts w:ascii="MS Gothic" w:hAnsi="MS Gothic" w:eastAsia="MS Gothic" w:cs="MS Gothic"/>
          <w:kern w:val="0"/>
          <w:sz w:val="28"/>
          <w:szCs w:val="28"/>
          <w:cs/>
        </w:rPr>
        <w:t>‎</w:t>
      </w:r>
      <w:r>
        <w:rPr>
          <w:rFonts w:hint="eastAsia" w:ascii="仿宋_GB2312" w:hAnsi="宋体" w:eastAsia="仿宋_GB2312" w:cs="宋体"/>
          <w:kern w:val="0"/>
          <w:sz w:val="32"/>
          <w:szCs w:val="32"/>
        </w:rPr>
        <w:t>新疆维吾尔自治区喀什地区麦盖提县应急管理局</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年财政拨款“三公”经费数为4.33万元，其中：因公出国（境）费0万元，公务用车购置费0万元，公务用车运行费3.33万元，公务接待费1万元。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年财政拨款“三公”经费比上年预算减少1万元，下降18.76%，其中：因公出国（境）费增加0万元，增长0%，主要原因是：我部门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年均未安排因公出国（境）费；公务用车购置费增加0万元，增长0%，主要原因是：我部门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购置费；公务用车运行费减少2万元，下降37.52%，主要原因是：厉行节约，公务用车运行维护费减少；公务接待费增加1万元，增长100%，主要原因是：安全工作需要，检查较多，公务接待费增加。</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十一、关于新疆维吾尔自治区喀什地区麦盖提县应急管理局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新疆维吾尔自治区喀什地区</w:t>
      </w:r>
      <w:r>
        <w:rPr>
          <w:rFonts w:ascii="仿宋_GB2312" w:hAnsi="仿宋_GB2312" w:eastAsia="仿宋_GB2312" w:cs="仿宋_GB2312"/>
          <w:kern w:val="0"/>
          <w:sz w:val="32"/>
          <w:szCs w:val="32"/>
        </w:rPr>
        <w:t>麦盖提县应急管理局</w:t>
      </w:r>
      <w:r>
        <w:rPr>
          <w:rFonts w:hint="eastAsia" w:ascii="仿宋_GB2312" w:hAnsi="仿宋_GB2312" w:eastAsia="仿宋_GB2312" w:cs="仿宋_GB2312"/>
          <w:kern w:val="0"/>
          <w:sz w:val="32"/>
          <w:szCs w:val="32"/>
          <w:lang w:eastAsia="zh-CN"/>
        </w:rPr>
        <w:t>2026</w:t>
      </w: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年上年结转结余110.14万元，包括：财政拨款110.14万元，非财政拨款0万元，其中：</w:t>
      </w:r>
      <w:r>
        <w:rPr>
          <w:rFonts w:hint="eastAsia" w:ascii="MS Gothic" w:hAnsi="MS Gothic" w:eastAsia="MS Gothic" w:cs="MS Gothic"/>
          <w:kern w:val="0"/>
          <w:sz w:val="32"/>
          <w:szCs w:val="32"/>
          <w:cs/>
        </w:rPr>
        <w:t>‎</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1.中央自然灾害救灾资金[森林草原航空消防补助资金]110.14</w:t>
      </w:r>
      <w:r>
        <w:rPr>
          <w:rFonts w:hint="eastAsia" w:ascii="仿宋_GB2312" w:hAnsi="仿宋_GB2312" w:eastAsia="仿宋_GB2312" w:cs="仿宋_GB2312"/>
          <w:kern w:val="0"/>
          <w:sz w:val="32"/>
          <w:szCs w:val="32"/>
        </w:rPr>
        <w:t>万元，主要用于：自然灾害受灾群众困难生活补助。</w:t>
      </w:r>
      <w:r>
        <w:rPr>
          <w:rFonts w:hint="eastAsia" w:ascii="MS Gothic" w:hAnsi="MS Gothic" w:eastAsia="MS Gothic" w:cs="MS Gothic"/>
          <w:kern w:val="0"/>
          <w:sz w:val="32"/>
          <w:szCs w:val="32"/>
          <w:cs/>
        </w:rPr>
        <w:t xml:space="preserve"> ‎</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新疆维吾尔自治区喀什地区麦盖提县应急管理局</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年的机关运行经费财政拨款预算12.85万元，比上年预算增加3.45万元，增长36.7%。主要原因是：本年预算人员增加，公用经费增加，同时增加党员活动经费，机关运行经费增加。</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年，新疆维吾尔自治区喀什地区麦盖提县应急管理局政府采购预算61.56万元，其中：政府采购货物预算44.07万元，政府采购工程预算0.00万元，政府采购服务预算17.49万元。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年，新疆维吾尔自治区喀什地区麦盖提县应急管理局面向中小企业预留政府采购项目预算金额61.56万元，小微企业预留政府采购项目预算金额61.56万元。</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截至</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年底，新疆维吾尔自治区喀什地区麦盖提县应急管理局及下属各预算单位占用使用国有资产总体情况为：</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1.房屋0.00平方米，价值0.00万元。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2.车辆1辆，价值21.40万元；其中：一般公务用车0辆，价值0.00万元；执法执勤用车1辆，价值21.40万元；其他车辆0辆，价值0.00万元。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3.办公家具价值14.30万元。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4.其他资产价值28.05万元。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部门价值50万元以上大型设备0台，部门价值100万元以上大型设备0台。</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年部门预算未安排购置车辆经费，安排购置50万元以上大型设备0台，单位价值100万元以上大型设备0台。</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pPr>
        <w:widowControl/>
        <w:shd w:val="clear" w:color="auto" w:fill="FFFFFF"/>
        <w:spacing w:line="285" w:lineRule="atLeast"/>
        <w:ind w:firstLine="640" w:firstLineChars="200"/>
        <w:jc w:val="left"/>
        <w:rPr>
          <w:rFonts w:hint="eastAsia" w:ascii="MS Gothic" w:hAnsi="MS Gothic" w:eastAsia="MS Gothic" w:cs="MS Gothic"/>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年，本部门预算绩效管理整体预算绩效目标1个，涉及预算金额548.66万元；当年预算安排项目共1个，其中：财政拨款项目涉及预算金额100万元；非财政拨款项目涉及预算金额0万元。具体情况见下表：</w:t>
      </w:r>
      <w:r>
        <w:rPr>
          <w:rFonts w:hint="eastAsia" w:ascii="MS Gothic" w:hAnsi="MS Gothic" w:eastAsia="MS Gothic" w:cs="MS Gothic"/>
          <w:kern w:val="0"/>
          <w:sz w:val="32"/>
          <w:szCs w:val="32"/>
          <w:cs/>
        </w:rPr>
        <w:t>‎</w:t>
      </w:r>
      <w:r>
        <w:rPr>
          <w:rFonts w:ascii="MS Gothic" w:hAnsi="MS Gothic" w:eastAsia="MS Gothic" w:cs="MS Gothic"/>
          <w:kern w:val="0"/>
          <w:sz w:val="28"/>
          <w:szCs w:val="28"/>
        </w:rPr>
        <w:br w:type="page"/>
      </w:r>
    </w:p>
    <w:p>
      <w:pPr>
        <w:widowControl/>
        <w:jc w:val="center"/>
        <w:outlineLvl w:val="4"/>
        <w:rPr>
          <w:rFonts w:hint="eastAsia" w:ascii="仿宋_GB2312" w:hAnsi="宋体" w:eastAsia="仿宋_GB2312" w:cs="仿宋_GB2312"/>
          <w:b/>
          <w:color w:val="000000"/>
          <w:kern w:val="0"/>
          <w:sz w:val="32"/>
          <w:szCs w:val="32"/>
          <w:lang w:bidi="ar"/>
        </w:rPr>
      </w:pPr>
      <w:r>
        <w:rPr>
          <w:rFonts w:hint="eastAsia" w:ascii="仿宋_GB2312" w:hAnsi="宋体" w:eastAsia="仿宋_GB2312" w:cs="仿宋_GB2312"/>
          <w:b/>
          <w:color w:val="000000"/>
          <w:kern w:val="0"/>
          <w:sz w:val="32"/>
          <w:szCs w:val="32"/>
          <w:lang w:bidi="ar"/>
        </w:rPr>
        <w:t>部门整体绩效目标表</w:t>
      </w:r>
    </w:p>
    <w:tbl>
      <w:tblPr>
        <w:tblStyle w:val="12"/>
        <w:tblW w:w="10065" w:type="dxa"/>
        <w:jc w:val="center"/>
        <w:tblInd w:w="0" w:type="dxa"/>
        <w:tblLayout w:type="fixed"/>
        <w:tblCellMar>
          <w:top w:w="0" w:type="dxa"/>
          <w:left w:w="108" w:type="dxa"/>
          <w:bottom w:w="0" w:type="dxa"/>
          <w:right w:w="108" w:type="dxa"/>
        </w:tblCellMar>
      </w:tblPr>
      <w:tblGrid>
        <w:gridCol w:w="1276"/>
        <w:gridCol w:w="1276"/>
        <w:gridCol w:w="2977"/>
        <w:gridCol w:w="1417"/>
        <w:gridCol w:w="1701"/>
        <w:gridCol w:w="1418"/>
      </w:tblGrid>
      <w:tr>
        <w:tblPrEx>
          <w:tblLayout w:type="fixed"/>
          <w:tblCellMar>
            <w:top w:w="0" w:type="dxa"/>
            <w:left w:w="108" w:type="dxa"/>
            <w:bottom w:w="0" w:type="dxa"/>
            <w:right w:w="108" w:type="dxa"/>
          </w:tblCellMar>
        </w:tblPrEx>
        <w:trPr>
          <w:trHeight w:val="516" w:hRule="atLeast"/>
          <w:jc w:val="center"/>
        </w:trPr>
        <w:tc>
          <w:tcPr>
            <w:tcW w:w="10065" w:type="dxa"/>
            <w:gridSpan w:val="6"/>
            <w:tcBorders>
              <w:top w:val="nil"/>
              <w:left w:val="nil"/>
              <w:bottom w:val="nil"/>
              <w:right w:val="nil"/>
            </w:tcBorders>
            <w:vAlign w:val="center"/>
          </w:tcPr>
          <w:p>
            <w:pPr>
              <w:widowControl/>
              <w:jc w:val="center"/>
              <w:textAlignment w:val="center"/>
              <w:rPr>
                <w:rFonts w:hint="eastAsia" w:cs="仿宋_GB2312" w:asciiTheme="majorEastAsia" w:hAnsiTheme="majorEastAsia" w:eastAsiaTheme="majorEastAsia"/>
                <w:b/>
                <w:color w:val="000000"/>
                <w:kern w:val="0"/>
                <w:sz w:val="24"/>
                <w:lang w:bidi="ar"/>
              </w:rPr>
            </w:pPr>
            <w:r>
              <w:rPr>
                <w:rFonts w:hint="eastAsia" w:cs="仿宋_GB2312" w:asciiTheme="majorEastAsia" w:hAnsiTheme="majorEastAsia" w:eastAsiaTheme="majorEastAsia"/>
                <w:b/>
                <w:color w:val="000000"/>
                <w:kern w:val="0"/>
                <w:sz w:val="24"/>
                <w:lang w:bidi="ar"/>
              </w:rPr>
              <w:t>（</w:t>
            </w:r>
            <w:r>
              <w:rPr>
                <w:rFonts w:hint="eastAsia" w:cs="仿宋_GB2312" w:asciiTheme="majorEastAsia" w:hAnsiTheme="majorEastAsia" w:eastAsiaTheme="majorEastAsia"/>
                <w:b/>
                <w:color w:val="000000"/>
                <w:kern w:val="0"/>
                <w:sz w:val="24"/>
                <w:lang w:eastAsia="zh-CN" w:bidi="ar"/>
              </w:rPr>
              <w:t>2026</w:t>
            </w:r>
            <w:r>
              <w:rPr>
                <w:rFonts w:hint="eastAsia" w:cs="仿宋_GB2312" w:asciiTheme="majorEastAsia" w:hAnsiTheme="majorEastAsia" w:eastAsiaTheme="majorEastAsia"/>
                <w:b/>
                <w:color w:val="000000"/>
                <w:kern w:val="0"/>
                <w:sz w:val="24"/>
                <w:lang w:bidi="ar"/>
              </w:rPr>
              <w:t>年）</w:t>
            </w:r>
          </w:p>
        </w:tc>
      </w:tr>
      <w:tr>
        <w:tblPrEx>
          <w:tblLayout w:type="fixed"/>
          <w:tblCellMar>
            <w:top w:w="0" w:type="dxa"/>
            <w:left w:w="108" w:type="dxa"/>
            <w:bottom w:w="0" w:type="dxa"/>
            <w:right w:w="108" w:type="dxa"/>
          </w:tblCellMar>
        </w:tblPrEx>
        <w:trPr>
          <w:trHeight w:val="719"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部门名称（盖章）</w:t>
            </w:r>
          </w:p>
        </w:tc>
        <w:tc>
          <w:tcPr>
            <w:tcW w:w="7513" w:type="dxa"/>
            <w:gridSpan w:val="4"/>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hint="eastAsia" w:cs="宋体" w:asciiTheme="majorEastAsia" w:hAnsiTheme="majorEastAsia" w:eastAsiaTheme="majorEastAsia"/>
                <w:color w:val="000000"/>
                <w:sz w:val="20"/>
                <w:szCs w:val="20"/>
              </w:rPr>
              <w:t>新疆维吾尔自治区喀什地区</w:t>
            </w:r>
            <w:r>
              <w:rPr>
                <w:rFonts w:cs="宋体" w:asciiTheme="majorEastAsia" w:hAnsiTheme="majorEastAsia" w:eastAsiaTheme="majorEastAsia"/>
                <w:color w:val="000000"/>
                <w:sz w:val="20"/>
                <w:szCs w:val="20"/>
              </w:rPr>
              <w:t>麦盖提县应急管理局</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719"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部门联系人</w:t>
            </w:r>
          </w:p>
        </w:tc>
        <w:tc>
          <w:tcPr>
            <w:tcW w:w="4394"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韩小慧</w:t>
            </w:r>
            <w:r>
              <w:rPr>
                <w:rFonts w:hint="eastAsia" w:cs="MS Gothic" w:asciiTheme="majorEastAsia" w:hAnsiTheme="majorEastAsia" w:eastAsiaTheme="majorEastAsia"/>
                <w:color w:val="000000"/>
                <w:sz w:val="20"/>
                <w:szCs w:val="20"/>
                <w:cs/>
              </w:rPr>
              <w:t>‎</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联系电话：</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13139756686</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1344"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top"/>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年度绩效目标</w:t>
            </w:r>
          </w:p>
        </w:tc>
        <w:tc>
          <w:tcPr>
            <w:tcW w:w="7513"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1.深入学习习近平总书记关于安全生产重要论述纳入各级党委（党组）理论，加大《贯彻习近平总书记关于安全生产的重要论述、推进新时代安全生产高质量发展的意见，切实加强安全管理，持续抓严抓实安全生产专项整治和风险隐患排查治理，确保安全；2.要紧紧围绕危险化学品、烟花爆竹、商场超市、文化娱乐场所、人员密集场所、消防安全、道路交通、建筑施工、特种设备、有限空间等重点领域、重点行业、重点部位，认真开展隐患排查和专项治理，确保各类隐患排查到位、整改到位；3.强化会商研判、预警信息发布，不断提升灾害防御能力；4.强化火源管控，切实防范森林火灾事故；5.承办县委、政府交办的其他任务。</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676" w:hRule="atLeast"/>
          <w:jc w:val="center"/>
        </w:trPr>
        <w:tc>
          <w:tcPr>
            <w:tcW w:w="2552" w:type="dxa"/>
            <w:gridSpan w:val="2"/>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kern w:val="0"/>
                <w:sz w:val="20"/>
                <w:szCs w:val="20"/>
                <w:lang w:bidi="ar"/>
              </w:rPr>
            </w:pPr>
            <w:r>
              <w:rPr>
                <w:rFonts w:hint="eastAsia" w:cs="宋体" w:asciiTheme="majorEastAsia" w:hAnsiTheme="majorEastAsia" w:eastAsiaTheme="majorEastAsia"/>
                <w:b/>
                <w:bCs/>
                <w:color w:val="000000"/>
                <w:kern w:val="0"/>
                <w:sz w:val="20"/>
                <w:szCs w:val="20"/>
                <w:lang w:bidi="ar"/>
              </w:rPr>
              <w:t>年度预算</w:t>
            </w:r>
          </w:p>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（万元）</w:t>
            </w:r>
          </w:p>
        </w:tc>
        <w:tc>
          <w:tcPr>
            <w:tcW w:w="4394"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资金来源</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资金总额（万元）</w:t>
            </w:r>
          </w:p>
        </w:tc>
      </w:tr>
      <w:tr>
        <w:tblPrEx>
          <w:tblLayout w:type="fixed"/>
          <w:tblCellMar>
            <w:top w:w="0" w:type="dxa"/>
            <w:left w:w="108" w:type="dxa"/>
            <w:bottom w:w="0" w:type="dxa"/>
            <w:right w:w="108" w:type="dxa"/>
          </w:tblCellMar>
        </w:tblPrEx>
        <w:trPr>
          <w:trHeight w:val="684"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财政资金（万元）</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上级安排</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110.14</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689"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本级安排</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438.52</w:t>
            </w:r>
          </w:p>
        </w:tc>
      </w:tr>
      <w:tr>
        <w:tblPrEx>
          <w:tblLayout w:type="fixed"/>
          <w:tblCellMar>
            <w:top w:w="0" w:type="dxa"/>
            <w:left w:w="108" w:type="dxa"/>
            <w:bottom w:w="0" w:type="dxa"/>
            <w:right w:w="108" w:type="dxa"/>
          </w:tblCellMar>
        </w:tblPrEx>
        <w:trPr>
          <w:trHeight w:val="689"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其他资金（万元）</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其他</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0.00</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1064"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一级指标</w:t>
            </w:r>
          </w:p>
        </w:tc>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二级指标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三级指标</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指标值</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指标设定依据</w:t>
            </w:r>
          </w:p>
        </w:tc>
        <w:tc>
          <w:tcPr>
            <w:tcW w:w="141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分值权重</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规范生产检查重点企业数</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&gt;=15家</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15</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安全生产风险检查重点覆盖领域</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=3个</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15</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召开风险隐患分析研判会次数</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&gt;=4次</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15</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防灾减灾救灾监督检查领域</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&gt;=3个</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15</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质量指标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重大生产安全隐患挂牌督办率</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15</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质量指标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灾害风险隐患信息报送处置率</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15</w:t>
            </w:r>
          </w:p>
        </w:tc>
      </w:tr>
    </w:tbl>
    <w:p>
      <w:pPr>
        <w:spacing w:line="20" w:lineRule="exact"/>
        <w:jc w:val="center"/>
        <w:rPr>
          <w:rFonts w:hint="eastAsia" w:ascii="宋体" w:hAnsi="宋体" w:cs="宋体"/>
          <w:kern w:val="0"/>
          <w:sz w:val="2"/>
          <w:szCs w:val="2"/>
        </w:rPr>
      </w:pPr>
    </w:p>
    <w:p>
      <w:r>
        <w:br w:type="page"/>
      </w:r>
    </w:p>
    <w:p>
      <w:pPr>
        <w:spacing w:line="20" w:lineRule="exact"/>
        <w:jc w:val="center"/>
        <w:rPr>
          <w:rFonts w:hint="eastAsia" w:ascii="宋体" w:hAnsi="宋体" w:cs="宋体"/>
          <w:kern w:val="0"/>
          <w:sz w:val="2"/>
          <w:szCs w:val="2"/>
        </w:rP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麦盖提县应急管理局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安全生产工作经费</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买买提艾力·艾海提</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100.00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100.00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项目年度资金总额100万元，支付日常工作产生的各类办公费74.94万元，发放安全生产先进单位奖励金和安全生产举报奖励资金25.06万元，通过项目实施，保障单位正常运转，更好开展安全生产监督指导工作，提升规范安全生产及应急处置能力。</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购置办公用品数量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计划标准</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&gt;=10批次</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10批次</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各类系统及通信服务类服务平台数量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计划标准</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&gt;=8个</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8个</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宣传材料印发数量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计划标准</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&gt;=6批次</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6批次</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规范生产先进单位</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计划标准</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=10个</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5个</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开展安全生产标准化培训场次</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计划标准</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&gt;=5次</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5次</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采购办公用品验收合格率（%）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计划标准</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直接赋分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项目完成时间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计划标准</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cs="宋体" w:asciiTheme="majorEastAsia" w:hAnsiTheme="majorEastAsia" w:eastAsiaTheme="majorEastAsia"/>
                <w:color w:val="000000"/>
                <w:kern w:val="0"/>
                <w:sz w:val="20"/>
                <w:szCs w:val="20"/>
                <w:lang w:bidi="ar"/>
              </w:rPr>
              <w:t>年12月20日</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12/20/24</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成本指标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购置办公用品及设备成本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预算支出标准</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&lt;=48.44万元</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20.4万元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4</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支付各类系统和设备的通信成本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预算支出标准</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&lt;=10万元</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4</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安全生产业务培训成本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预算支出标准</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&lt;=14万元</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4</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出差成本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预算支出标准</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&lt;=2.50万元</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4</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发放标准化安全生产单位及奖励成本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预算支出标准</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&lt;=25.06万元</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4</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提升规范安全生产及应急处置能力</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计划标准</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有效提升</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有效提升</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30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（五）其他需说明的事项</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无本部门办公用房，借用生态环境局办公楼（第5层）办公。</w:t>
      </w:r>
    </w:p>
    <w:p>
      <w:pPr>
        <w:widowControl/>
        <w:jc w:val="left"/>
        <w:rPr>
          <w:rFonts w:hint="eastAsia" w:ascii="黑体" w:hAnsi="黑体" w:eastAsia="黑体"/>
          <w:b/>
          <w:kern w:val="0"/>
          <w:sz w:val="30"/>
          <w:szCs w:val="30"/>
        </w:rPr>
      </w:pPr>
      <w:r>
        <w:rPr>
          <w:rFonts w:ascii="黑体" w:hAnsi="黑体" w:eastAsia="黑体"/>
          <w:b/>
          <w:kern w:val="0"/>
          <w:sz w:val="30"/>
          <w:szCs w:val="30"/>
        </w:rPr>
        <w:br w:type="page"/>
      </w:r>
    </w:p>
    <w:p>
      <w:pPr>
        <w:widowControl/>
        <w:jc w:val="center"/>
        <w:outlineLvl w:val="1"/>
        <w:rPr>
          <w:rFonts w:hint="eastAsia" w:ascii="黑体" w:hAnsi="黑体" w:eastAsia="黑体"/>
          <w:b/>
          <w:kern w:val="0"/>
          <w:sz w:val="32"/>
          <w:szCs w:val="32"/>
        </w:rPr>
      </w:pPr>
      <w:r>
        <w:rPr>
          <w:rFonts w:hint="eastAsia" w:ascii="黑体" w:hAnsi="黑体" w:eastAsia="黑体"/>
          <w:b/>
          <w:kern w:val="0"/>
          <w:sz w:val="32"/>
          <w:szCs w:val="32"/>
        </w:rPr>
        <w:t>第四部分 名词解释</w:t>
      </w:r>
    </w:p>
    <w:p>
      <w:pPr>
        <w:spacing w:line="520" w:lineRule="exact"/>
        <w:ind w:firstLine="642"/>
        <w:rPr>
          <w:rFonts w:hint="eastAsia" w:ascii="仿宋_GB2312" w:hAnsi="宋体" w:eastAsia="仿宋_GB2312" w:cs="宋体"/>
          <w:b/>
          <w:kern w:val="0"/>
          <w:sz w:val="28"/>
          <w:szCs w:val="28"/>
        </w:rPr>
      </w:pP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一、财政拨款：</w:t>
      </w:r>
      <w:r>
        <w:rPr>
          <w:rFonts w:hint="eastAsia" w:ascii="仿宋_GB2312" w:eastAsia="仿宋_GB2312"/>
          <w:sz w:val="32"/>
          <w:szCs w:val="32"/>
        </w:rPr>
        <w:t>指由一般公共预算、政府性基金预算、国有资本经营预算安排的财政拨款数。</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二、一般公共预算：</w:t>
      </w:r>
      <w:r>
        <w:rPr>
          <w:rFonts w:hint="eastAsia" w:ascii="仿宋_GB2312" w:eastAsia="仿宋_GB2312"/>
          <w:spacing w:val="-6"/>
          <w:sz w:val="32"/>
          <w:szCs w:val="32"/>
        </w:rPr>
        <w:t>包括公共财政拨款（补助）资金、专项收入。</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三、财政专户管理资金：</w:t>
      </w:r>
      <w:r>
        <w:rPr>
          <w:rFonts w:hint="eastAsia" w:ascii="仿宋_GB2312" w:eastAsia="仿宋_GB2312"/>
          <w:sz w:val="32"/>
          <w:szCs w:val="32"/>
        </w:rPr>
        <w:t>包括专户管理行政事业性收费（主要是教育收费）、其他非税收入。</w:t>
      </w:r>
    </w:p>
    <w:p>
      <w:pPr>
        <w:spacing w:line="600" w:lineRule="exact"/>
        <w:ind w:firstLine="643" w:firstLineChars="200"/>
        <w:rPr>
          <w:rFonts w:ascii="仿宋_GB2312" w:eastAsia="仿宋_GB2312"/>
          <w:spacing w:val="-17"/>
          <w:sz w:val="32"/>
          <w:szCs w:val="32"/>
        </w:rPr>
      </w:pPr>
      <w:r>
        <w:rPr>
          <w:rFonts w:hint="eastAsia" w:ascii="楷体_GB2312" w:hAnsi="楷体_GB2312" w:eastAsia="楷体_GB2312" w:cs="楷体_GB2312"/>
          <w:b/>
          <w:bCs/>
          <w:sz w:val="32"/>
          <w:szCs w:val="32"/>
        </w:rPr>
        <w:t>四、其他资金：</w:t>
      </w:r>
      <w:r>
        <w:rPr>
          <w:rFonts w:hint="eastAsia" w:ascii="仿宋_GB2312" w:eastAsia="仿宋_GB2312"/>
          <w:spacing w:val="-17"/>
          <w:sz w:val="32"/>
          <w:szCs w:val="32"/>
        </w:rPr>
        <w:t>包括事业收入、事业经营收入、其他收入等。</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五、基本支出：</w:t>
      </w:r>
      <w:r>
        <w:rPr>
          <w:rFonts w:hint="eastAsia" w:ascii="仿宋_GB2312" w:eastAsia="仿宋_GB2312"/>
          <w:sz w:val="32"/>
          <w:szCs w:val="32"/>
        </w:rPr>
        <w:t>包括人员经费、公用经费（定额）。其中，人员经费包括工资福利支出、对个人和家庭的补助。</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pPr>
        <w:spacing w:line="600" w:lineRule="exact"/>
        <w:ind w:firstLine="643" w:firstLineChars="200"/>
        <w:rPr>
          <w:rFonts w:ascii="仿宋_GB2312" w:eastAsia="仿宋_GB2312"/>
          <w:spacing w:val="-11"/>
          <w:sz w:val="32"/>
          <w:szCs w:val="32"/>
        </w:rPr>
      </w:pPr>
      <w:r>
        <w:rPr>
          <w:rFonts w:hint="eastAsia" w:ascii="楷体_GB2312" w:hAnsi="楷体_GB2312" w:eastAsia="楷体_GB2312" w:cs="楷体_GB2312"/>
          <w:b/>
          <w:bCs/>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w:t>
      </w:r>
      <w:r>
        <w:rPr>
          <w:rFonts w:hint="eastAsia" w:ascii="仿宋_GB2312" w:eastAsia="仿宋_GB2312"/>
          <w:spacing w:val="-11"/>
          <w:sz w:val="32"/>
          <w:szCs w:val="32"/>
        </w:rPr>
        <w:t>取暖费、办公用房物业管理费、公务用车运行维护费及其他费用。</w:t>
      </w: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32"/>
          <w:szCs w:val="32"/>
        </w:rPr>
      </w:pPr>
      <w:bookmarkStart w:id="6" w:name="_GoBack"/>
      <w:bookmarkEnd w:id="6"/>
    </w:p>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MS Gothic">
    <w:panose1 w:val="020B0609070205080204"/>
    <w:charset w:val="80"/>
    <w:family w:val="modern"/>
    <w:pitch w:val="default"/>
    <w:sig w:usb0="E00002FF" w:usb1="6AC7FDFB" w:usb2="00000012" w:usb3="00000000" w:csb0="4002009F" w:csb1="DFD70000"/>
  </w:font>
  <w:font w:name="Courier New">
    <w:panose1 w:val="02070309020205020404"/>
    <w:charset w:val="00"/>
    <w:family w:val="modern"/>
    <w:pitch w:val="default"/>
    <w:sig w:usb0="E0002A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24</w:t>
    </w:r>
    <w:r>
      <w:rPr>
        <w:rFonts w:ascii="宋体" w:hAnsi="宋体" w:eastAsia="宋体"/>
        <w:sz w:val="28"/>
        <w:szCs w:val="28"/>
      </w:rPr>
      <w:fldChar w:fldCharType="end"/>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DDC7F8B"/>
    <w:rsid w:val="00000D96"/>
    <w:rsid w:val="000032F1"/>
    <w:rsid w:val="00003E2D"/>
    <w:rsid w:val="0000409F"/>
    <w:rsid w:val="00004B78"/>
    <w:rsid w:val="00006B41"/>
    <w:rsid w:val="00010579"/>
    <w:rsid w:val="00011008"/>
    <w:rsid w:val="00011952"/>
    <w:rsid w:val="000149FC"/>
    <w:rsid w:val="00014B3A"/>
    <w:rsid w:val="000165ED"/>
    <w:rsid w:val="00020F89"/>
    <w:rsid w:val="000262C6"/>
    <w:rsid w:val="00026946"/>
    <w:rsid w:val="00026AB8"/>
    <w:rsid w:val="000278CB"/>
    <w:rsid w:val="0003045D"/>
    <w:rsid w:val="00031CE8"/>
    <w:rsid w:val="00034886"/>
    <w:rsid w:val="00035656"/>
    <w:rsid w:val="00036FE9"/>
    <w:rsid w:val="00040429"/>
    <w:rsid w:val="000426BA"/>
    <w:rsid w:val="000432EF"/>
    <w:rsid w:val="000437D2"/>
    <w:rsid w:val="00043D37"/>
    <w:rsid w:val="0004573C"/>
    <w:rsid w:val="00045890"/>
    <w:rsid w:val="00046D5C"/>
    <w:rsid w:val="000479BB"/>
    <w:rsid w:val="00047B6E"/>
    <w:rsid w:val="00053008"/>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D71"/>
    <w:rsid w:val="0007440C"/>
    <w:rsid w:val="0008004F"/>
    <w:rsid w:val="0008375E"/>
    <w:rsid w:val="00083F77"/>
    <w:rsid w:val="00084B5C"/>
    <w:rsid w:val="00084C79"/>
    <w:rsid w:val="00086554"/>
    <w:rsid w:val="00086B79"/>
    <w:rsid w:val="0008753E"/>
    <w:rsid w:val="00087AEF"/>
    <w:rsid w:val="0009059F"/>
    <w:rsid w:val="00091D83"/>
    <w:rsid w:val="000924BE"/>
    <w:rsid w:val="00093394"/>
    <w:rsid w:val="00095A2B"/>
    <w:rsid w:val="00095CF3"/>
    <w:rsid w:val="00097827"/>
    <w:rsid w:val="00097A6D"/>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2171"/>
    <w:rsid w:val="000B2F96"/>
    <w:rsid w:val="000B6393"/>
    <w:rsid w:val="000B751C"/>
    <w:rsid w:val="000B75B8"/>
    <w:rsid w:val="000C04D7"/>
    <w:rsid w:val="000C16B4"/>
    <w:rsid w:val="000C3350"/>
    <w:rsid w:val="000C392F"/>
    <w:rsid w:val="000C45D4"/>
    <w:rsid w:val="000C6676"/>
    <w:rsid w:val="000C6E2C"/>
    <w:rsid w:val="000D0A48"/>
    <w:rsid w:val="000D13C6"/>
    <w:rsid w:val="000D1811"/>
    <w:rsid w:val="000D30E4"/>
    <w:rsid w:val="000D3246"/>
    <w:rsid w:val="000D6242"/>
    <w:rsid w:val="000D6F27"/>
    <w:rsid w:val="000E1736"/>
    <w:rsid w:val="000E1B17"/>
    <w:rsid w:val="000E420B"/>
    <w:rsid w:val="000E5C28"/>
    <w:rsid w:val="000E6934"/>
    <w:rsid w:val="000F0580"/>
    <w:rsid w:val="000F1DFC"/>
    <w:rsid w:val="000F3C0B"/>
    <w:rsid w:val="00100916"/>
    <w:rsid w:val="00100D32"/>
    <w:rsid w:val="00100F8C"/>
    <w:rsid w:val="0010254A"/>
    <w:rsid w:val="00104C91"/>
    <w:rsid w:val="00106142"/>
    <w:rsid w:val="001062B4"/>
    <w:rsid w:val="001125C9"/>
    <w:rsid w:val="00114905"/>
    <w:rsid w:val="00115FD4"/>
    <w:rsid w:val="001162BD"/>
    <w:rsid w:val="00116F92"/>
    <w:rsid w:val="001209A5"/>
    <w:rsid w:val="001213E4"/>
    <w:rsid w:val="001214FE"/>
    <w:rsid w:val="00121AEF"/>
    <w:rsid w:val="00123416"/>
    <w:rsid w:val="001243B9"/>
    <w:rsid w:val="00124BF6"/>
    <w:rsid w:val="001250C7"/>
    <w:rsid w:val="00125F4C"/>
    <w:rsid w:val="00127DEA"/>
    <w:rsid w:val="00127DFC"/>
    <w:rsid w:val="00132A27"/>
    <w:rsid w:val="00134B1E"/>
    <w:rsid w:val="00135A40"/>
    <w:rsid w:val="00137387"/>
    <w:rsid w:val="001375A3"/>
    <w:rsid w:val="001378B0"/>
    <w:rsid w:val="00140438"/>
    <w:rsid w:val="001412BD"/>
    <w:rsid w:val="00142684"/>
    <w:rsid w:val="001451CF"/>
    <w:rsid w:val="00147E70"/>
    <w:rsid w:val="00151D2E"/>
    <w:rsid w:val="00151FC5"/>
    <w:rsid w:val="00156D16"/>
    <w:rsid w:val="00156D1B"/>
    <w:rsid w:val="00157526"/>
    <w:rsid w:val="00161F31"/>
    <w:rsid w:val="001621AC"/>
    <w:rsid w:val="00163342"/>
    <w:rsid w:val="0017160C"/>
    <w:rsid w:val="00172BE6"/>
    <w:rsid w:val="001737B6"/>
    <w:rsid w:val="00174586"/>
    <w:rsid w:val="00180912"/>
    <w:rsid w:val="00180FD9"/>
    <w:rsid w:val="001816FA"/>
    <w:rsid w:val="001817F3"/>
    <w:rsid w:val="00181921"/>
    <w:rsid w:val="00182196"/>
    <w:rsid w:val="00183CA4"/>
    <w:rsid w:val="00183E36"/>
    <w:rsid w:val="00184FDC"/>
    <w:rsid w:val="00185038"/>
    <w:rsid w:val="00186B6A"/>
    <w:rsid w:val="00187C8B"/>
    <w:rsid w:val="001928AB"/>
    <w:rsid w:val="00194101"/>
    <w:rsid w:val="0019410C"/>
    <w:rsid w:val="00194488"/>
    <w:rsid w:val="00195985"/>
    <w:rsid w:val="001A1165"/>
    <w:rsid w:val="001A227F"/>
    <w:rsid w:val="001A3107"/>
    <w:rsid w:val="001A3875"/>
    <w:rsid w:val="001A4352"/>
    <w:rsid w:val="001A612D"/>
    <w:rsid w:val="001A6236"/>
    <w:rsid w:val="001A7864"/>
    <w:rsid w:val="001B31E1"/>
    <w:rsid w:val="001B3EFB"/>
    <w:rsid w:val="001B6327"/>
    <w:rsid w:val="001B6B54"/>
    <w:rsid w:val="001B7428"/>
    <w:rsid w:val="001B7A92"/>
    <w:rsid w:val="001C02B1"/>
    <w:rsid w:val="001C281D"/>
    <w:rsid w:val="001C2D0D"/>
    <w:rsid w:val="001C48D7"/>
    <w:rsid w:val="001C6C01"/>
    <w:rsid w:val="001C6DB1"/>
    <w:rsid w:val="001C7DAA"/>
    <w:rsid w:val="001D107B"/>
    <w:rsid w:val="001D4B49"/>
    <w:rsid w:val="001D63BF"/>
    <w:rsid w:val="001D7E4D"/>
    <w:rsid w:val="001E1727"/>
    <w:rsid w:val="001E3BB8"/>
    <w:rsid w:val="001E43BE"/>
    <w:rsid w:val="001E5BA0"/>
    <w:rsid w:val="001E648C"/>
    <w:rsid w:val="001F10B6"/>
    <w:rsid w:val="001F125B"/>
    <w:rsid w:val="001F149F"/>
    <w:rsid w:val="001F2054"/>
    <w:rsid w:val="001F26DC"/>
    <w:rsid w:val="001F334A"/>
    <w:rsid w:val="001F3506"/>
    <w:rsid w:val="001F5B5A"/>
    <w:rsid w:val="001F5D0C"/>
    <w:rsid w:val="001F5FAA"/>
    <w:rsid w:val="00200922"/>
    <w:rsid w:val="00201C13"/>
    <w:rsid w:val="00202ADA"/>
    <w:rsid w:val="00202FEC"/>
    <w:rsid w:val="00203D94"/>
    <w:rsid w:val="00204BC0"/>
    <w:rsid w:val="00205D66"/>
    <w:rsid w:val="00207587"/>
    <w:rsid w:val="00210EE6"/>
    <w:rsid w:val="002119D7"/>
    <w:rsid w:val="00211D4E"/>
    <w:rsid w:val="00212706"/>
    <w:rsid w:val="00212C11"/>
    <w:rsid w:val="00212F6D"/>
    <w:rsid w:val="00215173"/>
    <w:rsid w:val="00215F31"/>
    <w:rsid w:val="0021607C"/>
    <w:rsid w:val="00217DD9"/>
    <w:rsid w:val="00225E37"/>
    <w:rsid w:val="00227D55"/>
    <w:rsid w:val="0023113E"/>
    <w:rsid w:val="0023206D"/>
    <w:rsid w:val="00232105"/>
    <w:rsid w:val="002359B9"/>
    <w:rsid w:val="0023659A"/>
    <w:rsid w:val="00236E00"/>
    <w:rsid w:val="00237128"/>
    <w:rsid w:val="00237FD5"/>
    <w:rsid w:val="00240F64"/>
    <w:rsid w:val="00241D4D"/>
    <w:rsid w:val="0024417B"/>
    <w:rsid w:val="002471ED"/>
    <w:rsid w:val="00250E5E"/>
    <w:rsid w:val="002523C1"/>
    <w:rsid w:val="002531EA"/>
    <w:rsid w:val="00257505"/>
    <w:rsid w:val="002576DA"/>
    <w:rsid w:val="00260BD7"/>
    <w:rsid w:val="00260FE7"/>
    <w:rsid w:val="00261CC7"/>
    <w:rsid w:val="0026459F"/>
    <w:rsid w:val="00264BBF"/>
    <w:rsid w:val="00265293"/>
    <w:rsid w:val="002654DC"/>
    <w:rsid w:val="00266B31"/>
    <w:rsid w:val="00271148"/>
    <w:rsid w:val="00271892"/>
    <w:rsid w:val="00271CD5"/>
    <w:rsid w:val="00272F0A"/>
    <w:rsid w:val="00273803"/>
    <w:rsid w:val="00273F0A"/>
    <w:rsid w:val="0027438A"/>
    <w:rsid w:val="00274F40"/>
    <w:rsid w:val="0027656C"/>
    <w:rsid w:val="00276D4A"/>
    <w:rsid w:val="002771BB"/>
    <w:rsid w:val="00280556"/>
    <w:rsid w:val="00280937"/>
    <w:rsid w:val="00281EE8"/>
    <w:rsid w:val="0028210B"/>
    <w:rsid w:val="0028245B"/>
    <w:rsid w:val="00283074"/>
    <w:rsid w:val="0028379A"/>
    <w:rsid w:val="0028405D"/>
    <w:rsid w:val="00284B23"/>
    <w:rsid w:val="00285153"/>
    <w:rsid w:val="00285698"/>
    <w:rsid w:val="0028576C"/>
    <w:rsid w:val="00285BCC"/>
    <w:rsid w:val="00285BFE"/>
    <w:rsid w:val="00286965"/>
    <w:rsid w:val="00297957"/>
    <w:rsid w:val="002A0066"/>
    <w:rsid w:val="002A15E9"/>
    <w:rsid w:val="002A2135"/>
    <w:rsid w:val="002A32F9"/>
    <w:rsid w:val="002A5744"/>
    <w:rsid w:val="002A5A41"/>
    <w:rsid w:val="002A6B1E"/>
    <w:rsid w:val="002A6B2E"/>
    <w:rsid w:val="002A78C2"/>
    <w:rsid w:val="002B1A6D"/>
    <w:rsid w:val="002B39D7"/>
    <w:rsid w:val="002B50FC"/>
    <w:rsid w:val="002B6F5E"/>
    <w:rsid w:val="002B74BA"/>
    <w:rsid w:val="002C3650"/>
    <w:rsid w:val="002C3B46"/>
    <w:rsid w:val="002C42AA"/>
    <w:rsid w:val="002C44A3"/>
    <w:rsid w:val="002C6CF4"/>
    <w:rsid w:val="002D1754"/>
    <w:rsid w:val="002D2735"/>
    <w:rsid w:val="002D3645"/>
    <w:rsid w:val="002D374A"/>
    <w:rsid w:val="002D5345"/>
    <w:rsid w:val="002D5C90"/>
    <w:rsid w:val="002E144D"/>
    <w:rsid w:val="002E2BC4"/>
    <w:rsid w:val="002E2BDE"/>
    <w:rsid w:val="002E2E63"/>
    <w:rsid w:val="002E5393"/>
    <w:rsid w:val="002E57A5"/>
    <w:rsid w:val="002E60A6"/>
    <w:rsid w:val="002E78F0"/>
    <w:rsid w:val="002E7CED"/>
    <w:rsid w:val="002F13FC"/>
    <w:rsid w:val="002F142A"/>
    <w:rsid w:val="002F2F49"/>
    <w:rsid w:val="002F521F"/>
    <w:rsid w:val="002F5D14"/>
    <w:rsid w:val="00300E22"/>
    <w:rsid w:val="00301F3E"/>
    <w:rsid w:val="00302CC5"/>
    <w:rsid w:val="003036CD"/>
    <w:rsid w:val="00303AB1"/>
    <w:rsid w:val="0030425A"/>
    <w:rsid w:val="00306110"/>
    <w:rsid w:val="00306797"/>
    <w:rsid w:val="003070BB"/>
    <w:rsid w:val="003071E3"/>
    <w:rsid w:val="00307973"/>
    <w:rsid w:val="00311C86"/>
    <w:rsid w:val="00315DD1"/>
    <w:rsid w:val="003177D8"/>
    <w:rsid w:val="00321675"/>
    <w:rsid w:val="003225DD"/>
    <w:rsid w:val="0032532B"/>
    <w:rsid w:val="00326288"/>
    <w:rsid w:val="003309DB"/>
    <w:rsid w:val="00332225"/>
    <w:rsid w:val="00332FD2"/>
    <w:rsid w:val="00333FFF"/>
    <w:rsid w:val="00340222"/>
    <w:rsid w:val="00340257"/>
    <w:rsid w:val="00340E69"/>
    <w:rsid w:val="00341B43"/>
    <w:rsid w:val="00341BAE"/>
    <w:rsid w:val="00341E7D"/>
    <w:rsid w:val="003433EE"/>
    <w:rsid w:val="00343F03"/>
    <w:rsid w:val="00344E41"/>
    <w:rsid w:val="00345E58"/>
    <w:rsid w:val="0034677D"/>
    <w:rsid w:val="0034747D"/>
    <w:rsid w:val="00347DE8"/>
    <w:rsid w:val="00350F5B"/>
    <w:rsid w:val="00352976"/>
    <w:rsid w:val="00354680"/>
    <w:rsid w:val="003551D6"/>
    <w:rsid w:val="00356194"/>
    <w:rsid w:val="00357AAC"/>
    <w:rsid w:val="00361420"/>
    <w:rsid w:val="00362EAF"/>
    <w:rsid w:val="00363248"/>
    <w:rsid w:val="0036381E"/>
    <w:rsid w:val="00363A35"/>
    <w:rsid w:val="00363F51"/>
    <w:rsid w:val="00364626"/>
    <w:rsid w:val="00364A66"/>
    <w:rsid w:val="00364FF8"/>
    <w:rsid w:val="00365081"/>
    <w:rsid w:val="00367FAC"/>
    <w:rsid w:val="0037055E"/>
    <w:rsid w:val="0037060F"/>
    <w:rsid w:val="003707D5"/>
    <w:rsid w:val="0037199D"/>
    <w:rsid w:val="003731B3"/>
    <w:rsid w:val="00373A27"/>
    <w:rsid w:val="00373DF2"/>
    <w:rsid w:val="00375B79"/>
    <w:rsid w:val="00375DC5"/>
    <w:rsid w:val="003767AD"/>
    <w:rsid w:val="00380040"/>
    <w:rsid w:val="00381599"/>
    <w:rsid w:val="003828A9"/>
    <w:rsid w:val="00384F81"/>
    <w:rsid w:val="00385BFE"/>
    <w:rsid w:val="00386764"/>
    <w:rsid w:val="00391A53"/>
    <w:rsid w:val="00392E94"/>
    <w:rsid w:val="003939CE"/>
    <w:rsid w:val="00393D32"/>
    <w:rsid w:val="00393DAD"/>
    <w:rsid w:val="0039548A"/>
    <w:rsid w:val="003A037E"/>
    <w:rsid w:val="003A1559"/>
    <w:rsid w:val="003A3261"/>
    <w:rsid w:val="003A44ED"/>
    <w:rsid w:val="003B05BA"/>
    <w:rsid w:val="003B0DA2"/>
    <w:rsid w:val="003B48BE"/>
    <w:rsid w:val="003B5C7E"/>
    <w:rsid w:val="003B76CB"/>
    <w:rsid w:val="003B7A83"/>
    <w:rsid w:val="003C0D15"/>
    <w:rsid w:val="003C23E0"/>
    <w:rsid w:val="003C65F1"/>
    <w:rsid w:val="003D0E59"/>
    <w:rsid w:val="003D4B84"/>
    <w:rsid w:val="003D608A"/>
    <w:rsid w:val="003D64AF"/>
    <w:rsid w:val="003E0AF5"/>
    <w:rsid w:val="003E0F98"/>
    <w:rsid w:val="003E2195"/>
    <w:rsid w:val="003E2D15"/>
    <w:rsid w:val="003F0E19"/>
    <w:rsid w:val="003F34C3"/>
    <w:rsid w:val="003F4C7F"/>
    <w:rsid w:val="003F638F"/>
    <w:rsid w:val="003F66AF"/>
    <w:rsid w:val="003F6A9D"/>
    <w:rsid w:val="003F6C80"/>
    <w:rsid w:val="003F77FC"/>
    <w:rsid w:val="003F7CF3"/>
    <w:rsid w:val="004002D6"/>
    <w:rsid w:val="00402AAC"/>
    <w:rsid w:val="00403B24"/>
    <w:rsid w:val="00403DA9"/>
    <w:rsid w:val="00405212"/>
    <w:rsid w:val="00407E8F"/>
    <w:rsid w:val="00410138"/>
    <w:rsid w:val="00410841"/>
    <w:rsid w:val="00410C1C"/>
    <w:rsid w:val="004115A1"/>
    <w:rsid w:val="00412807"/>
    <w:rsid w:val="00415E53"/>
    <w:rsid w:val="0042040B"/>
    <w:rsid w:val="0042046C"/>
    <w:rsid w:val="00420B1C"/>
    <w:rsid w:val="00421B7A"/>
    <w:rsid w:val="00422876"/>
    <w:rsid w:val="0042458E"/>
    <w:rsid w:val="00424D94"/>
    <w:rsid w:val="00426B83"/>
    <w:rsid w:val="00427085"/>
    <w:rsid w:val="004275A7"/>
    <w:rsid w:val="004313ED"/>
    <w:rsid w:val="0043221B"/>
    <w:rsid w:val="00432378"/>
    <w:rsid w:val="0043304D"/>
    <w:rsid w:val="004337FB"/>
    <w:rsid w:val="0043488F"/>
    <w:rsid w:val="00435C3B"/>
    <w:rsid w:val="00441C43"/>
    <w:rsid w:val="00441D28"/>
    <w:rsid w:val="00441F4B"/>
    <w:rsid w:val="00442AE4"/>
    <w:rsid w:val="0044366B"/>
    <w:rsid w:val="0044495B"/>
    <w:rsid w:val="004479A2"/>
    <w:rsid w:val="00453F7A"/>
    <w:rsid w:val="00454A7D"/>
    <w:rsid w:val="0045551F"/>
    <w:rsid w:val="00455F16"/>
    <w:rsid w:val="00457430"/>
    <w:rsid w:val="00460248"/>
    <w:rsid w:val="00461B03"/>
    <w:rsid w:val="00462501"/>
    <w:rsid w:val="00462E49"/>
    <w:rsid w:val="00463AA3"/>
    <w:rsid w:val="0046659F"/>
    <w:rsid w:val="00467478"/>
    <w:rsid w:val="00476866"/>
    <w:rsid w:val="00476FD4"/>
    <w:rsid w:val="00480E63"/>
    <w:rsid w:val="00482EDB"/>
    <w:rsid w:val="00484027"/>
    <w:rsid w:val="00486122"/>
    <w:rsid w:val="00486488"/>
    <w:rsid w:val="004865F0"/>
    <w:rsid w:val="00487A20"/>
    <w:rsid w:val="00490A5D"/>
    <w:rsid w:val="00490F7E"/>
    <w:rsid w:val="00491969"/>
    <w:rsid w:val="00492117"/>
    <w:rsid w:val="00492329"/>
    <w:rsid w:val="00492792"/>
    <w:rsid w:val="00493838"/>
    <w:rsid w:val="00494B21"/>
    <w:rsid w:val="00496F91"/>
    <w:rsid w:val="004A04D1"/>
    <w:rsid w:val="004A2590"/>
    <w:rsid w:val="004A4C46"/>
    <w:rsid w:val="004A518C"/>
    <w:rsid w:val="004A773F"/>
    <w:rsid w:val="004B0CC8"/>
    <w:rsid w:val="004B356C"/>
    <w:rsid w:val="004B458A"/>
    <w:rsid w:val="004B5853"/>
    <w:rsid w:val="004B5FB2"/>
    <w:rsid w:val="004B60E9"/>
    <w:rsid w:val="004B65DA"/>
    <w:rsid w:val="004B68AC"/>
    <w:rsid w:val="004B6BE3"/>
    <w:rsid w:val="004B7817"/>
    <w:rsid w:val="004B7C27"/>
    <w:rsid w:val="004B7E3F"/>
    <w:rsid w:val="004C0A0E"/>
    <w:rsid w:val="004C177D"/>
    <w:rsid w:val="004C20C2"/>
    <w:rsid w:val="004C45E7"/>
    <w:rsid w:val="004C5F89"/>
    <w:rsid w:val="004C627F"/>
    <w:rsid w:val="004C69C3"/>
    <w:rsid w:val="004C704F"/>
    <w:rsid w:val="004C7054"/>
    <w:rsid w:val="004C7255"/>
    <w:rsid w:val="004C7553"/>
    <w:rsid w:val="004C7F70"/>
    <w:rsid w:val="004D0DEC"/>
    <w:rsid w:val="004D1F93"/>
    <w:rsid w:val="004D3102"/>
    <w:rsid w:val="004D4137"/>
    <w:rsid w:val="004D4513"/>
    <w:rsid w:val="004D5ECF"/>
    <w:rsid w:val="004D7CD1"/>
    <w:rsid w:val="004D7E67"/>
    <w:rsid w:val="004E0431"/>
    <w:rsid w:val="004E0808"/>
    <w:rsid w:val="004E0D6A"/>
    <w:rsid w:val="004E1DFF"/>
    <w:rsid w:val="004E3CA9"/>
    <w:rsid w:val="004E3D9D"/>
    <w:rsid w:val="004E737C"/>
    <w:rsid w:val="004E7E29"/>
    <w:rsid w:val="004F2553"/>
    <w:rsid w:val="004F4F80"/>
    <w:rsid w:val="004F5EF7"/>
    <w:rsid w:val="004F77FA"/>
    <w:rsid w:val="004F7B1C"/>
    <w:rsid w:val="00501C09"/>
    <w:rsid w:val="00501D3C"/>
    <w:rsid w:val="00502129"/>
    <w:rsid w:val="00503595"/>
    <w:rsid w:val="00505AB8"/>
    <w:rsid w:val="00506072"/>
    <w:rsid w:val="005073BF"/>
    <w:rsid w:val="00510486"/>
    <w:rsid w:val="00510C3C"/>
    <w:rsid w:val="00511519"/>
    <w:rsid w:val="005119C2"/>
    <w:rsid w:val="00512245"/>
    <w:rsid w:val="00512759"/>
    <w:rsid w:val="00512BE1"/>
    <w:rsid w:val="00513867"/>
    <w:rsid w:val="00515C1C"/>
    <w:rsid w:val="0051661A"/>
    <w:rsid w:val="00517627"/>
    <w:rsid w:val="00517754"/>
    <w:rsid w:val="00520A61"/>
    <w:rsid w:val="0052394D"/>
    <w:rsid w:val="00523A8A"/>
    <w:rsid w:val="00525E46"/>
    <w:rsid w:val="0052609D"/>
    <w:rsid w:val="005271B4"/>
    <w:rsid w:val="0052787F"/>
    <w:rsid w:val="005278B3"/>
    <w:rsid w:val="00527A91"/>
    <w:rsid w:val="00527F3E"/>
    <w:rsid w:val="005307E7"/>
    <w:rsid w:val="005328A3"/>
    <w:rsid w:val="00532C0C"/>
    <w:rsid w:val="0053461E"/>
    <w:rsid w:val="00534961"/>
    <w:rsid w:val="0053676F"/>
    <w:rsid w:val="00537782"/>
    <w:rsid w:val="0054202E"/>
    <w:rsid w:val="00544AC4"/>
    <w:rsid w:val="00544C7D"/>
    <w:rsid w:val="0054586F"/>
    <w:rsid w:val="005474F1"/>
    <w:rsid w:val="00547B4F"/>
    <w:rsid w:val="005513B3"/>
    <w:rsid w:val="00551D2B"/>
    <w:rsid w:val="00553588"/>
    <w:rsid w:val="00554786"/>
    <w:rsid w:val="00556057"/>
    <w:rsid w:val="00556697"/>
    <w:rsid w:val="00557F53"/>
    <w:rsid w:val="0056203D"/>
    <w:rsid w:val="00565C5B"/>
    <w:rsid w:val="00566E17"/>
    <w:rsid w:val="0056772B"/>
    <w:rsid w:val="005702BC"/>
    <w:rsid w:val="00571733"/>
    <w:rsid w:val="00571F58"/>
    <w:rsid w:val="005720E0"/>
    <w:rsid w:val="00573BC9"/>
    <w:rsid w:val="00574BF8"/>
    <w:rsid w:val="00575596"/>
    <w:rsid w:val="0058032E"/>
    <w:rsid w:val="0058124A"/>
    <w:rsid w:val="0058131A"/>
    <w:rsid w:val="005823EC"/>
    <w:rsid w:val="00584772"/>
    <w:rsid w:val="00584B4C"/>
    <w:rsid w:val="005868FB"/>
    <w:rsid w:val="00590B1F"/>
    <w:rsid w:val="00590EA2"/>
    <w:rsid w:val="00591EE3"/>
    <w:rsid w:val="005920F4"/>
    <w:rsid w:val="00592727"/>
    <w:rsid w:val="00593166"/>
    <w:rsid w:val="005953E4"/>
    <w:rsid w:val="00595CFA"/>
    <w:rsid w:val="0059639F"/>
    <w:rsid w:val="00596CC0"/>
    <w:rsid w:val="005A2AAB"/>
    <w:rsid w:val="005A3258"/>
    <w:rsid w:val="005A36AB"/>
    <w:rsid w:val="005A3AD0"/>
    <w:rsid w:val="005A6347"/>
    <w:rsid w:val="005A6691"/>
    <w:rsid w:val="005A6B68"/>
    <w:rsid w:val="005A7AF6"/>
    <w:rsid w:val="005B180C"/>
    <w:rsid w:val="005B3B8A"/>
    <w:rsid w:val="005B4AEA"/>
    <w:rsid w:val="005B4B3C"/>
    <w:rsid w:val="005B5066"/>
    <w:rsid w:val="005B6709"/>
    <w:rsid w:val="005C1A7A"/>
    <w:rsid w:val="005C2577"/>
    <w:rsid w:val="005C50D9"/>
    <w:rsid w:val="005C53AC"/>
    <w:rsid w:val="005C5B15"/>
    <w:rsid w:val="005C6DCD"/>
    <w:rsid w:val="005D098D"/>
    <w:rsid w:val="005D48F3"/>
    <w:rsid w:val="005D52FF"/>
    <w:rsid w:val="005D5331"/>
    <w:rsid w:val="005D57CA"/>
    <w:rsid w:val="005D6305"/>
    <w:rsid w:val="005D7689"/>
    <w:rsid w:val="005E00E7"/>
    <w:rsid w:val="005E00FE"/>
    <w:rsid w:val="005E2094"/>
    <w:rsid w:val="005E2399"/>
    <w:rsid w:val="005E4BBC"/>
    <w:rsid w:val="005E75CA"/>
    <w:rsid w:val="005E7B5F"/>
    <w:rsid w:val="005F19D7"/>
    <w:rsid w:val="005F4AB8"/>
    <w:rsid w:val="005F4CE2"/>
    <w:rsid w:val="005F53F9"/>
    <w:rsid w:val="006010D2"/>
    <w:rsid w:val="006037FA"/>
    <w:rsid w:val="00605057"/>
    <w:rsid w:val="00605AD9"/>
    <w:rsid w:val="00605D18"/>
    <w:rsid w:val="00607339"/>
    <w:rsid w:val="00611226"/>
    <w:rsid w:val="0061158B"/>
    <w:rsid w:val="006126D1"/>
    <w:rsid w:val="00613C75"/>
    <w:rsid w:val="00616F23"/>
    <w:rsid w:val="0062039E"/>
    <w:rsid w:val="00625BE7"/>
    <w:rsid w:val="00626B83"/>
    <w:rsid w:val="006279F0"/>
    <w:rsid w:val="00627EDB"/>
    <w:rsid w:val="00630C65"/>
    <w:rsid w:val="00633A7F"/>
    <w:rsid w:val="00633F5B"/>
    <w:rsid w:val="00634719"/>
    <w:rsid w:val="0063560B"/>
    <w:rsid w:val="0063613C"/>
    <w:rsid w:val="00636FE3"/>
    <w:rsid w:val="00640E06"/>
    <w:rsid w:val="00641010"/>
    <w:rsid w:val="006412F1"/>
    <w:rsid w:val="00642854"/>
    <w:rsid w:val="00647E65"/>
    <w:rsid w:val="00651C31"/>
    <w:rsid w:val="0065215F"/>
    <w:rsid w:val="00652FA3"/>
    <w:rsid w:val="006535FD"/>
    <w:rsid w:val="0065452B"/>
    <w:rsid w:val="00654745"/>
    <w:rsid w:val="00656129"/>
    <w:rsid w:val="00656952"/>
    <w:rsid w:val="00656A60"/>
    <w:rsid w:val="00657C75"/>
    <w:rsid w:val="00660081"/>
    <w:rsid w:val="00660B36"/>
    <w:rsid w:val="00662D8D"/>
    <w:rsid w:val="006645AF"/>
    <w:rsid w:val="00666CD7"/>
    <w:rsid w:val="00667925"/>
    <w:rsid w:val="006705CF"/>
    <w:rsid w:val="006708F1"/>
    <w:rsid w:val="00671708"/>
    <w:rsid w:val="00671FD2"/>
    <w:rsid w:val="0067353C"/>
    <w:rsid w:val="00674117"/>
    <w:rsid w:val="00674189"/>
    <w:rsid w:val="006752F1"/>
    <w:rsid w:val="00676827"/>
    <w:rsid w:val="00677202"/>
    <w:rsid w:val="0067762D"/>
    <w:rsid w:val="0067771D"/>
    <w:rsid w:val="00680ED4"/>
    <w:rsid w:val="006811F7"/>
    <w:rsid w:val="006824B2"/>
    <w:rsid w:val="006827B3"/>
    <w:rsid w:val="00683193"/>
    <w:rsid w:val="00683EE8"/>
    <w:rsid w:val="006842E7"/>
    <w:rsid w:val="00687957"/>
    <w:rsid w:val="00690345"/>
    <w:rsid w:val="0069042F"/>
    <w:rsid w:val="00691D40"/>
    <w:rsid w:val="006943D5"/>
    <w:rsid w:val="006943FD"/>
    <w:rsid w:val="00696F26"/>
    <w:rsid w:val="006970A9"/>
    <w:rsid w:val="006A05B6"/>
    <w:rsid w:val="006A17B4"/>
    <w:rsid w:val="006A4C53"/>
    <w:rsid w:val="006A56FF"/>
    <w:rsid w:val="006A6261"/>
    <w:rsid w:val="006A6275"/>
    <w:rsid w:val="006A69A6"/>
    <w:rsid w:val="006A726B"/>
    <w:rsid w:val="006B0DB0"/>
    <w:rsid w:val="006B12DD"/>
    <w:rsid w:val="006B25E3"/>
    <w:rsid w:val="006B32BE"/>
    <w:rsid w:val="006B48A0"/>
    <w:rsid w:val="006B6814"/>
    <w:rsid w:val="006B7481"/>
    <w:rsid w:val="006B79B7"/>
    <w:rsid w:val="006B7BB4"/>
    <w:rsid w:val="006C058F"/>
    <w:rsid w:val="006C189B"/>
    <w:rsid w:val="006C18A3"/>
    <w:rsid w:val="006C4191"/>
    <w:rsid w:val="006C451F"/>
    <w:rsid w:val="006C5D49"/>
    <w:rsid w:val="006C5FA5"/>
    <w:rsid w:val="006C74CE"/>
    <w:rsid w:val="006C7D66"/>
    <w:rsid w:val="006D097C"/>
    <w:rsid w:val="006D1B60"/>
    <w:rsid w:val="006D2564"/>
    <w:rsid w:val="006D2627"/>
    <w:rsid w:val="006D3237"/>
    <w:rsid w:val="006D3C88"/>
    <w:rsid w:val="006D3F9C"/>
    <w:rsid w:val="006D5C80"/>
    <w:rsid w:val="006D6570"/>
    <w:rsid w:val="006D6758"/>
    <w:rsid w:val="006E2103"/>
    <w:rsid w:val="006E3D19"/>
    <w:rsid w:val="006E70BC"/>
    <w:rsid w:val="006F09CB"/>
    <w:rsid w:val="006F0BD1"/>
    <w:rsid w:val="006F0FF9"/>
    <w:rsid w:val="006F1D83"/>
    <w:rsid w:val="006F405D"/>
    <w:rsid w:val="006F444A"/>
    <w:rsid w:val="006F47DD"/>
    <w:rsid w:val="006F4C41"/>
    <w:rsid w:val="006F5ED2"/>
    <w:rsid w:val="006F76DB"/>
    <w:rsid w:val="00700F2C"/>
    <w:rsid w:val="00702427"/>
    <w:rsid w:val="00703CC0"/>
    <w:rsid w:val="0070656D"/>
    <w:rsid w:val="007071EE"/>
    <w:rsid w:val="00710502"/>
    <w:rsid w:val="00710914"/>
    <w:rsid w:val="00710A27"/>
    <w:rsid w:val="00711ACA"/>
    <w:rsid w:val="007152BB"/>
    <w:rsid w:val="00716BD6"/>
    <w:rsid w:val="0072059B"/>
    <w:rsid w:val="0072133E"/>
    <w:rsid w:val="00721DAA"/>
    <w:rsid w:val="0072228C"/>
    <w:rsid w:val="00723675"/>
    <w:rsid w:val="00724150"/>
    <w:rsid w:val="0072425F"/>
    <w:rsid w:val="007259F6"/>
    <w:rsid w:val="00731AB5"/>
    <w:rsid w:val="00733AD9"/>
    <w:rsid w:val="007362CD"/>
    <w:rsid w:val="0073692E"/>
    <w:rsid w:val="00736A81"/>
    <w:rsid w:val="00740349"/>
    <w:rsid w:val="00741500"/>
    <w:rsid w:val="0074596A"/>
    <w:rsid w:val="00746362"/>
    <w:rsid w:val="007473A9"/>
    <w:rsid w:val="00751B37"/>
    <w:rsid w:val="00752F4E"/>
    <w:rsid w:val="007574AA"/>
    <w:rsid w:val="00761A28"/>
    <w:rsid w:val="00763B3B"/>
    <w:rsid w:val="00764722"/>
    <w:rsid w:val="00765188"/>
    <w:rsid w:val="007705FA"/>
    <w:rsid w:val="007710BB"/>
    <w:rsid w:val="007717D7"/>
    <w:rsid w:val="007718F3"/>
    <w:rsid w:val="007719EA"/>
    <w:rsid w:val="0077213F"/>
    <w:rsid w:val="0077362E"/>
    <w:rsid w:val="007754D0"/>
    <w:rsid w:val="00780703"/>
    <w:rsid w:val="00782979"/>
    <w:rsid w:val="00783BA9"/>
    <w:rsid w:val="0078551D"/>
    <w:rsid w:val="00785583"/>
    <w:rsid w:val="00785951"/>
    <w:rsid w:val="007870B3"/>
    <w:rsid w:val="00787AF4"/>
    <w:rsid w:val="0079091C"/>
    <w:rsid w:val="007909DC"/>
    <w:rsid w:val="00791841"/>
    <w:rsid w:val="00791B16"/>
    <w:rsid w:val="00793B18"/>
    <w:rsid w:val="00793E17"/>
    <w:rsid w:val="007A074E"/>
    <w:rsid w:val="007A1615"/>
    <w:rsid w:val="007A243F"/>
    <w:rsid w:val="007A2EBF"/>
    <w:rsid w:val="007A363B"/>
    <w:rsid w:val="007A4013"/>
    <w:rsid w:val="007A45F5"/>
    <w:rsid w:val="007A6FDF"/>
    <w:rsid w:val="007A7A35"/>
    <w:rsid w:val="007A7F92"/>
    <w:rsid w:val="007B0318"/>
    <w:rsid w:val="007B0CAB"/>
    <w:rsid w:val="007B2360"/>
    <w:rsid w:val="007B298C"/>
    <w:rsid w:val="007B532D"/>
    <w:rsid w:val="007B5EE5"/>
    <w:rsid w:val="007B6D8F"/>
    <w:rsid w:val="007B6F55"/>
    <w:rsid w:val="007B6F5A"/>
    <w:rsid w:val="007B712D"/>
    <w:rsid w:val="007B7B0E"/>
    <w:rsid w:val="007C14F6"/>
    <w:rsid w:val="007C159D"/>
    <w:rsid w:val="007C17A0"/>
    <w:rsid w:val="007C1AF3"/>
    <w:rsid w:val="007C297B"/>
    <w:rsid w:val="007C2BE4"/>
    <w:rsid w:val="007C3805"/>
    <w:rsid w:val="007C4C21"/>
    <w:rsid w:val="007C5702"/>
    <w:rsid w:val="007C630F"/>
    <w:rsid w:val="007C6B04"/>
    <w:rsid w:val="007D0F30"/>
    <w:rsid w:val="007D34CE"/>
    <w:rsid w:val="007D3823"/>
    <w:rsid w:val="007D53FB"/>
    <w:rsid w:val="007D5886"/>
    <w:rsid w:val="007D730D"/>
    <w:rsid w:val="007D7DC9"/>
    <w:rsid w:val="007E1245"/>
    <w:rsid w:val="007E1479"/>
    <w:rsid w:val="007E1A76"/>
    <w:rsid w:val="007E24B7"/>
    <w:rsid w:val="007E2B98"/>
    <w:rsid w:val="007E35E6"/>
    <w:rsid w:val="007E7B12"/>
    <w:rsid w:val="007F00D1"/>
    <w:rsid w:val="007F064A"/>
    <w:rsid w:val="007F2147"/>
    <w:rsid w:val="007F2242"/>
    <w:rsid w:val="007F2ACF"/>
    <w:rsid w:val="007F39EC"/>
    <w:rsid w:val="007F3FD4"/>
    <w:rsid w:val="007F72C4"/>
    <w:rsid w:val="00800794"/>
    <w:rsid w:val="00800C53"/>
    <w:rsid w:val="00800E2A"/>
    <w:rsid w:val="00801C11"/>
    <w:rsid w:val="00802130"/>
    <w:rsid w:val="0080288F"/>
    <w:rsid w:val="008028AA"/>
    <w:rsid w:val="008033C6"/>
    <w:rsid w:val="00803A38"/>
    <w:rsid w:val="008064C9"/>
    <w:rsid w:val="00810683"/>
    <w:rsid w:val="0081166B"/>
    <w:rsid w:val="00811C83"/>
    <w:rsid w:val="008129A0"/>
    <w:rsid w:val="00812F39"/>
    <w:rsid w:val="00813CB3"/>
    <w:rsid w:val="00821166"/>
    <w:rsid w:val="00821587"/>
    <w:rsid w:val="00821D2C"/>
    <w:rsid w:val="00822F8A"/>
    <w:rsid w:val="00823248"/>
    <w:rsid w:val="008235FE"/>
    <w:rsid w:val="00823E71"/>
    <w:rsid w:val="00825B3F"/>
    <w:rsid w:val="00825FE2"/>
    <w:rsid w:val="00832AC9"/>
    <w:rsid w:val="00834F99"/>
    <w:rsid w:val="008370FC"/>
    <w:rsid w:val="00837BB4"/>
    <w:rsid w:val="008407AE"/>
    <w:rsid w:val="00840D41"/>
    <w:rsid w:val="008411A3"/>
    <w:rsid w:val="00841BE8"/>
    <w:rsid w:val="008432B3"/>
    <w:rsid w:val="00843E43"/>
    <w:rsid w:val="00845F98"/>
    <w:rsid w:val="008478F2"/>
    <w:rsid w:val="00850EDC"/>
    <w:rsid w:val="0085145F"/>
    <w:rsid w:val="00852854"/>
    <w:rsid w:val="0085291D"/>
    <w:rsid w:val="00854D9E"/>
    <w:rsid w:val="00855C2A"/>
    <w:rsid w:val="00856B82"/>
    <w:rsid w:val="00860178"/>
    <w:rsid w:val="0086040E"/>
    <w:rsid w:val="00861DB8"/>
    <w:rsid w:val="008645A0"/>
    <w:rsid w:val="00864CF1"/>
    <w:rsid w:val="00864E4D"/>
    <w:rsid w:val="00866664"/>
    <w:rsid w:val="00866A23"/>
    <w:rsid w:val="00867636"/>
    <w:rsid w:val="00871BD1"/>
    <w:rsid w:val="008736D3"/>
    <w:rsid w:val="00874397"/>
    <w:rsid w:val="00876402"/>
    <w:rsid w:val="00876AF7"/>
    <w:rsid w:val="00882F82"/>
    <w:rsid w:val="008837EE"/>
    <w:rsid w:val="008840F1"/>
    <w:rsid w:val="00884806"/>
    <w:rsid w:val="00885136"/>
    <w:rsid w:val="00885758"/>
    <w:rsid w:val="00885CB0"/>
    <w:rsid w:val="008905A4"/>
    <w:rsid w:val="0089073B"/>
    <w:rsid w:val="00890C69"/>
    <w:rsid w:val="00890DB9"/>
    <w:rsid w:val="008935DC"/>
    <w:rsid w:val="00893932"/>
    <w:rsid w:val="00893ACE"/>
    <w:rsid w:val="00893C74"/>
    <w:rsid w:val="00894982"/>
    <w:rsid w:val="00895052"/>
    <w:rsid w:val="008A0145"/>
    <w:rsid w:val="008A0DEB"/>
    <w:rsid w:val="008A1B76"/>
    <w:rsid w:val="008A3955"/>
    <w:rsid w:val="008A46CE"/>
    <w:rsid w:val="008A55BA"/>
    <w:rsid w:val="008A747A"/>
    <w:rsid w:val="008B0CB5"/>
    <w:rsid w:val="008B0E3F"/>
    <w:rsid w:val="008B1ACC"/>
    <w:rsid w:val="008B247A"/>
    <w:rsid w:val="008B253B"/>
    <w:rsid w:val="008B3117"/>
    <w:rsid w:val="008B67DC"/>
    <w:rsid w:val="008B7ABB"/>
    <w:rsid w:val="008C1933"/>
    <w:rsid w:val="008C2021"/>
    <w:rsid w:val="008C334E"/>
    <w:rsid w:val="008C3777"/>
    <w:rsid w:val="008C5FFA"/>
    <w:rsid w:val="008C6DB3"/>
    <w:rsid w:val="008D036C"/>
    <w:rsid w:val="008D0E00"/>
    <w:rsid w:val="008D14EF"/>
    <w:rsid w:val="008D1CFB"/>
    <w:rsid w:val="008D5AED"/>
    <w:rsid w:val="008D6376"/>
    <w:rsid w:val="008D64FC"/>
    <w:rsid w:val="008E1701"/>
    <w:rsid w:val="008E21E0"/>
    <w:rsid w:val="008E29ED"/>
    <w:rsid w:val="008E4B93"/>
    <w:rsid w:val="008E6C92"/>
    <w:rsid w:val="008E79AA"/>
    <w:rsid w:val="008F05EE"/>
    <w:rsid w:val="008F119F"/>
    <w:rsid w:val="008F355D"/>
    <w:rsid w:val="008F3E39"/>
    <w:rsid w:val="008F4693"/>
    <w:rsid w:val="008F4F6B"/>
    <w:rsid w:val="008F5ADF"/>
    <w:rsid w:val="008F79FB"/>
    <w:rsid w:val="00900676"/>
    <w:rsid w:val="00902114"/>
    <w:rsid w:val="009037AF"/>
    <w:rsid w:val="00903FB9"/>
    <w:rsid w:val="00905A25"/>
    <w:rsid w:val="0090695E"/>
    <w:rsid w:val="009114D3"/>
    <w:rsid w:val="009123C6"/>
    <w:rsid w:val="00915383"/>
    <w:rsid w:val="009170D5"/>
    <w:rsid w:val="00922A31"/>
    <w:rsid w:val="009232C1"/>
    <w:rsid w:val="009238F9"/>
    <w:rsid w:val="0092401D"/>
    <w:rsid w:val="00924E3F"/>
    <w:rsid w:val="009266B0"/>
    <w:rsid w:val="00926825"/>
    <w:rsid w:val="00927323"/>
    <w:rsid w:val="009304CA"/>
    <w:rsid w:val="00930828"/>
    <w:rsid w:val="009318C2"/>
    <w:rsid w:val="00932723"/>
    <w:rsid w:val="0093334A"/>
    <w:rsid w:val="009403A3"/>
    <w:rsid w:val="00941EAD"/>
    <w:rsid w:val="009443B8"/>
    <w:rsid w:val="009447BC"/>
    <w:rsid w:val="00946336"/>
    <w:rsid w:val="00946769"/>
    <w:rsid w:val="009469EA"/>
    <w:rsid w:val="0095054B"/>
    <w:rsid w:val="00951AF6"/>
    <w:rsid w:val="009533D4"/>
    <w:rsid w:val="009536BB"/>
    <w:rsid w:val="009553A0"/>
    <w:rsid w:val="00961759"/>
    <w:rsid w:val="00961BCE"/>
    <w:rsid w:val="0096232C"/>
    <w:rsid w:val="00962CBB"/>
    <w:rsid w:val="00962EB8"/>
    <w:rsid w:val="00964DE0"/>
    <w:rsid w:val="0096639F"/>
    <w:rsid w:val="00970C23"/>
    <w:rsid w:val="009724B6"/>
    <w:rsid w:val="0097401B"/>
    <w:rsid w:val="009740D0"/>
    <w:rsid w:val="009751E4"/>
    <w:rsid w:val="00976F95"/>
    <w:rsid w:val="00977343"/>
    <w:rsid w:val="0098180D"/>
    <w:rsid w:val="00981932"/>
    <w:rsid w:val="009834C6"/>
    <w:rsid w:val="00984D5F"/>
    <w:rsid w:val="00985A14"/>
    <w:rsid w:val="009870C6"/>
    <w:rsid w:val="00987E19"/>
    <w:rsid w:val="009906E7"/>
    <w:rsid w:val="009918DF"/>
    <w:rsid w:val="00992F67"/>
    <w:rsid w:val="00994304"/>
    <w:rsid w:val="009944D1"/>
    <w:rsid w:val="00994B60"/>
    <w:rsid w:val="0099537F"/>
    <w:rsid w:val="009972BE"/>
    <w:rsid w:val="009A1242"/>
    <w:rsid w:val="009A1DE3"/>
    <w:rsid w:val="009A4E23"/>
    <w:rsid w:val="009A632C"/>
    <w:rsid w:val="009A6437"/>
    <w:rsid w:val="009A76A0"/>
    <w:rsid w:val="009A7E06"/>
    <w:rsid w:val="009B07DC"/>
    <w:rsid w:val="009B0924"/>
    <w:rsid w:val="009B0A9B"/>
    <w:rsid w:val="009B2680"/>
    <w:rsid w:val="009B2A1F"/>
    <w:rsid w:val="009B3989"/>
    <w:rsid w:val="009B4CB6"/>
    <w:rsid w:val="009B5C9B"/>
    <w:rsid w:val="009C0030"/>
    <w:rsid w:val="009C0601"/>
    <w:rsid w:val="009C0857"/>
    <w:rsid w:val="009C218F"/>
    <w:rsid w:val="009C3E58"/>
    <w:rsid w:val="009C4FF8"/>
    <w:rsid w:val="009D21C0"/>
    <w:rsid w:val="009D25E1"/>
    <w:rsid w:val="009D2DFF"/>
    <w:rsid w:val="009D3A51"/>
    <w:rsid w:val="009D489A"/>
    <w:rsid w:val="009D4F58"/>
    <w:rsid w:val="009D5AD5"/>
    <w:rsid w:val="009D5FBA"/>
    <w:rsid w:val="009E0791"/>
    <w:rsid w:val="009E18A2"/>
    <w:rsid w:val="009E27A4"/>
    <w:rsid w:val="009E387A"/>
    <w:rsid w:val="009E3A4C"/>
    <w:rsid w:val="009E406C"/>
    <w:rsid w:val="009E55D9"/>
    <w:rsid w:val="009E6425"/>
    <w:rsid w:val="009F23C2"/>
    <w:rsid w:val="009F2C0F"/>
    <w:rsid w:val="009F44AD"/>
    <w:rsid w:val="009F47ED"/>
    <w:rsid w:val="009F4AE1"/>
    <w:rsid w:val="009F550E"/>
    <w:rsid w:val="009F65CB"/>
    <w:rsid w:val="00A02323"/>
    <w:rsid w:val="00A11CE4"/>
    <w:rsid w:val="00A11D17"/>
    <w:rsid w:val="00A12EC9"/>
    <w:rsid w:val="00A132D9"/>
    <w:rsid w:val="00A14EED"/>
    <w:rsid w:val="00A17511"/>
    <w:rsid w:val="00A239FE"/>
    <w:rsid w:val="00A23F46"/>
    <w:rsid w:val="00A259C5"/>
    <w:rsid w:val="00A25EBA"/>
    <w:rsid w:val="00A273D8"/>
    <w:rsid w:val="00A27A4E"/>
    <w:rsid w:val="00A32EB2"/>
    <w:rsid w:val="00A335E0"/>
    <w:rsid w:val="00A34E31"/>
    <w:rsid w:val="00A4091F"/>
    <w:rsid w:val="00A42D0D"/>
    <w:rsid w:val="00A44E3D"/>
    <w:rsid w:val="00A4540A"/>
    <w:rsid w:val="00A4565F"/>
    <w:rsid w:val="00A45B90"/>
    <w:rsid w:val="00A51026"/>
    <w:rsid w:val="00A51ECF"/>
    <w:rsid w:val="00A55959"/>
    <w:rsid w:val="00A56713"/>
    <w:rsid w:val="00A62357"/>
    <w:rsid w:val="00A62761"/>
    <w:rsid w:val="00A66D21"/>
    <w:rsid w:val="00A6733D"/>
    <w:rsid w:val="00A70B70"/>
    <w:rsid w:val="00A70D4E"/>
    <w:rsid w:val="00A73ED7"/>
    <w:rsid w:val="00A74ABB"/>
    <w:rsid w:val="00A760B0"/>
    <w:rsid w:val="00A76BFD"/>
    <w:rsid w:val="00A77493"/>
    <w:rsid w:val="00A805FF"/>
    <w:rsid w:val="00A8067B"/>
    <w:rsid w:val="00A80954"/>
    <w:rsid w:val="00A81A2D"/>
    <w:rsid w:val="00A83C7C"/>
    <w:rsid w:val="00A85341"/>
    <w:rsid w:val="00A85BA5"/>
    <w:rsid w:val="00A85BEE"/>
    <w:rsid w:val="00A86152"/>
    <w:rsid w:val="00A86AE1"/>
    <w:rsid w:val="00A86B6A"/>
    <w:rsid w:val="00A87EB7"/>
    <w:rsid w:val="00A91368"/>
    <w:rsid w:val="00A91DBD"/>
    <w:rsid w:val="00A9300B"/>
    <w:rsid w:val="00A96186"/>
    <w:rsid w:val="00A97713"/>
    <w:rsid w:val="00AA15F1"/>
    <w:rsid w:val="00AA5C45"/>
    <w:rsid w:val="00AA6A6F"/>
    <w:rsid w:val="00AA6E04"/>
    <w:rsid w:val="00AA7BA9"/>
    <w:rsid w:val="00AA7FEC"/>
    <w:rsid w:val="00AB218C"/>
    <w:rsid w:val="00AB2BE8"/>
    <w:rsid w:val="00AB3096"/>
    <w:rsid w:val="00AB3E60"/>
    <w:rsid w:val="00AB42AE"/>
    <w:rsid w:val="00AB7415"/>
    <w:rsid w:val="00AC16A2"/>
    <w:rsid w:val="00AC3238"/>
    <w:rsid w:val="00AC3644"/>
    <w:rsid w:val="00AC3D0C"/>
    <w:rsid w:val="00AC471C"/>
    <w:rsid w:val="00AC73BD"/>
    <w:rsid w:val="00AC7B09"/>
    <w:rsid w:val="00AD2972"/>
    <w:rsid w:val="00AD2BA9"/>
    <w:rsid w:val="00AD32F2"/>
    <w:rsid w:val="00AD3DEA"/>
    <w:rsid w:val="00AD3F7A"/>
    <w:rsid w:val="00AD43FA"/>
    <w:rsid w:val="00AD7288"/>
    <w:rsid w:val="00AE24F2"/>
    <w:rsid w:val="00AE3DD6"/>
    <w:rsid w:val="00AE6BD1"/>
    <w:rsid w:val="00AF045D"/>
    <w:rsid w:val="00AF20D2"/>
    <w:rsid w:val="00AF48BD"/>
    <w:rsid w:val="00AF5704"/>
    <w:rsid w:val="00AF6753"/>
    <w:rsid w:val="00AF7ADF"/>
    <w:rsid w:val="00B002CF"/>
    <w:rsid w:val="00B0180A"/>
    <w:rsid w:val="00B01E3A"/>
    <w:rsid w:val="00B036AF"/>
    <w:rsid w:val="00B06313"/>
    <w:rsid w:val="00B07B6B"/>
    <w:rsid w:val="00B116D9"/>
    <w:rsid w:val="00B12597"/>
    <w:rsid w:val="00B1350B"/>
    <w:rsid w:val="00B169A2"/>
    <w:rsid w:val="00B175D8"/>
    <w:rsid w:val="00B22DD6"/>
    <w:rsid w:val="00B22DDC"/>
    <w:rsid w:val="00B23AA0"/>
    <w:rsid w:val="00B250D5"/>
    <w:rsid w:val="00B25D8E"/>
    <w:rsid w:val="00B3194E"/>
    <w:rsid w:val="00B3336A"/>
    <w:rsid w:val="00B33A46"/>
    <w:rsid w:val="00B33EFA"/>
    <w:rsid w:val="00B3590C"/>
    <w:rsid w:val="00B35D82"/>
    <w:rsid w:val="00B36D4F"/>
    <w:rsid w:val="00B4103A"/>
    <w:rsid w:val="00B417C7"/>
    <w:rsid w:val="00B4388D"/>
    <w:rsid w:val="00B474C8"/>
    <w:rsid w:val="00B500F2"/>
    <w:rsid w:val="00B51888"/>
    <w:rsid w:val="00B5258A"/>
    <w:rsid w:val="00B52F85"/>
    <w:rsid w:val="00B53900"/>
    <w:rsid w:val="00B5421E"/>
    <w:rsid w:val="00B56B55"/>
    <w:rsid w:val="00B6176B"/>
    <w:rsid w:val="00B62AFA"/>
    <w:rsid w:val="00B6495A"/>
    <w:rsid w:val="00B66BA4"/>
    <w:rsid w:val="00B67AB1"/>
    <w:rsid w:val="00B70E49"/>
    <w:rsid w:val="00B71577"/>
    <w:rsid w:val="00B73384"/>
    <w:rsid w:val="00B73FD7"/>
    <w:rsid w:val="00B74DED"/>
    <w:rsid w:val="00B75D34"/>
    <w:rsid w:val="00B763B8"/>
    <w:rsid w:val="00B7648B"/>
    <w:rsid w:val="00B76C91"/>
    <w:rsid w:val="00B7726B"/>
    <w:rsid w:val="00B8200E"/>
    <w:rsid w:val="00B83D73"/>
    <w:rsid w:val="00B84DA6"/>
    <w:rsid w:val="00B855FA"/>
    <w:rsid w:val="00B85C75"/>
    <w:rsid w:val="00B871FA"/>
    <w:rsid w:val="00B8734C"/>
    <w:rsid w:val="00B87597"/>
    <w:rsid w:val="00B87EAE"/>
    <w:rsid w:val="00B9342F"/>
    <w:rsid w:val="00B93744"/>
    <w:rsid w:val="00B93A0F"/>
    <w:rsid w:val="00B945A8"/>
    <w:rsid w:val="00B94BE6"/>
    <w:rsid w:val="00B95832"/>
    <w:rsid w:val="00B97729"/>
    <w:rsid w:val="00BA0301"/>
    <w:rsid w:val="00BA42D7"/>
    <w:rsid w:val="00BA42EB"/>
    <w:rsid w:val="00BA4E4C"/>
    <w:rsid w:val="00BA51C8"/>
    <w:rsid w:val="00BA5846"/>
    <w:rsid w:val="00BA63CF"/>
    <w:rsid w:val="00BA6C8F"/>
    <w:rsid w:val="00BB14FE"/>
    <w:rsid w:val="00BB177A"/>
    <w:rsid w:val="00BB1D9F"/>
    <w:rsid w:val="00BB51A9"/>
    <w:rsid w:val="00BC185B"/>
    <w:rsid w:val="00BC1BF9"/>
    <w:rsid w:val="00BC28ED"/>
    <w:rsid w:val="00BC3102"/>
    <w:rsid w:val="00BC55AB"/>
    <w:rsid w:val="00BC629F"/>
    <w:rsid w:val="00BC78D5"/>
    <w:rsid w:val="00BD0798"/>
    <w:rsid w:val="00BD0886"/>
    <w:rsid w:val="00BD0A1B"/>
    <w:rsid w:val="00BD13F4"/>
    <w:rsid w:val="00BD2123"/>
    <w:rsid w:val="00BD2569"/>
    <w:rsid w:val="00BD2963"/>
    <w:rsid w:val="00BD2FCC"/>
    <w:rsid w:val="00BD4C6F"/>
    <w:rsid w:val="00BD4FDC"/>
    <w:rsid w:val="00BD5BE0"/>
    <w:rsid w:val="00BD7404"/>
    <w:rsid w:val="00BD7B58"/>
    <w:rsid w:val="00BE0717"/>
    <w:rsid w:val="00BE10DC"/>
    <w:rsid w:val="00BE2267"/>
    <w:rsid w:val="00BE242B"/>
    <w:rsid w:val="00BE36BC"/>
    <w:rsid w:val="00BE4D15"/>
    <w:rsid w:val="00BE4F08"/>
    <w:rsid w:val="00BE75BB"/>
    <w:rsid w:val="00BE7ED9"/>
    <w:rsid w:val="00BF181D"/>
    <w:rsid w:val="00BF1B72"/>
    <w:rsid w:val="00BF4B38"/>
    <w:rsid w:val="00C011BE"/>
    <w:rsid w:val="00C013C6"/>
    <w:rsid w:val="00C03670"/>
    <w:rsid w:val="00C03D59"/>
    <w:rsid w:val="00C04809"/>
    <w:rsid w:val="00C05161"/>
    <w:rsid w:val="00C077DE"/>
    <w:rsid w:val="00C07C8A"/>
    <w:rsid w:val="00C1021E"/>
    <w:rsid w:val="00C12E0B"/>
    <w:rsid w:val="00C1524D"/>
    <w:rsid w:val="00C15C62"/>
    <w:rsid w:val="00C15D19"/>
    <w:rsid w:val="00C172F9"/>
    <w:rsid w:val="00C17F7C"/>
    <w:rsid w:val="00C20975"/>
    <w:rsid w:val="00C21B6D"/>
    <w:rsid w:val="00C21F55"/>
    <w:rsid w:val="00C22039"/>
    <w:rsid w:val="00C221EC"/>
    <w:rsid w:val="00C236BE"/>
    <w:rsid w:val="00C24999"/>
    <w:rsid w:val="00C25329"/>
    <w:rsid w:val="00C257A8"/>
    <w:rsid w:val="00C26321"/>
    <w:rsid w:val="00C26585"/>
    <w:rsid w:val="00C27D7B"/>
    <w:rsid w:val="00C30153"/>
    <w:rsid w:val="00C31ED2"/>
    <w:rsid w:val="00C33D4D"/>
    <w:rsid w:val="00C3466A"/>
    <w:rsid w:val="00C348AC"/>
    <w:rsid w:val="00C36EB3"/>
    <w:rsid w:val="00C377AD"/>
    <w:rsid w:val="00C40B21"/>
    <w:rsid w:val="00C42D35"/>
    <w:rsid w:val="00C43210"/>
    <w:rsid w:val="00C43471"/>
    <w:rsid w:val="00C43B61"/>
    <w:rsid w:val="00C443FC"/>
    <w:rsid w:val="00C45031"/>
    <w:rsid w:val="00C450B9"/>
    <w:rsid w:val="00C454D8"/>
    <w:rsid w:val="00C45E6A"/>
    <w:rsid w:val="00C46A08"/>
    <w:rsid w:val="00C47BCF"/>
    <w:rsid w:val="00C51A58"/>
    <w:rsid w:val="00C53274"/>
    <w:rsid w:val="00C5363A"/>
    <w:rsid w:val="00C549C2"/>
    <w:rsid w:val="00C55002"/>
    <w:rsid w:val="00C55B17"/>
    <w:rsid w:val="00C604B9"/>
    <w:rsid w:val="00C64809"/>
    <w:rsid w:val="00C64946"/>
    <w:rsid w:val="00C6553D"/>
    <w:rsid w:val="00C66172"/>
    <w:rsid w:val="00C67B0D"/>
    <w:rsid w:val="00C7421B"/>
    <w:rsid w:val="00C77269"/>
    <w:rsid w:val="00C812F4"/>
    <w:rsid w:val="00C82896"/>
    <w:rsid w:val="00C82F08"/>
    <w:rsid w:val="00C84728"/>
    <w:rsid w:val="00C8512A"/>
    <w:rsid w:val="00C861A3"/>
    <w:rsid w:val="00C866C2"/>
    <w:rsid w:val="00C87B1A"/>
    <w:rsid w:val="00C90DCE"/>
    <w:rsid w:val="00C9170C"/>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7909"/>
    <w:rsid w:val="00CB1A82"/>
    <w:rsid w:val="00CB2F8A"/>
    <w:rsid w:val="00CB2FFA"/>
    <w:rsid w:val="00CB4AD6"/>
    <w:rsid w:val="00CB4EB6"/>
    <w:rsid w:val="00CB4F93"/>
    <w:rsid w:val="00CB4FD8"/>
    <w:rsid w:val="00CB508C"/>
    <w:rsid w:val="00CB774F"/>
    <w:rsid w:val="00CC2E6F"/>
    <w:rsid w:val="00CC2F8A"/>
    <w:rsid w:val="00CC3645"/>
    <w:rsid w:val="00CC40BA"/>
    <w:rsid w:val="00CC7C12"/>
    <w:rsid w:val="00CD1226"/>
    <w:rsid w:val="00CD18A2"/>
    <w:rsid w:val="00CD1CC5"/>
    <w:rsid w:val="00CD4E86"/>
    <w:rsid w:val="00CD5053"/>
    <w:rsid w:val="00CE195C"/>
    <w:rsid w:val="00CE41D0"/>
    <w:rsid w:val="00CE611A"/>
    <w:rsid w:val="00CE73B3"/>
    <w:rsid w:val="00CF243B"/>
    <w:rsid w:val="00CF2519"/>
    <w:rsid w:val="00CF2BB6"/>
    <w:rsid w:val="00CF42A0"/>
    <w:rsid w:val="00CF75CC"/>
    <w:rsid w:val="00D011C2"/>
    <w:rsid w:val="00D01C13"/>
    <w:rsid w:val="00D02029"/>
    <w:rsid w:val="00D029D5"/>
    <w:rsid w:val="00D02EA2"/>
    <w:rsid w:val="00D034B5"/>
    <w:rsid w:val="00D046B9"/>
    <w:rsid w:val="00D04DF4"/>
    <w:rsid w:val="00D04F80"/>
    <w:rsid w:val="00D06CDB"/>
    <w:rsid w:val="00D0741E"/>
    <w:rsid w:val="00D07B12"/>
    <w:rsid w:val="00D132DC"/>
    <w:rsid w:val="00D13A6C"/>
    <w:rsid w:val="00D13F7A"/>
    <w:rsid w:val="00D142B6"/>
    <w:rsid w:val="00D167E7"/>
    <w:rsid w:val="00D20E19"/>
    <w:rsid w:val="00D231A6"/>
    <w:rsid w:val="00D26873"/>
    <w:rsid w:val="00D26D6F"/>
    <w:rsid w:val="00D30138"/>
    <w:rsid w:val="00D30FDF"/>
    <w:rsid w:val="00D31875"/>
    <w:rsid w:val="00D3196A"/>
    <w:rsid w:val="00D31CC6"/>
    <w:rsid w:val="00D32F83"/>
    <w:rsid w:val="00D3361E"/>
    <w:rsid w:val="00D3468A"/>
    <w:rsid w:val="00D355BD"/>
    <w:rsid w:val="00D35660"/>
    <w:rsid w:val="00D36770"/>
    <w:rsid w:val="00D36946"/>
    <w:rsid w:val="00D37F91"/>
    <w:rsid w:val="00D40CAF"/>
    <w:rsid w:val="00D41C1F"/>
    <w:rsid w:val="00D42053"/>
    <w:rsid w:val="00D4208A"/>
    <w:rsid w:val="00D427D6"/>
    <w:rsid w:val="00D458D3"/>
    <w:rsid w:val="00D47630"/>
    <w:rsid w:val="00D50502"/>
    <w:rsid w:val="00D507FB"/>
    <w:rsid w:val="00D51EB9"/>
    <w:rsid w:val="00D52571"/>
    <w:rsid w:val="00D526E9"/>
    <w:rsid w:val="00D52E8A"/>
    <w:rsid w:val="00D5372A"/>
    <w:rsid w:val="00D55565"/>
    <w:rsid w:val="00D559B2"/>
    <w:rsid w:val="00D55F56"/>
    <w:rsid w:val="00D56470"/>
    <w:rsid w:val="00D57273"/>
    <w:rsid w:val="00D576DF"/>
    <w:rsid w:val="00D57F3C"/>
    <w:rsid w:val="00D60256"/>
    <w:rsid w:val="00D6078F"/>
    <w:rsid w:val="00D63335"/>
    <w:rsid w:val="00D63D95"/>
    <w:rsid w:val="00D661DD"/>
    <w:rsid w:val="00D70018"/>
    <w:rsid w:val="00D72599"/>
    <w:rsid w:val="00D72882"/>
    <w:rsid w:val="00D7339B"/>
    <w:rsid w:val="00D740DF"/>
    <w:rsid w:val="00D75D0E"/>
    <w:rsid w:val="00D7681F"/>
    <w:rsid w:val="00D77AC3"/>
    <w:rsid w:val="00D77D8D"/>
    <w:rsid w:val="00D815C2"/>
    <w:rsid w:val="00D81FDE"/>
    <w:rsid w:val="00D83585"/>
    <w:rsid w:val="00D83AC2"/>
    <w:rsid w:val="00D8486D"/>
    <w:rsid w:val="00D85536"/>
    <w:rsid w:val="00D85A6D"/>
    <w:rsid w:val="00D902D1"/>
    <w:rsid w:val="00D91B77"/>
    <w:rsid w:val="00D97BE0"/>
    <w:rsid w:val="00DA0D9D"/>
    <w:rsid w:val="00DA1BF4"/>
    <w:rsid w:val="00DA4061"/>
    <w:rsid w:val="00DA5485"/>
    <w:rsid w:val="00DB0788"/>
    <w:rsid w:val="00DB28F1"/>
    <w:rsid w:val="00DB3955"/>
    <w:rsid w:val="00DB457A"/>
    <w:rsid w:val="00DB491F"/>
    <w:rsid w:val="00DB4C6E"/>
    <w:rsid w:val="00DB513B"/>
    <w:rsid w:val="00DB5975"/>
    <w:rsid w:val="00DC09C1"/>
    <w:rsid w:val="00DC2A75"/>
    <w:rsid w:val="00DC2B12"/>
    <w:rsid w:val="00DC2DD6"/>
    <w:rsid w:val="00DC315B"/>
    <w:rsid w:val="00DC37EE"/>
    <w:rsid w:val="00DC53FC"/>
    <w:rsid w:val="00DC5FC2"/>
    <w:rsid w:val="00DD064F"/>
    <w:rsid w:val="00DD0FEE"/>
    <w:rsid w:val="00DD1862"/>
    <w:rsid w:val="00DD19A5"/>
    <w:rsid w:val="00DD2243"/>
    <w:rsid w:val="00DD2420"/>
    <w:rsid w:val="00DD2477"/>
    <w:rsid w:val="00DD37B3"/>
    <w:rsid w:val="00DD4977"/>
    <w:rsid w:val="00DD4ADD"/>
    <w:rsid w:val="00DD66C5"/>
    <w:rsid w:val="00DD7575"/>
    <w:rsid w:val="00DE0050"/>
    <w:rsid w:val="00DE00C3"/>
    <w:rsid w:val="00DE0627"/>
    <w:rsid w:val="00DE126B"/>
    <w:rsid w:val="00DE2A56"/>
    <w:rsid w:val="00DE305D"/>
    <w:rsid w:val="00DE4CDC"/>
    <w:rsid w:val="00DE65FD"/>
    <w:rsid w:val="00DF06C2"/>
    <w:rsid w:val="00DF0DD2"/>
    <w:rsid w:val="00DF1292"/>
    <w:rsid w:val="00DF2C21"/>
    <w:rsid w:val="00DF7B20"/>
    <w:rsid w:val="00E00B0E"/>
    <w:rsid w:val="00E0581B"/>
    <w:rsid w:val="00E05A68"/>
    <w:rsid w:val="00E05BB4"/>
    <w:rsid w:val="00E077EB"/>
    <w:rsid w:val="00E077F9"/>
    <w:rsid w:val="00E1002A"/>
    <w:rsid w:val="00E10A83"/>
    <w:rsid w:val="00E10C5E"/>
    <w:rsid w:val="00E11C32"/>
    <w:rsid w:val="00E1201E"/>
    <w:rsid w:val="00E132C4"/>
    <w:rsid w:val="00E14133"/>
    <w:rsid w:val="00E14763"/>
    <w:rsid w:val="00E14F42"/>
    <w:rsid w:val="00E1655E"/>
    <w:rsid w:val="00E174AA"/>
    <w:rsid w:val="00E21050"/>
    <w:rsid w:val="00E2195B"/>
    <w:rsid w:val="00E22074"/>
    <w:rsid w:val="00E2371C"/>
    <w:rsid w:val="00E25EC6"/>
    <w:rsid w:val="00E26321"/>
    <w:rsid w:val="00E273DC"/>
    <w:rsid w:val="00E304F7"/>
    <w:rsid w:val="00E30B6A"/>
    <w:rsid w:val="00E32D56"/>
    <w:rsid w:val="00E346CA"/>
    <w:rsid w:val="00E3537F"/>
    <w:rsid w:val="00E35C95"/>
    <w:rsid w:val="00E361B1"/>
    <w:rsid w:val="00E36A29"/>
    <w:rsid w:val="00E36CDF"/>
    <w:rsid w:val="00E36D40"/>
    <w:rsid w:val="00E36E54"/>
    <w:rsid w:val="00E3702A"/>
    <w:rsid w:val="00E372CF"/>
    <w:rsid w:val="00E41D5B"/>
    <w:rsid w:val="00E42371"/>
    <w:rsid w:val="00E4490C"/>
    <w:rsid w:val="00E45580"/>
    <w:rsid w:val="00E4772C"/>
    <w:rsid w:val="00E5014A"/>
    <w:rsid w:val="00E50391"/>
    <w:rsid w:val="00E5147F"/>
    <w:rsid w:val="00E51792"/>
    <w:rsid w:val="00E53865"/>
    <w:rsid w:val="00E54713"/>
    <w:rsid w:val="00E55211"/>
    <w:rsid w:val="00E55CFB"/>
    <w:rsid w:val="00E56404"/>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749C5"/>
    <w:rsid w:val="00E76859"/>
    <w:rsid w:val="00E77387"/>
    <w:rsid w:val="00E777AA"/>
    <w:rsid w:val="00E80D83"/>
    <w:rsid w:val="00E81C77"/>
    <w:rsid w:val="00E8311A"/>
    <w:rsid w:val="00E8489A"/>
    <w:rsid w:val="00E85199"/>
    <w:rsid w:val="00E85BC9"/>
    <w:rsid w:val="00E86916"/>
    <w:rsid w:val="00E87419"/>
    <w:rsid w:val="00E908AC"/>
    <w:rsid w:val="00E90E98"/>
    <w:rsid w:val="00E92E98"/>
    <w:rsid w:val="00E94903"/>
    <w:rsid w:val="00E95DCD"/>
    <w:rsid w:val="00EA0FDA"/>
    <w:rsid w:val="00EA3C04"/>
    <w:rsid w:val="00EA500A"/>
    <w:rsid w:val="00EA5761"/>
    <w:rsid w:val="00EA5B03"/>
    <w:rsid w:val="00EA6519"/>
    <w:rsid w:val="00EA724D"/>
    <w:rsid w:val="00EA7DD2"/>
    <w:rsid w:val="00EB0475"/>
    <w:rsid w:val="00EB102C"/>
    <w:rsid w:val="00EB1368"/>
    <w:rsid w:val="00EB2E4B"/>
    <w:rsid w:val="00EB369A"/>
    <w:rsid w:val="00EB5E31"/>
    <w:rsid w:val="00EB60F8"/>
    <w:rsid w:val="00EB6709"/>
    <w:rsid w:val="00EB6DD1"/>
    <w:rsid w:val="00EB794C"/>
    <w:rsid w:val="00EC2321"/>
    <w:rsid w:val="00EC30D0"/>
    <w:rsid w:val="00EC30FC"/>
    <w:rsid w:val="00EC3D9F"/>
    <w:rsid w:val="00EC5107"/>
    <w:rsid w:val="00EC7124"/>
    <w:rsid w:val="00EC7A62"/>
    <w:rsid w:val="00ED09CD"/>
    <w:rsid w:val="00ED2D63"/>
    <w:rsid w:val="00ED3DDB"/>
    <w:rsid w:val="00ED4518"/>
    <w:rsid w:val="00ED4AF1"/>
    <w:rsid w:val="00EE2C70"/>
    <w:rsid w:val="00EE3812"/>
    <w:rsid w:val="00EE3D5C"/>
    <w:rsid w:val="00EE4E1A"/>
    <w:rsid w:val="00EE5AD0"/>
    <w:rsid w:val="00EE5E96"/>
    <w:rsid w:val="00EE6EEC"/>
    <w:rsid w:val="00EE7961"/>
    <w:rsid w:val="00EE7991"/>
    <w:rsid w:val="00EF0503"/>
    <w:rsid w:val="00EF0908"/>
    <w:rsid w:val="00EF1432"/>
    <w:rsid w:val="00EF418B"/>
    <w:rsid w:val="00EF611E"/>
    <w:rsid w:val="00EF73DA"/>
    <w:rsid w:val="00EF78DF"/>
    <w:rsid w:val="00F005C9"/>
    <w:rsid w:val="00F009C6"/>
    <w:rsid w:val="00F01374"/>
    <w:rsid w:val="00F03B1B"/>
    <w:rsid w:val="00F0614C"/>
    <w:rsid w:val="00F06856"/>
    <w:rsid w:val="00F07757"/>
    <w:rsid w:val="00F1181F"/>
    <w:rsid w:val="00F12215"/>
    <w:rsid w:val="00F12A8A"/>
    <w:rsid w:val="00F12E98"/>
    <w:rsid w:val="00F13AB5"/>
    <w:rsid w:val="00F13C23"/>
    <w:rsid w:val="00F14578"/>
    <w:rsid w:val="00F15FE2"/>
    <w:rsid w:val="00F21586"/>
    <w:rsid w:val="00F2591B"/>
    <w:rsid w:val="00F25DB3"/>
    <w:rsid w:val="00F31C66"/>
    <w:rsid w:val="00F321DD"/>
    <w:rsid w:val="00F32D66"/>
    <w:rsid w:val="00F33D16"/>
    <w:rsid w:val="00F3589E"/>
    <w:rsid w:val="00F3627D"/>
    <w:rsid w:val="00F42D66"/>
    <w:rsid w:val="00F442D7"/>
    <w:rsid w:val="00F45205"/>
    <w:rsid w:val="00F45A48"/>
    <w:rsid w:val="00F4640B"/>
    <w:rsid w:val="00F47DBC"/>
    <w:rsid w:val="00F502FB"/>
    <w:rsid w:val="00F50E4F"/>
    <w:rsid w:val="00F51CB6"/>
    <w:rsid w:val="00F5209D"/>
    <w:rsid w:val="00F54C10"/>
    <w:rsid w:val="00F54D66"/>
    <w:rsid w:val="00F54FB1"/>
    <w:rsid w:val="00F55FEB"/>
    <w:rsid w:val="00F5671E"/>
    <w:rsid w:val="00F571CD"/>
    <w:rsid w:val="00F60337"/>
    <w:rsid w:val="00F604C7"/>
    <w:rsid w:val="00F60A9A"/>
    <w:rsid w:val="00F6108E"/>
    <w:rsid w:val="00F61766"/>
    <w:rsid w:val="00F625BE"/>
    <w:rsid w:val="00F676F8"/>
    <w:rsid w:val="00F67BEA"/>
    <w:rsid w:val="00F700EE"/>
    <w:rsid w:val="00F70615"/>
    <w:rsid w:val="00F7131E"/>
    <w:rsid w:val="00F73697"/>
    <w:rsid w:val="00F7396D"/>
    <w:rsid w:val="00F752DF"/>
    <w:rsid w:val="00F759D9"/>
    <w:rsid w:val="00F766BD"/>
    <w:rsid w:val="00F81B82"/>
    <w:rsid w:val="00F81F64"/>
    <w:rsid w:val="00F824BE"/>
    <w:rsid w:val="00F82AF9"/>
    <w:rsid w:val="00F8390C"/>
    <w:rsid w:val="00F83B48"/>
    <w:rsid w:val="00F864F7"/>
    <w:rsid w:val="00F90FE7"/>
    <w:rsid w:val="00F913D0"/>
    <w:rsid w:val="00F94F10"/>
    <w:rsid w:val="00F95D7E"/>
    <w:rsid w:val="00F960BF"/>
    <w:rsid w:val="00F96B09"/>
    <w:rsid w:val="00F96E76"/>
    <w:rsid w:val="00F97AD0"/>
    <w:rsid w:val="00FA04D7"/>
    <w:rsid w:val="00FA10E4"/>
    <w:rsid w:val="00FA25C0"/>
    <w:rsid w:val="00FA2C7B"/>
    <w:rsid w:val="00FA313F"/>
    <w:rsid w:val="00FA44C1"/>
    <w:rsid w:val="00FA4633"/>
    <w:rsid w:val="00FA4A17"/>
    <w:rsid w:val="00FA4C9D"/>
    <w:rsid w:val="00FA521D"/>
    <w:rsid w:val="00FA7EAB"/>
    <w:rsid w:val="00FB2605"/>
    <w:rsid w:val="00FB26B4"/>
    <w:rsid w:val="00FB4474"/>
    <w:rsid w:val="00FB7CCF"/>
    <w:rsid w:val="00FC227A"/>
    <w:rsid w:val="00FC313E"/>
    <w:rsid w:val="00FC3208"/>
    <w:rsid w:val="00FC57A8"/>
    <w:rsid w:val="00FC5E01"/>
    <w:rsid w:val="00FC6103"/>
    <w:rsid w:val="00FC6B18"/>
    <w:rsid w:val="00FD07D3"/>
    <w:rsid w:val="00FD2A78"/>
    <w:rsid w:val="00FD32BC"/>
    <w:rsid w:val="00FD46B1"/>
    <w:rsid w:val="00FD50BC"/>
    <w:rsid w:val="00FD5DD0"/>
    <w:rsid w:val="00FD6E31"/>
    <w:rsid w:val="00FE1E69"/>
    <w:rsid w:val="00FE2519"/>
    <w:rsid w:val="00FE2B55"/>
    <w:rsid w:val="00FE4ED4"/>
    <w:rsid w:val="00FE6CB4"/>
    <w:rsid w:val="00FE71B4"/>
    <w:rsid w:val="00FE7671"/>
    <w:rsid w:val="00FE79BF"/>
    <w:rsid w:val="00FE7ED9"/>
    <w:rsid w:val="00FF00FC"/>
    <w:rsid w:val="00FF0805"/>
    <w:rsid w:val="00FF315D"/>
    <w:rsid w:val="00FF352D"/>
    <w:rsid w:val="00FF49D9"/>
    <w:rsid w:val="00FF6873"/>
    <w:rsid w:val="010550DD"/>
    <w:rsid w:val="020C3215"/>
    <w:rsid w:val="0DA76EF7"/>
    <w:rsid w:val="0F5A7EF5"/>
    <w:rsid w:val="10B61AF9"/>
    <w:rsid w:val="197E2E13"/>
    <w:rsid w:val="1EB23894"/>
    <w:rsid w:val="24257BFD"/>
    <w:rsid w:val="27156329"/>
    <w:rsid w:val="2A3F6DCB"/>
    <w:rsid w:val="2BCB4E87"/>
    <w:rsid w:val="2C066061"/>
    <w:rsid w:val="2D9D11C8"/>
    <w:rsid w:val="3013205B"/>
    <w:rsid w:val="30361475"/>
    <w:rsid w:val="326E468C"/>
    <w:rsid w:val="33701023"/>
    <w:rsid w:val="337B1A67"/>
    <w:rsid w:val="33C15BE0"/>
    <w:rsid w:val="384B24CE"/>
    <w:rsid w:val="399563E3"/>
    <w:rsid w:val="3DDC7F8B"/>
    <w:rsid w:val="3E217B1B"/>
    <w:rsid w:val="40751C9F"/>
    <w:rsid w:val="407E44CB"/>
    <w:rsid w:val="42857728"/>
    <w:rsid w:val="437D2DD8"/>
    <w:rsid w:val="44F77FF8"/>
    <w:rsid w:val="46E10BF3"/>
    <w:rsid w:val="474546EB"/>
    <w:rsid w:val="4D95357E"/>
    <w:rsid w:val="4E05412E"/>
    <w:rsid w:val="4EBE0E61"/>
    <w:rsid w:val="50017CAB"/>
    <w:rsid w:val="56A85281"/>
    <w:rsid w:val="57722EBB"/>
    <w:rsid w:val="57AD1090"/>
    <w:rsid w:val="5BDB79D6"/>
    <w:rsid w:val="60A83866"/>
    <w:rsid w:val="65DC0272"/>
    <w:rsid w:val="6AF712BC"/>
    <w:rsid w:val="6D302958"/>
    <w:rsid w:val="6D8C4A9A"/>
    <w:rsid w:val="6DF74CFB"/>
    <w:rsid w:val="6F107FC5"/>
    <w:rsid w:val="730A6DE6"/>
    <w:rsid w:val="755E70D0"/>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99" w:semiHidden="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3"/>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uiPriority w:val="1"/>
  </w:style>
  <w:style w:type="table" w:default="1" w:styleId="12">
    <w:name w:val="Normal Table"/>
    <w:semiHidden/>
    <w:unhideWhenUsed/>
    <w:uiPriority w:val="99"/>
    <w:tblPr>
      <w:tblLayout w:type="fixed"/>
      <w:tblCellMar>
        <w:top w:w="0" w:type="dxa"/>
        <w:left w:w="108" w:type="dxa"/>
        <w:bottom w:w="0" w:type="dxa"/>
        <w:right w:w="108" w:type="dxa"/>
      </w:tblCellMar>
    </w:tblPr>
  </w:style>
  <w:style w:type="paragraph" w:styleId="3">
    <w:name w:val="annotation subject"/>
    <w:basedOn w:val="4"/>
    <w:next w:val="4"/>
    <w:link w:val="15"/>
    <w:qFormat/>
    <w:uiPriority w:val="0"/>
    <w:rPr>
      <w:b/>
      <w:bCs/>
    </w:rPr>
  </w:style>
  <w:style w:type="paragraph" w:styleId="4">
    <w:name w:val="annotation text"/>
    <w:basedOn w:val="1"/>
    <w:link w:val="14"/>
    <w:qFormat/>
    <w:uiPriority w:val="0"/>
    <w:pPr>
      <w:jc w:val="left"/>
    </w:pPr>
  </w:style>
  <w:style w:type="paragraph" w:styleId="5">
    <w:name w:val="Balloon Text"/>
    <w:basedOn w:val="1"/>
    <w:link w:val="16"/>
    <w:qFormat/>
    <w:uiPriority w:val="0"/>
    <w:rPr>
      <w:sz w:val="18"/>
      <w:szCs w:val="18"/>
    </w:rPr>
  </w:style>
  <w:style w:type="paragraph" w:styleId="6">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7">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paragraph" w:styleId="8">
    <w:name w:val="HTML Preformatted"/>
    <w:basedOn w:val="1"/>
    <w:link w:val="20"/>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character" w:styleId="10">
    <w:name w:val="Strong"/>
    <w:basedOn w:val="9"/>
    <w:qFormat/>
    <w:uiPriority w:val="0"/>
    <w:rPr>
      <w:b/>
      <w:bCs/>
    </w:rPr>
  </w:style>
  <w:style w:type="character" w:styleId="11">
    <w:name w:val="annotation reference"/>
    <w:basedOn w:val="9"/>
    <w:uiPriority w:val="0"/>
    <w:rPr>
      <w:sz w:val="21"/>
      <w:szCs w:val="21"/>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4">
    <w:name w:val="批注文字 字符"/>
    <w:basedOn w:val="9"/>
    <w:link w:val="4"/>
    <w:uiPriority w:val="0"/>
    <w:rPr>
      <w:kern w:val="2"/>
      <w:sz w:val="21"/>
      <w:szCs w:val="24"/>
    </w:rPr>
  </w:style>
  <w:style w:type="character" w:customStyle="1" w:styleId="15">
    <w:name w:val="批注主题 字符"/>
    <w:basedOn w:val="14"/>
    <w:link w:val="3"/>
    <w:qFormat/>
    <w:uiPriority w:val="0"/>
    <w:rPr>
      <w:b/>
      <w:bCs/>
      <w:kern w:val="2"/>
      <w:sz w:val="21"/>
      <w:szCs w:val="24"/>
    </w:rPr>
  </w:style>
  <w:style w:type="character" w:customStyle="1" w:styleId="16">
    <w:name w:val="批注框文本 字符"/>
    <w:basedOn w:val="9"/>
    <w:link w:val="5"/>
    <w:qFormat/>
    <w:uiPriority w:val="0"/>
    <w:rPr>
      <w:kern w:val="2"/>
      <w:sz w:val="18"/>
      <w:szCs w:val="18"/>
    </w:rPr>
  </w:style>
  <w:style w:type="paragraph" w:customStyle="1" w:styleId="17">
    <w:name w:val="修订1"/>
    <w:hidden/>
    <w:semiHidden/>
    <w:qFormat/>
    <w:uiPriority w:val="99"/>
    <w:rPr>
      <w:rFonts w:ascii="Times New Roman" w:hAnsi="Times New Roman" w:eastAsia="宋体" w:cs="Times New Roman"/>
      <w:kern w:val="2"/>
      <w:sz w:val="21"/>
      <w:szCs w:val="24"/>
      <w:lang w:val="en-US" w:eastAsia="zh-CN" w:bidi="ar-SA"/>
    </w:rPr>
  </w:style>
  <w:style w:type="paragraph" w:styleId="18">
    <w:name w:val="List Paragraph"/>
    <w:basedOn w:val="1"/>
    <w:uiPriority w:val="99"/>
    <w:pPr>
      <w:ind w:firstLine="420" w:firstLineChars="200"/>
    </w:pPr>
  </w:style>
  <w:style w:type="character" w:customStyle="1" w:styleId="19">
    <w:name w:val="页眉 字符"/>
    <w:basedOn w:val="9"/>
    <w:link w:val="7"/>
    <w:qFormat/>
    <w:uiPriority w:val="0"/>
    <w:rPr>
      <w:kern w:val="2"/>
      <w:sz w:val="18"/>
      <w:szCs w:val="18"/>
    </w:rPr>
  </w:style>
  <w:style w:type="character" w:customStyle="1" w:styleId="20">
    <w:name w:val="HTML 预设格式 字符"/>
    <w:basedOn w:val="9"/>
    <w:link w:val="8"/>
    <w:uiPriority w:val="99"/>
    <w:rPr>
      <w:rFonts w:ascii="宋体" w:hAnsi="宋体"/>
      <w:sz w:val="24"/>
      <w:szCs w:val="24"/>
    </w:rPr>
  </w:style>
  <w:style w:type="character" w:customStyle="1" w:styleId="21">
    <w:name w:val="name"/>
    <w:basedOn w:val="9"/>
    <w:uiPriority w:val="0"/>
  </w:style>
  <w:style w:type="table" w:customStyle="1" w:styleId="22">
    <w:name w:val="网格型1"/>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3">
    <w:name w:val="标题 1 字符"/>
    <w:basedOn w:val="9"/>
    <w:link w:val="2"/>
    <w:qFormat/>
    <w:uiPriority w:val="0"/>
    <w:rPr>
      <w:b/>
      <w:bCs/>
      <w:kern w:val="44"/>
      <w:sz w:val="44"/>
      <w:szCs w:val="44"/>
    </w:rPr>
  </w:style>
  <w:style w:type="paragraph" w:customStyle="1" w:styleId="24">
    <w:name w:val="修订2"/>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00EE17-9281-424F-AD5B-06F9E514D7E3}">
  <ds:schemaRefs/>
</ds:datastoreItem>
</file>

<file path=docProps/app.xml><?xml version="1.0" encoding="utf-8"?>
<Properties xmlns="http://schemas.openxmlformats.org/officeDocument/2006/extended-properties" xmlns:vt="http://schemas.openxmlformats.org/officeDocument/2006/docPropsVTypes">
  <Template>Normal.dotm</Template>
  <Manager>海哥</Manager>
  <Company>喀什跃达共创信息技术有限责任公司</Company>
  <Pages>3</Pages>
  <Words>2231</Words>
  <Characters>12719</Characters>
  <Lines>105</Lines>
  <Paragraphs>29</Paragraphs>
  <TotalTime>2955</TotalTime>
  <ScaleCrop>false</ScaleCrop>
  <LinksUpToDate>false</LinksUpToDate>
  <CharactersWithSpaces>14921</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word文档</cp:category>
  <dcterms:created xsi:type="dcterms:W3CDTF">2024-03-27T11:20:00Z</dcterms:created>
  <dc:creator>海哥</dc:creator>
  <dc:description>2024年预算公开报告</dc:description>
  <cp:keywords>2024年预算公开报告</cp:keywords>
  <cp:lastModifiedBy>Administrator</cp:lastModifiedBy>
  <dcterms:modified xsi:type="dcterms:W3CDTF">2026-02-12T04:17:39Z</dcterms:modified>
  <dc:subject>预算公开报告</dc:subject>
  <dc:title>预算公开报告</dc:title>
  <cp:revision>32767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y fmtid="{D5CDD505-2E9C-101B-9397-08002B2CF9AE}" pid="3" name="ICV">
    <vt:lpwstr>1B91C5EB150743FC93A8AD9CE8312A8A</vt:lpwstr>
  </property>
</Properties>
</file>