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rPr>
          <w:rFonts w:hint="eastAsia" w:ascii="宋体" w:hAnsi="宋体"/>
          <w:b/>
          <w:kern w:val="0"/>
          <w:sz w:val="44"/>
          <w:szCs w:val="44"/>
        </w:rPr>
      </w:pPr>
    </w:p>
    <w:p>
      <w:pPr>
        <w:widowControl/>
        <w:spacing w:before="100" w:beforeAutospacing="1" w:after="100" w:afterAutospacing="1"/>
        <w:jc w:val="center"/>
        <w:outlineLvl w:val="0"/>
        <w:rPr>
          <w:rFonts w:hint="eastAsia" w:ascii="宋体" w:hAnsi="宋体"/>
          <w:b/>
          <w:kern w:val="0"/>
          <w:sz w:val="44"/>
          <w:szCs w:val="44"/>
        </w:rPr>
      </w:pPr>
      <w:r>
        <w:rPr>
          <w:rFonts w:hint="eastAsia" w:ascii="方正小标宋_GBK" w:hAnsi="宋体" w:eastAsia="方正小标宋_GBK"/>
          <w:kern w:val="0"/>
          <w:sz w:val="44"/>
          <w:szCs w:val="44"/>
        </w:rPr>
        <w:t>新疆维吾尔自治区喀什地区麦盖提县第十一幼儿园</w:t>
      </w:r>
      <w:r>
        <w:rPr>
          <w:rFonts w:hint="eastAsia" w:ascii="方正小标宋_GBK" w:hAnsi="宋体" w:eastAsia="方正小标宋_GBK"/>
          <w:kern w:val="0"/>
          <w:sz w:val="44"/>
          <w:szCs w:val="44"/>
          <w:lang w:eastAsia="zh-CN"/>
        </w:rPr>
        <w:t>2026</w:t>
      </w:r>
      <w:r>
        <w:rPr>
          <w:rFonts w:hint="eastAsia" w:ascii="方正小标宋_GBK" w:hAnsi="宋体" w:eastAsia="方正小标宋_GBK"/>
          <w:kern w:val="0"/>
          <w:sz w:val="44"/>
          <w:szCs w:val="44"/>
        </w:rPr>
        <w:t>年部门预算公开</w:t>
      </w:r>
    </w:p>
    <w:p>
      <w:pPr>
        <w:widowControl/>
        <w:jc w:val="left"/>
        <w:rPr>
          <w:rFonts w:hint="eastAsia" w:ascii="黑体" w:hAnsi="黑体" w:eastAsia="黑体" w:cs="黑体"/>
          <w:kern w:val="0"/>
          <w:sz w:val="32"/>
          <w:szCs w:val="32"/>
        </w:rPr>
      </w:pPr>
      <w:r>
        <w:rPr>
          <w:rFonts w:hint="eastAsia" w:ascii="黑体" w:hAnsi="黑体" w:eastAsia="黑体" w:cs="黑体"/>
          <w:kern w:val="0"/>
          <w:sz w:val="32"/>
          <w:szCs w:val="32"/>
        </w:rPr>
        <w:br w:type="page"/>
      </w:r>
    </w:p>
    <w:p>
      <w:pPr>
        <w:spacing w:line="600" w:lineRule="exact"/>
        <w:jc w:val="center"/>
        <w:rPr>
          <w:rFonts w:hint="eastAsia" w:ascii="黑体" w:hAnsi="黑体" w:eastAsia="黑体" w:cs="黑体"/>
          <w:kern w:val="0"/>
          <w:sz w:val="32"/>
          <w:szCs w:val="32"/>
        </w:rPr>
      </w:pPr>
      <w:r>
        <w:rPr>
          <w:rFonts w:hint="eastAsia" w:ascii="黑体" w:hAnsi="黑体" w:eastAsia="黑体" w:cs="黑体"/>
          <w:kern w:val="0"/>
          <w:sz w:val="32"/>
          <w:szCs w:val="32"/>
        </w:rPr>
        <w:t>目 录</w:t>
      </w:r>
    </w:p>
    <w:p>
      <w:pPr>
        <w:jc w:val="center"/>
        <w:rPr>
          <w:sz w:val="36"/>
          <w:szCs w:val="36"/>
        </w:rPr>
      </w:pP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第一部分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年部门概况</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一、主要职能</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二、机构设置及人员情况</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第二部分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年部门预算公开表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一、部门收支总体情况表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二、部门收入总体情况表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三、部门支出总体情况表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四、财政拨款收支预算总体情况表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五、一般公共预算支出情况表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六、一般公共预算基本支出情况表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七、一般公共预算项目支出情况表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八、政府性基金预算支出情况表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九、国有资本经营预算支出情况表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十、财政拨款“三公”经费支出情况表</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十一、上年结转结余情况明细表</w:t>
      </w:r>
    </w:p>
    <w:p>
      <w:pPr>
        <w:spacing w:line="600" w:lineRule="exact"/>
        <w:ind w:firstLine="643" w:firstLineChars="200"/>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 xml:space="preserve">第三部分 </w:t>
      </w:r>
      <w:r>
        <w:rPr>
          <w:rFonts w:hint="eastAsia" w:ascii="仿宋_GB2312" w:hAnsi="仿宋_GB2312" w:eastAsia="仿宋_GB2312" w:cs="仿宋_GB2312"/>
          <w:b/>
          <w:kern w:val="0"/>
          <w:sz w:val="32"/>
          <w:szCs w:val="32"/>
          <w:lang w:eastAsia="zh-CN"/>
        </w:rPr>
        <w:t>2026</w:t>
      </w:r>
      <w:r>
        <w:rPr>
          <w:rFonts w:hint="eastAsia" w:ascii="仿宋_GB2312" w:hAnsi="仿宋_GB2312" w:eastAsia="仿宋_GB2312" w:cs="仿宋_GB2312"/>
          <w:b/>
          <w:kern w:val="0"/>
          <w:sz w:val="32"/>
          <w:szCs w:val="32"/>
        </w:rPr>
        <w:t>年部门预算情况说明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一、关于新疆维吾尔自治区喀什地区麦盖提县第十一幼儿园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二、关于新疆维吾尔自治区喀什地区麦盖提县第十一幼儿园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年收入预算情况说明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三、关于新疆维吾尔自治区喀什地区麦盖提县第十一幼儿园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年支出预算情况说明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四、关于新疆维吾尔自治区喀什地区麦盖提县第十一幼儿园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年财政拨款收支预算情况的总体说明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五、关于新疆维吾尔自治区喀什地区麦盖提县第十一幼儿园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年一般公共预算当年拨款情况说明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六、关于新疆维吾尔自治区喀什地区麦盖提县第十一幼儿园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年一般公共预算基本支出情况说明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七、关于新疆维吾尔自治区喀什地区麦盖提县第十一幼儿园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年一般公共预算项目支出情况说明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八、关于新疆维吾尔自治区喀什地区麦盖提县第十一幼儿园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年政府性基金预算拨款情况说明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九、关于新疆维吾尔自治区喀什地区麦盖提县第十一幼儿园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年国有资本经营预算拨款情况说明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十、关于新疆维吾尔自治区喀什地区麦盖提县第十一幼儿园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年财政拨款“三公”经费预算情况说明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十一、关于</w:t>
      </w:r>
      <w:bookmarkStart w:id="0" w:name="_Hlk159862468"/>
      <w:r>
        <w:rPr>
          <w:rFonts w:hint="eastAsia" w:ascii="仿宋_GB2312" w:hAnsi="仿宋_GB2312" w:eastAsia="仿宋_GB2312" w:cs="仿宋_GB2312"/>
          <w:kern w:val="0"/>
          <w:sz w:val="32"/>
          <w:szCs w:val="32"/>
        </w:rPr>
        <w:t>新疆维吾尔自治区喀什地区</w:t>
      </w:r>
      <w:bookmarkEnd w:id="0"/>
      <w:r>
        <w:rPr>
          <w:rFonts w:hint="eastAsia" w:ascii="仿宋_GB2312" w:hAnsi="仿宋_GB2312" w:eastAsia="仿宋_GB2312" w:cs="仿宋_GB2312"/>
          <w:kern w:val="0"/>
          <w:sz w:val="32"/>
          <w:szCs w:val="32"/>
        </w:rPr>
        <w:t>麦盖提县第十一幼儿园</w:t>
      </w:r>
      <w:r>
        <w:rPr>
          <w:rFonts w:hint="eastAsia" w:ascii="仿宋_GB2312" w:hAnsi="仿宋_GB2312" w:eastAsia="仿宋_GB2312" w:cs="仿宋_GB2312"/>
          <w:kern w:val="0"/>
          <w:sz w:val="32"/>
          <w:szCs w:val="32"/>
          <w:lang w:eastAsia="zh-CN"/>
        </w:rPr>
        <w:t>2026</w:t>
      </w:r>
      <w:r>
        <w:rPr>
          <w:rFonts w:hint="eastAsia" w:ascii="仿宋_GB2312" w:hAnsi="仿宋_GB2312" w:eastAsia="仿宋_GB2312" w:cs="仿宋_GB2312"/>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十二、其他重要事项的情况说明</w:t>
      </w:r>
    </w:p>
    <w:p>
      <w:pPr>
        <w:widowControl/>
        <w:spacing w:line="540" w:lineRule="exact"/>
        <w:ind w:firstLine="643" w:firstLineChars="200"/>
        <w:rPr>
          <w:rFonts w:hint="eastAsia" w:ascii="仿宋_GB2312" w:hAnsi="宋体" w:eastAsia="仿宋_GB2312"/>
          <w:b/>
          <w:kern w:val="0"/>
          <w:sz w:val="32"/>
          <w:szCs w:val="32"/>
        </w:rPr>
      </w:pPr>
      <w:r>
        <w:rPr>
          <w:rFonts w:hint="eastAsia" w:ascii="仿宋_GB2312" w:hAnsi="仿宋_GB2312" w:eastAsia="仿宋_GB2312" w:cs="仿宋_GB2312"/>
          <w:b/>
          <w:kern w:val="0"/>
          <w:sz w:val="32"/>
          <w:szCs w:val="32"/>
        </w:rPr>
        <w:t>第四部分 名词解释</w:t>
      </w:r>
      <w:r>
        <w:rPr>
          <w:rFonts w:ascii="仿宋_GB2312" w:hAnsi="宋体" w:eastAsia="仿宋_GB2312"/>
          <w:b/>
          <w:kern w:val="0"/>
          <w:sz w:val="32"/>
          <w:szCs w:val="32"/>
        </w:rPr>
        <w:br w:type="page"/>
      </w:r>
    </w:p>
    <w:p>
      <w:pPr>
        <w:widowControl/>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第一部分 </w:t>
      </w:r>
      <w:bookmarkStart w:id="1" w:name="_Hlk155094649"/>
      <w:r>
        <w:rPr>
          <w:rFonts w:hint="eastAsia" w:ascii="黑体" w:hAnsi="黑体" w:eastAsia="黑体"/>
          <w:kern w:val="0"/>
          <w:sz w:val="32"/>
          <w:szCs w:val="32"/>
          <w:lang w:eastAsia="zh-CN"/>
        </w:rPr>
        <w:t>2026</w:t>
      </w:r>
      <w:r>
        <w:rPr>
          <w:rFonts w:hint="eastAsia" w:ascii="黑体" w:hAnsi="黑体" w:eastAsia="黑体"/>
          <w:kern w:val="0"/>
          <w:sz w:val="32"/>
          <w:szCs w:val="32"/>
        </w:rPr>
        <w:t>年</w:t>
      </w:r>
      <w:bookmarkEnd w:id="1"/>
      <w:r>
        <w:rPr>
          <w:rFonts w:hint="eastAsia" w:ascii="黑体" w:hAnsi="黑体" w:eastAsia="黑体"/>
          <w:kern w:val="0"/>
          <w:sz w:val="32"/>
          <w:szCs w:val="32"/>
        </w:rPr>
        <w:t>部门概况</w:t>
      </w:r>
    </w:p>
    <w:p>
      <w:pPr>
        <w:jc w:val="center"/>
        <w:rPr>
          <w:sz w:val="30"/>
          <w:szCs w:val="30"/>
        </w:rPr>
      </w:pP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一、</w:t>
      </w:r>
      <w:bookmarkStart w:id="2" w:name="_Hlk149153910"/>
      <w:r>
        <w:rPr>
          <w:rFonts w:hint="eastAsia" w:ascii="楷体_GB2312" w:hAnsi="楷体_GB2312" w:eastAsia="楷体_GB2312" w:cs="楷体_GB2312"/>
          <w:b/>
          <w:bCs/>
          <w:kern w:val="0"/>
          <w:sz w:val="32"/>
          <w:szCs w:val="32"/>
        </w:rPr>
        <w:t>主要职能</w:t>
      </w:r>
      <w:bookmarkEnd w:id="2"/>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1.负责贯彻党的教育方针，坚持民主管理，依法办园，执行上级主管部门的支持和决定，实行保育和教育相结合的原则，对幼儿实施德智体美诸方面全面发展的教育，促进其身心和发展，为家长解除后顾之忧，热忱为家长服务。</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2.尊重儿童的人格尊严和基本权利，尊重儿童身心发展的特点和规律，为儿童提供健康丰富的生活和活动环境，合理组织幼儿一日生活活动和其他活动，促进幼儿德智体美等和谐发展。</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3.严格执行幼儿园安全卫生保健制度，保证幼儿身心健康和生命安全，充分利用相应的资源优势，面向家长开展多种形式的早期教育宣传、指导等服务，促进家庭教育质量的不断提高。</w:t>
      </w:r>
    </w:p>
    <w:p>
      <w:pPr>
        <w:widowControl/>
        <w:spacing w:line="540" w:lineRule="exact"/>
        <w:ind w:firstLine="640"/>
        <w:jc w:val="left"/>
        <w:rPr>
          <w:rFonts w:hint="eastAsia" w:ascii="仿宋_GB2312" w:hAnsi="黑体" w:eastAsia="仿宋_GB2312" w:cs="宋体"/>
          <w:bCs/>
          <w:kern w:val="0"/>
          <w:sz w:val="32"/>
          <w:szCs w:val="32"/>
        </w:rPr>
      </w:pPr>
      <w:r>
        <w:rPr>
          <w:rFonts w:hint="eastAsia" w:ascii="仿宋_GB2312" w:hAnsi="黑体" w:eastAsia="仿宋_GB2312" w:cs="宋体"/>
          <w:bCs/>
          <w:kern w:val="0"/>
          <w:sz w:val="32"/>
          <w:szCs w:val="32"/>
        </w:rPr>
        <w:t>4.贯彻幼儿教育法规,传播科学教育理念，开展教育科学研究、培训师资。</w:t>
      </w:r>
    </w:p>
    <w:p>
      <w:pPr>
        <w:widowControl/>
        <w:spacing w:line="540" w:lineRule="exact"/>
        <w:ind w:firstLine="643" w:firstLineChars="200"/>
        <w:jc w:val="left"/>
        <w:outlineLvl w:val="2"/>
        <w:rPr>
          <w:rFonts w:hint="eastAsia" w:ascii="楷体_GB2312" w:hAnsi="楷体_GB2312" w:eastAsia="楷体_GB2312" w:cs="楷体_GB2312"/>
          <w:b/>
          <w:bCs/>
          <w:kern w:val="0"/>
          <w:sz w:val="32"/>
          <w:szCs w:val="32"/>
        </w:rPr>
      </w:pPr>
      <w:r>
        <w:rPr>
          <w:rFonts w:hint="eastAsia" w:ascii="楷体_GB2312" w:hAnsi="楷体_GB2312" w:eastAsia="楷体_GB2312" w:cs="楷体_GB2312"/>
          <w:b/>
          <w:bCs/>
          <w:kern w:val="0"/>
          <w:sz w:val="32"/>
          <w:szCs w:val="32"/>
        </w:rPr>
        <w:t>二、机构设置及人员情况</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w:t>
      </w:r>
      <w:r>
        <w:rPr>
          <w:rFonts w:ascii="仿宋_GB2312" w:hAnsi="宋体" w:eastAsia="仿宋_GB2312" w:cs="宋体"/>
          <w:kern w:val="0"/>
          <w:sz w:val="32"/>
          <w:szCs w:val="32"/>
        </w:rPr>
        <w:t>麦盖提县第十一幼儿园</w:t>
      </w:r>
      <w:r>
        <w:rPr>
          <w:rFonts w:hint="eastAsia" w:ascii="仿宋_GB2312" w:hAnsi="黑体" w:eastAsia="仿宋_GB2312" w:cs="宋体"/>
          <w:bCs/>
          <w:kern w:val="0"/>
          <w:sz w:val="32"/>
          <w:szCs w:val="32"/>
        </w:rPr>
        <w:t>无下属预算单位，下设</w:t>
      </w:r>
      <w:r>
        <w:rPr>
          <w:rFonts w:ascii="仿宋_GB2312" w:hAnsi="黑体" w:eastAsia="仿宋_GB2312" w:cs="宋体"/>
          <w:bCs/>
          <w:kern w:val="0"/>
          <w:sz w:val="32"/>
          <w:szCs w:val="32"/>
        </w:rPr>
        <w:t>2</w:t>
      </w:r>
      <w:r>
        <w:rPr>
          <w:rFonts w:hint="eastAsia" w:ascii="仿宋_GB2312" w:hAnsi="黑体" w:eastAsia="仿宋_GB2312" w:cs="宋体"/>
          <w:bCs/>
          <w:kern w:val="0"/>
          <w:sz w:val="32"/>
          <w:szCs w:val="32"/>
        </w:rPr>
        <w:t>个股室，分别是：</w:t>
      </w:r>
      <w:r>
        <w:rPr>
          <w:rFonts w:hint="eastAsia" w:ascii="仿宋_GB2312" w:hAnsi="宋体" w:eastAsia="仿宋_GB2312" w:cs="宋体"/>
          <w:kern w:val="0"/>
          <w:sz w:val="32"/>
          <w:szCs w:val="32"/>
        </w:rPr>
        <w:t>行政办、教务办。</w:t>
      </w:r>
    </w:p>
    <w:p>
      <w:pPr>
        <w:widowControl/>
        <w:spacing w:line="540" w:lineRule="exact"/>
        <w:ind w:firstLine="64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新疆维吾尔自治区喀什地区麦盖提县第十一幼儿园实有人数</w:t>
      </w:r>
      <w:r>
        <w:rPr>
          <w:rFonts w:ascii="仿宋_GB2312" w:hAnsi="宋体" w:eastAsia="仿宋_GB2312" w:cs="宋体"/>
          <w:kern w:val="0"/>
          <w:sz w:val="32"/>
          <w:szCs w:val="32"/>
        </w:rPr>
        <w:t>10</w:t>
      </w:r>
      <w:r>
        <w:rPr>
          <w:rFonts w:hint="eastAsia" w:ascii="仿宋_GB2312" w:hAnsi="宋体" w:eastAsia="仿宋_GB2312" w:cs="宋体"/>
          <w:kern w:val="0"/>
          <w:sz w:val="32"/>
          <w:szCs w:val="32"/>
        </w:rPr>
        <w:t>人，其中：在职10人，增加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人；退休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人；离休</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人。</w:t>
      </w:r>
    </w:p>
    <w:p>
      <w:pPr>
        <w:widowControl/>
        <w:spacing w:line="440" w:lineRule="exact"/>
        <w:jc w:val="center"/>
        <w:outlineLvl w:val="1"/>
        <w:rPr>
          <w:rFonts w:hint="eastAsia" w:ascii="黑体" w:hAnsi="黑体" w:eastAsia="黑体"/>
          <w:kern w:val="0"/>
          <w:sz w:val="32"/>
          <w:szCs w:val="32"/>
        </w:rPr>
      </w:pPr>
      <w:r>
        <w:rPr>
          <w:rFonts w:ascii="微软雅黑" w:hAnsi="Calibri" w:eastAsia="微软雅黑"/>
          <w:b/>
          <w:bCs/>
          <w:kern w:val="44"/>
          <w:sz w:val="28"/>
          <w:szCs w:val="28"/>
        </w:rPr>
        <w:br w:type="page"/>
      </w:r>
      <w:r>
        <w:rPr>
          <w:rFonts w:hint="eastAsia" w:ascii="黑体" w:hAnsi="黑体" w:eastAsia="黑体"/>
          <w:kern w:val="0"/>
          <w:sz w:val="32"/>
          <w:szCs w:val="32"/>
        </w:rPr>
        <w:t xml:space="preserve">第二部分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部门预算公开表</w:t>
      </w:r>
    </w:p>
    <w:p>
      <w:pPr>
        <w:widowControl/>
        <w:jc w:val="left"/>
        <w:rPr>
          <w:rFonts w:hint="eastAsia" w:ascii="宋体" w:hAnsi="宋体"/>
          <w:bCs/>
          <w:kern w:val="0"/>
          <w:sz w:val="20"/>
          <w:szCs w:val="20"/>
        </w:rPr>
      </w:pPr>
      <w:r>
        <w:rPr>
          <w:rFonts w:hint="eastAsia" w:ascii="宋体" w:hAnsi="宋体"/>
          <w:bCs/>
          <w:kern w:val="0"/>
          <w:sz w:val="20"/>
          <w:szCs w:val="20"/>
        </w:rPr>
        <w:t>表1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部门收支总体情况表</w:t>
      </w:r>
    </w:p>
    <w:tbl>
      <w:tblPr>
        <w:tblStyle w:val="12"/>
        <w:tblW w:w="10131" w:type="dxa"/>
        <w:jc w:val="center"/>
        <w:tblInd w:w="0" w:type="dxa"/>
        <w:tblLayout w:type="fixed"/>
        <w:tblCellMar>
          <w:top w:w="0" w:type="dxa"/>
          <w:left w:w="108" w:type="dxa"/>
          <w:bottom w:w="0" w:type="dxa"/>
          <w:right w:w="108" w:type="dxa"/>
        </w:tblCellMar>
      </w:tblPr>
      <w:tblGrid>
        <w:gridCol w:w="8789"/>
        <w:gridCol w:w="1342"/>
      </w:tblGrid>
      <w:tr>
        <w:tblPrEx>
          <w:tblLayout w:type="fixed"/>
          <w:tblCellMar>
            <w:top w:w="0" w:type="dxa"/>
            <w:left w:w="108" w:type="dxa"/>
            <w:bottom w:w="0" w:type="dxa"/>
            <w:right w:w="108" w:type="dxa"/>
          </w:tblCellMar>
        </w:tblPrEx>
        <w:trPr>
          <w:trHeight w:val="170" w:hRule="atLeast"/>
          <w:jc w:val="center"/>
        </w:trPr>
        <w:tc>
          <w:tcPr>
            <w:tcW w:w="8789"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编制部门：新疆维吾尔自治区喀什地区麦盖提县第十一幼儿园</w:t>
            </w:r>
            <w:r>
              <w:rPr>
                <w:rFonts w:ascii="仿宋_GB2312" w:hAnsi="宋体" w:eastAsia="仿宋_GB2312" w:cs="宋体"/>
                <w:kern w:val="0"/>
                <w:sz w:val="24"/>
              </w:rPr>
              <w:t xml:space="preserve"> </w:t>
            </w:r>
          </w:p>
        </w:tc>
        <w:tc>
          <w:tcPr>
            <w:tcW w:w="1342"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1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114"/>
        <w:gridCol w:w="2133"/>
        <w:gridCol w:w="2755"/>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jc w:val="center"/>
        </w:trPr>
        <w:tc>
          <w:tcPr>
            <w:tcW w:w="5247"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收</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入</w:t>
            </w:r>
          </w:p>
        </w:tc>
        <w:tc>
          <w:tcPr>
            <w:tcW w:w="4881"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支</w:t>
            </w:r>
            <w:r>
              <w:rPr>
                <w:rFonts w:hint="eastAsia" w:ascii="仿宋_GB2312" w:hAnsi="宋体" w:eastAsia="仿宋_GB2312" w:cs="宋体"/>
                <w:b/>
                <w:bCs/>
                <w:kern w:val="0"/>
                <w:sz w:val="24"/>
              </w:rPr>
              <w:t xml:space="preserve">     </w:t>
            </w:r>
            <w:r>
              <w:rPr>
                <w:rFonts w:hint="eastAsia" w:ascii="仿宋_GB2312" w:eastAsia="仿宋_GB2312" w:cs="宋体" w:hAnsiTheme="minorEastAsia"/>
                <w:b/>
                <w:bCs/>
                <w:kern w:val="0"/>
                <w:sz w:val="24"/>
              </w:rPr>
              <w:t>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3" w:hRule="exact"/>
          <w:jc w:val="center"/>
        </w:trPr>
        <w:tc>
          <w:tcPr>
            <w:tcW w:w="311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hAnsi="宋体" w:eastAsia="仿宋_GB2312" w:cs="宋体"/>
                <w:b/>
                <w:kern w:val="0"/>
                <w:sz w:val="20"/>
                <w:szCs w:val="20"/>
              </w:rPr>
              <w:t xml:space="preserve">     </w:t>
            </w:r>
            <w:r>
              <w:rPr>
                <w:rFonts w:hint="eastAsia" w:ascii="仿宋_GB2312" w:eastAsia="仿宋_GB2312" w:cs="宋体" w:hAnsiTheme="minorEastAsia"/>
                <w:b/>
                <w:bCs/>
                <w:kern w:val="0"/>
                <w:sz w:val="20"/>
                <w:szCs w:val="20"/>
              </w:rPr>
              <w:t>目</w:t>
            </w:r>
          </w:p>
        </w:tc>
        <w:tc>
          <w:tcPr>
            <w:tcW w:w="2133"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c>
          <w:tcPr>
            <w:tcW w:w="2755"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w:t>
            </w:r>
          </w:p>
        </w:tc>
        <w:tc>
          <w:tcPr>
            <w:tcW w:w="212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一、本年收入</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其中：一般财力</w:t>
            </w:r>
          </w:p>
        </w:tc>
        <w:tc>
          <w:tcPr>
            <w:tcW w:w="2133"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145.53</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上级一般公共预算安排转移支付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w:t>
            </w:r>
            <w:r>
              <w:rPr>
                <w:rFonts w:hint="eastAsia" w:ascii="仿宋_GB2312" w:hAnsi="MS Gothic" w:eastAsia="仿宋_GB2312" w:cs="MS Gothic"/>
                <w:kern w:val="0"/>
                <w:sz w:val="18"/>
                <w:szCs w:val="18"/>
                <w:cs/>
              </w:rPr>
              <w:t>‎</w:t>
            </w: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2126" w:type="dxa"/>
          </w:tcPr>
          <w:p>
            <w:pPr>
              <w:widowControl/>
              <w:spacing w:line="300" w:lineRule="exact"/>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145.53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其中：政府性基金收入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上级政府性基金安排转移支付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3.国有资本经营预算拨款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其中：国有资本经营收入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上级国有资本经营预算安排转移支付</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4.财政专户核拨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5.单位资金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其中：事业收入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上级补助收入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附属单位上缴收入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事业单位经营收入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其他收入</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二、上年结转结余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1.财政拨款结转</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其中：一般公共预算拨款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国有资本经营预算拨款</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2.非财政拨款结余</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其中：财政专户核拨</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单位资金</w:t>
            </w: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ind w:right="180"/>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wordWrap w:val="0"/>
              <w:spacing w:line="300" w:lineRule="exact"/>
              <w:ind w:right="2340"/>
              <w:jc w:val="righ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 xml:space="preserve">     </w:t>
            </w: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3114" w:type="dxa"/>
            <w:vAlign w:val="center"/>
          </w:tcPr>
          <w:p>
            <w:pPr>
              <w:widowControl/>
              <w:spacing w:line="300" w:lineRule="exact"/>
              <w:jc w:val="left"/>
              <w:rPr>
                <w:rFonts w:hint="eastAsia" w:ascii="仿宋_GB2312" w:eastAsia="仿宋_GB2312" w:cs="宋体" w:hAnsiTheme="minorEastAsia"/>
                <w:kern w:val="0"/>
                <w:sz w:val="18"/>
                <w:szCs w:val="18"/>
              </w:rPr>
            </w:pPr>
          </w:p>
        </w:tc>
        <w:tc>
          <w:tcPr>
            <w:tcW w:w="2133" w:type="dxa"/>
          </w:tcPr>
          <w:p>
            <w:pPr>
              <w:widowControl/>
              <w:spacing w:line="300" w:lineRule="exact"/>
              <w:jc w:val="right"/>
              <w:rPr>
                <w:rFonts w:hint="eastAsia" w:ascii="仿宋_GB2312" w:eastAsia="仿宋_GB2312" w:cs="宋体" w:hAnsiTheme="minorEastAsia"/>
                <w:kern w:val="0"/>
                <w:sz w:val="18"/>
                <w:szCs w:val="18"/>
              </w:rPr>
            </w:pPr>
          </w:p>
        </w:tc>
        <w:tc>
          <w:tcPr>
            <w:tcW w:w="2755" w:type="dxa"/>
            <w:vAlign w:val="center"/>
          </w:tcPr>
          <w:p>
            <w:pPr>
              <w:widowControl/>
              <w:spacing w:line="300" w:lineRule="exact"/>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2126" w:type="dxa"/>
          </w:tcPr>
          <w:p>
            <w:pPr>
              <w:widowControl/>
              <w:spacing w:line="300" w:lineRule="exact"/>
              <w:jc w:val="right"/>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7" w:hRule="exact"/>
          <w:jc w:val="center"/>
        </w:trPr>
        <w:tc>
          <w:tcPr>
            <w:tcW w:w="3114"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收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入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33"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145.53</w:t>
            </w:r>
          </w:p>
        </w:tc>
        <w:tc>
          <w:tcPr>
            <w:tcW w:w="2755" w:type="dxa"/>
            <w:vAlign w:val="center"/>
          </w:tcPr>
          <w:p>
            <w:pPr>
              <w:widowControl/>
              <w:jc w:val="center"/>
              <w:rPr>
                <w:rFonts w:hint="eastAsia" w:ascii="仿宋_GB2312" w:hAnsi="宋体" w:eastAsia="仿宋_GB2312" w:cs="宋体"/>
                <w:b/>
                <w:kern w:val="0"/>
                <w:sz w:val="20"/>
                <w:szCs w:val="20"/>
              </w:rPr>
            </w:pPr>
            <w:r>
              <w:rPr>
                <w:rFonts w:hint="eastAsia" w:ascii="仿宋_GB2312" w:hAnsi="宋体" w:eastAsia="仿宋_GB2312" w:cs="宋体"/>
                <w:b/>
                <w:kern w:val="0"/>
                <w:sz w:val="20"/>
                <w:szCs w:val="20"/>
              </w:rPr>
              <w:t xml:space="preserve">支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出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 xml:space="preserve">总 </w:t>
            </w:r>
            <w:r>
              <w:rPr>
                <w:rFonts w:ascii="仿宋_GB2312" w:hAnsi="宋体" w:eastAsia="仿宋_GB2312" w:cs="宋体"/>
                <w:b/>
                <w:kern w:val="0"/>
                <w:sz w:val="20"/>
                <w:szCs w:val="20"/>
              </w:rPr>
              <w:t xml:space="preserve"> </w:t>
            </w:r>
            <w:r>
              <w:rPr>
                <w:rFonts w:hint="eastAsia" w:ascii="仿宋_GB2312" w:hAnsi="宋体" w:eastAsia="仿宋_GB2312" w:cs="宋体"/>
                <w:b/>
                <w:kern w:val="0"/>
                <w:sz w:val="20"/>
                <w:szCs w:val="20"/>
              </w:rPr>
              <w:t>计</w:t>
            </w:r>
          </w:p>
        </w:tc>
        <w:tc>
          <w:tcPr>
            <w:tcW w:w="2126" w:type="dxa"/>
            <w:vAlign w:val="center"/>
          </w:tcPr>
          <w:p>
            <w:pPr>
              <w:widowControl/>
              <w:jc w:val="right"/>
              <w:rPr>
                <w:rFonts w:hint="eastAsia" w:ascii="仿宋_GB2312" w:hAnsi="宋体" w:eastAsia="仿宋_GB2312" w:cs="宋体"/>
                <w:b/>
                <w:kern w:val="0"/>
                <w:sz w:val="20"/>
                <w:szCs w:val="20"/>
              </w:rPr>
            </w:pPr>
            <w:r>
              <w:rPr>
                <w:rFonts w:ascii="仿宋_GB2312" w:hAnsi="宋体" w:eastAsia="仿宋_GB2312" w:cs="宋体"/>
                <w:b/>
                <w:kern w:val="0"/>
                <w:sz w:val="20"/>
                <w:szCs w:val="20"/>
              </w:rPr>
              <w:t>145.53</w:t>
            </w:r>
          </w:p>
        </w:tc>
      </w:tr>
    </w:tbl>
    <w:p>
      <w:pPr>
        <w:widowControl/>
        <w:spacing w:line="20" w:lineRule="exact"/>
        <w:jc w:val="left"/>
        <w:rPr>
          <w:rFonts w:hint="eastAsia" w:ascii="黑体" w:hAnsi="黑体" w:eastAsia="黑体"/>
          <w:b/>
          <w:kern w:val="0"/>
          <w:sz w:val="30"/>
          <w:szCs w:val="30"/>
        </w:rPr>
        <w:sectPr>
          <w:footerReference r:id="rId3" w:type="default"/>
          <w:footerReference r:id="rId4" w:type="even"/>
          <w:pgSz w:w="11906" w:h="16838"/>
          <w:pgMar w:top="1134" w:right="1134" w:bottom="1134" w:left="1134" w:header="851" w:footer="992" w:gutter="0"/>
          <w:cols w:space="425" w:num="1"/>
          <w:docGrid w:type="lines" w:linePitch="312" w:charSpace="0"/>
        </w:sectPr>
      </w:pPr>
    </w:p>
    <w:p>
      <w:pPr>
        <w:widowControl/>
        <w:jc w:val="left"/>
        <w:rPr>
          <w:rFonts w:hint="eastAsia" w:ascii="仿宋_GB2312" w:hAnsi="宋体" w:eastAsia="仿宋_GB2312"/>
          <w:bCs/>
          <w:kern w:val="0"/>
          <w:sz w:val="20"/>
          <w:szCs w:val="20"/>
        </w:rPr>
      </w:pPr>
      <w:r>
        <w:rPr>
          <w:rFonts w:hint="eastAsia" w:ascii="宋体" w:hAnsi="宋体"/>
          <w:bCs/>
          <w:kern w:val="0"/>
          <w:sz w:val="20"/>
          <w:szCs w:val="20"/>
        </w:rPr>
        <w:t>表2</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部门收入总体情况表</w:t>
      </w:r>
    </w:p>
    <w:tbl>
      <w:tblPr>
        <w:tblStyle w:val="12"/>
        <w:tblW w:w="15026" w:type="dxa"/>
        <w:jc w:val="center"/>
        <w:tblInd w:w="0" w:type="dxa"/>
        <w:tblLayout w:type="fixed"/>
        <w:tblCellMar>
          <w:top w:w="0" w:type="dxa"/>
          <w:left w:w="108" w:type="dxa"/>
          <w:bottom w:w="0" w:type="dxa"/>
          <w:right w:w="108" w:type="dxa"/>
        </w:tblCellMar>
      </w:tblPr>
      <w:tblGrid>
        <w:gridCol w:w="13608"/>
        <w:gridCol w:w="1418"/>
      </w:tblGrid>
      <w:tr>
        <w:tblPrEx>
          <w:tblLayout w:type="fixed"/>
          <w:tblCellMar>
            <w:top w:w="0" w:type="dxa"/>
            <w:left w:w="108" w:type="dxa"/>
            <w:bottom w:w="0" w:type="dxa"/>
            <w:right w:w="108" w:type="dxa"/>
          </w:tblCellMar>
        </w:tblPrEx>
        <w:trPr>
          <w:trHeight w:val="246" w:hRule="atLeast"/>
          <w:jc w:val="center"/>
        </w:trPr>
        <w:tc>
          <w:tcPr>
            <w:tcW w:w="13608"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编制部门：新疆维吾尔自治区喀什地区麦盖提县第十一幼儿园</w:t>
            </w:r>
          </w:p>
        </w:tc>
        <w:tc>
          <w:tcPr>
            <w:tcW w:w="1418" w:type="dxa"/>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50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559"/>
        <w:gridCol w:w="1843"/>
        <w:gridCol w:w="1559"/>
        <w:gridCol w:w="850"/>
        <w:gridCol w:w="851"/>
        <w:gridCol w:w="850"/>
        <w:gridCol w:w="851"/>
        <w:gridCol w:w="850"/>
        <w:gridCol w:w="851"/>
        <w:gridCol w:w="709"/>
        <w:gridCol w:w="708"/>
        <w:gridCol w:w="709"/>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1" w:hRule="atLeast"/>
          <w:tblHeader/>
          <w:jc w:val="center"/>
        </w:trPr>
        <w:tc>
          <w:tcPr>
            <w:tcW w:w="2122" w:type="dxa"/>
            <w:gridSpan w:val="3"/>
            <w:tcBorders>
              <w:top w:val="single" w:color="auto" w:sz="4" w:space="0"/>
            </w:tcBorders>
            <w:vAlign w:val="center"/>
          </w:tcPr>
          <w:p>
            <w:pPr>
              <w:jc w:val="center"/>
              <w:rPr>
                <w:rFonts w:hint="eastAsia" w:ascii="仿宋_GB2312" w:eastAsia="仿宋_GB2312" w:hAnsiTheme="minorEastAsia"/>
                <w:b/>
                <w:color w:val="000000"/>
                <w:sz w:val="24"/>
              </w:rPr>
            </w:pPr>
            <w:r>
              <w:rPr>
                <w:rFonts w:hint="eastAsia" w:ascii="仿宋_GB2312" w:eastAsia="仿宋_GB2312" w:hAnsiTheme="minorEastAsia"/>
                <w:b/>
                <w:color w:val="000000"/>
                <w:sz w:val="24"/>
              </w:rPr>
              <w:t>功能分类</w:t>
            </w:r>
          </w:p>
          <w:p>
            <w:pPr>
              <w:jc w:val="center"/>
              <w:rPr>
                <w:rFonts w:hint="eastAsia" w:ascii="仿宋_GB2312" w:eastAsia="仿宋_GB2312" w:cs="宋体" w:hAnsiTheme="minorEastAsia"/>
                <w:b/>
                <w:color w:val="000000"/>
                <w:sz w:val="24"/>
              </w:rPr>
            </w:pPr>
            <w:r>
              <w:rPr>
                <w:rFonts w:hint="eastAsia" w:ascii="仿宋_GB2312" w:eastAsia="仿宋_GB2312" w:hAnsiTheme="minorEastAsia"/>
                <w:b/>
                <w:color w:val="000000"/>
                <w:sz w:val="24"/>
              </w:rPr>
              <w:t>科目编码</w:t>
            </w:r>
          </w:p>
        </w:tc>
        <w:tc>
          <w:tcPr>
            <w:tcW w:w="1559"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功能分类科目名称</w:t>
            </w:r>
          </w:p>
        </w:tc>
        <w:tc>
          <w:tcPr>
            <w:tcW w:w="1843" w:type="dxa"/>
            <w:vMerge w:val="restart"/>
            <w:tcBorders>
              <w:top w:val="single" w:color="auto" w:sz="4" w:space="0"/>
            </w:tcBorders>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总 计</w:t>
            </w:r>
          </w:p>
        </w:tc>
        <w:tc>
          <w:tcPr>
            <w:tcW w:w="6662" w:type="dxa"/>
            <w:gridSpan w:val="7"/>
            <w:tcBorders>
              <w:top w:val="single" w:color="auto" w:sz="4" w:space="0"/>
            </w:tcBorders>
            <w:vAlign w:val="center"/>
          </w:tcPr>
          <w:p>
            <w:pPr>
              <w:jc w:val="center"/>
              <w:rPr>
                <w:rFonts w:hint="eastAsia" w:ascii="仿宋_GB2312" w:eastAsia="仿宋_GB2312" w:cs="宋体" w:hAnsiTheme="minorEastAsia"/>
                <w:b/>
                <w:color w:val="000000"/>
                <w:sz w:val="24"/>
              </w:rPr>
            </w:pPr>
            <w:r>
              <w:rPr>
                <w:rFonts w:hint="eastAsia" w:ascii="仿宋_GB2312" w:eastAsia="仿宋_GB2312" w:cs="宋体" w:hAnsiTheme="minorEastAsia"/>
                <w:b/>
                <w:color w:val="000000"/>
                <w:sz w:val="24"/>
              </w:rPr>
              <w:t xml:space="preserve">财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政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拨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款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补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 xml:space="preserve">助 </w:t>
            </w:r>
            <w:r>
              <w:rPr>
                <w:rFonts w:ascii="仿宋_GB2312" w:eastAsia="仿宋_GB2312" w:cs="宋体" w:hAnsiTheme="minorEastAsia"/>
                <w:b/>
                <w:color w:val="000000"/>
                <w:sz w:val="24"/>
              </w:rPr>
              <w:t xml:space="preserve"> </w:t>
            </w:r>
            <w:r>
              <w:rPr>
                <w:rFonts w:hint="eastAsia" w:ascii="仿宋_GB2312" w:eastAsia="仿宋_GB2312" w:cs="宋体" w:hAnsiTheme="minorEastAsia"/>
                <w:b/>
                <w:color w:val="000000"/>
                <w:sz w:val="24"/>
              </w:rPr>
              <w:t>）</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财政专户（教育收费）</w:t>
            </w:r>
          </w:p>
        </w:tc>
        <w:tc>
          <w:tcPr>
            <w:tcW w:w="708"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单位资金</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财政拨款结转</w:t>
            </w:r>
          </w:p>
        </w:tc>
        <w:tc>
          <w:tcPr>
            <w:tcW w:w="709" w:type="dxa"/>
            <w:vMerge w:val="restart"/>
            <w:tcBorders>
              <w:top w:val="single" w:color="auto" w:sz="4" w:space="0"/>
            </w:tcBorders>
            <w:vAlign w:val="center"/>
          </w:tcPr>
          <w:p>
            <w:pPr>
              <w:jc w:val="center"/>
              <w:rPr>
                <w:rFonts w:hint="eastAsia" w:ascii="仿宋_GB2312" w:eastAsia="仿宋_GB2312" w:hAnsiTheme="minorEastAsia"/>
                <w:b/>
                <w:color w:val="000000"/>
                <w:sz w:val="20"/>
                <w:szCs w:val="20"/>
              </w:rPr>
            </w:pPr>
            <w:r>
              <w:rPr>
                <w:rFonts w:hint="eastAsia" w:ascii="仿宋_GB2312" w:eastAsia="仿宋_GB2312" w:hAnsiTheme="minorEastAsia"/>
                <w:b/>
                <w:color w:val="000000"/>
                <w:sz w:val="20"/>
                <w:szCs w:val="20"/>
              </w:rPr>
              <w:t>非财政拨款结转结余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tblHeader/>
          <w:jc w:val="center"/>
        </w:trPr>
        <w:tc>
          <w:tcPr>
            <w:tcW w:w="704"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类</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款</w:t>
            </w:r>
          </w:p>
        </w:tc>
        <w:tc>
          <w:tcPr>
            <w:tcW w:w="70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hAnsiTheme="minorEastAsia"/>
                <w:b/>
                <w:color w:val="000000"/>
                <w:sz w:val="20"/>
                <w:szCs w:val="20"/>
              </w:rPr>
              <w:t>项</w:t>
            </w:r>
          </w:p>
        </w:tc>
        <w:tc>
          <w:tcPr>
            <w:tcW w:w="1559" w:type="dxa"/>
            <w:vMerge w:val="continue"/>
            <w:vAlign w:val="center"/>
          </w:tcPr>
          <w:p>
            <w:pPr>
              <w:rPr>
                <w:rFonts w:hint="eastAsia" w:cs="宋体" w:asciiTheme="minorEastAsia" w:hAnsiTheme="minorEastAsia" w:eastAsiaTheme="minorEastAsia"/>
                <w:b/>
                <w:color w:val="000000"/>
                <w:sz w:val="20"/>
                <w:szCs w:val="20"/>
              </w:rPr>
            </w:pPr>
          </w:p>
        </w:tc>
        <w:tc>
          <w:tcPr>
            <w:tcW w:w="1843" w:type="dxa"/>
            <w:vMerge w:val="continue"/>
            <w:vAlign w:val="center"/>
          </w:tcPr>
          <w:p>
            <w:pPr>
              <w:rPr>
                <w:rFonts w:hint="eastAsia" w:cs="宋体" w:asciiTheme="minorEastAsia" w:hAnsiTheme="minorEastAsia" w:eastAsia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财政拨款（补助）小计</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一般公共预算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上级一般公共预算安排的转</w:t>
            </w:r>
          </w:p>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政府性基金预算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上级政府性基金安排的转移支付</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国有资本经营预算</w:t>
            </w:r>
          </w:p>
        </w:tc>
        <w:tc>
          <w:tcPr>
            <w:tcW w:w="851"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上级国有资本经营预算安排的转移支付</w:t>
            </w: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8"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c>
          <w:tcPr>
            <w:tcW w:w="709" w:type="dxa"/>
            <w:vMerge w:val="continue"/>
          </w:tcPr>
          <w:p>
            <w:pPr>
              <w:jc w:val="center"/>
              <w:rPr>
                <w:rFonts w:hint="eastAsia" w:cs="宋体" w:asciiTheme="minorEastAsia" w:hAnsiTheme="minorEastAsia" w:eastAsiaTheme="minorEastAsia"/>
                <w:b/>
                <w:color w:val="00000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教育支出</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普通教育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205</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02</w:t>
            </w:r>
          </w:p>
        </w:tc>
        <w:tc>
          <w:tcPr>
            <w:tcW w:w="70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hAnsiTheme="minorEastAsia"/>
                <w:bCs/>
                <w:color w:val="000000" w:themeColor="text1"/>
                <w:sz w:val="18"/>
                <w:szCs w:val="18"/>
                <w14:textFill>
                  <w14:solidFill>
                    <w14:schemeClr w14:val="tx1"/>
                  </w14:solidFill>
                </w14:textFill>
              </w:rPr>
              <w:t>01</w:t>
            </w:r>
          </w:p>
        </w:tc>
        <w:tc>
          <w:tcPr>
            <w:tcW w:w="1559" w:type="dxa"/>
            <w:vAlign w:val="center"/>
          </w:tcPr>
          <w:p>
            <w:pPr>
              <w:pStyle w:val="8"/>
              <w:shd w:val="clear" w:color="auto" w:fill="FFFFFF"/>
              <w:jc w:val="center"/>
              <w:rPr>
                <w:rFonts w:hint="default" w:ascii="仿宋_GB2312" w:hAnsi="Courier New" w:eastAsia="仿宋_GB2312" w:cs="Courier New"/>
                <w:color w:val="000000" w:themeColor="text1"/>
                <w:sz w:val="18"/>
                <w:szCs w:val="18"/>
                <w:lang w:bidi="ug-CN"/>
                <w14:textFill>
                  <w14:solidFill>
                    <w14:schemeClr w14:val="tx1"/>
                  </w14:solidFill>
                </w14:textFill>
              </w:rPr>
            </w:pPr>
            <w:r>
              <w:rPr>
                <w:rFonts w:ascii="仿宋_GB2312" w:eastAsia="仿宋_GB2312" w:cs="宋体" w:hAnsiTheme="minorEastAsia"/>
                <w:color w:val="000000" w:themeColor="text1"/>
                <w:sz w:val="18"/>
                <w:szCs w:val="18"/>
                <w14:textFill>
                  <w14:solidFill>
                    <w14:schemeClr w14:val="tx1"/>
                  </w14:solidFill>
                </w14:textFill>
              </w:rPr>
              <w:t>学前教育</w:t>
            </w:r>
          </w:p>
        </w:tc>
        <w:tc>
          <w:tcPr>
            <w:tcW w:w="1843"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145.53</w:t>
            </w:r>
          </w:p>
        </w:tc>
        <w:tc>
          <w:tcPr>
            <w:tcW w:w="155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145.53</w:t>
            </w: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r>
              <w:rPr>
                <w:rFonts w:hint="eastAsia" w:ascii="仿宋_GB2312" w:eastAsia="仿宋_GB2312" w:cs="宋体" w:hAnsiTheme="minorEastAsia"/>
                <w:color w:val="000000" w:themeColor="text1"/>
                <w:sz w:val="18"/>
                <w:szCs w:val="18"/>
                <w14:textFill>
                  <w14:solidFill>
                    <w14:schemeClr w14:val="tx1"/>
                  </w14:solidFill>
                </w14:textFill>
              </w:rPr>
              <w:t>145.53</w:t>
            </w: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0"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851"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8"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c>
          <w:tcPr>
            <w:tcW w:w="709" w:type="dxa"/>
            <w:vAlign w:val="center"/>
          </w:tcPr>
          <w:p>
            <w:pPr>
              <w:jc w:val="center"/>
              <w:rPr>
                <w:rFonts w:hint="eastAsia" w:ascii="仿宋_GB2312" w:eastAsia="仿宋_GB2312" w:cs="宋体" w:hAnsiTheme="minorEastAsia"/>
                <w:color w:val="000000" w:themeColor="text1"/>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7" w:hRule="atLeast"/>
          <w:jc w:val="center"/>
        </w:trPr>
        <w:tc>
          <w:tcPr>
            <w:tcW w:w="704"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709" w:type="dxa"/>
            <w:vAlign w:val="center"/>
          </w:tcPr>
          <w:p>
            <w:pPr>
              <w:jc w:val="center"/>
              <w:rPr>
                <w:rFonts w:hint="eastAsia" w:ascii="仿宋_GB2312" w:eastAsia="仿宋_GB2312" w:hAnsiTheme="minorEastAsia"/>
                <w:b/>
                <w:color w:val="000000"/>
                <w:sz w:val="20"/>
                <w:szCs w:val="20"/>
              </w:rPr>
            </w:pP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合计</w:t>
            </w:r>
          </w:p>
        </w:tc>
        <w:tc>
          <w:tcPr>
            <w:tcW w:w="1843"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145.53</w:t>
            </w:r>
          </w:p>
        </w:tc>
        <w:tc>
          <w:tcPr>
            <w:tcW w:w="1559"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145.53</w:t>
            </w:r>
          </w:p>
        </w:tc>
        <w:tc>
          <w:tcPr>
            <w:tcW w:w="850" w:type="dxa"/>
            <w:vAlign w:val="center"/>
          </w:tcPr>
          <w:p>
            <w:pPr>
              <w:jc w:val="center"/>
              <w:rPr>
                <w:rFonts w:hint="eastAsia" w:ascii="仿宋_GB2312" w:eastAsia="仿宋_GB2312" w:cs="宋体" w:hAnsiTheme="minorEastAsia"/>
                <w:b/>
                <w:color w:val="000000"/>
                <w:sz w:val="20"/>
                <w:szCs w:val="20"/>
              </w:rPr>
            </w:pPr>
            <w:r>
              <w:rPr>
                <w:rFonts w:hint="eastAsia" w:ascii="仿宋_GB2312" w:eastAsia="仿宋_GB2312" w:cs="宋体" w:hAnsiTheme="minorEastAsia"/>
                <w:b/>
                <w:color w:val="000000"/>
                <w:sz w:val="20"/>
                <w:szCs w:val="20"/>
              </w:rPr>
              <w:t>145.53</w:t>
            </w: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850" w:type="dxa"/>
            <w:vAlign w:val="center"/>
          </w:tcPr>
          <w:p>
            <w:pPr>
              <w:jc w:val="center"/>
              <w:rPr>
                <w:rFonts w:hint="eastAsia" w:ascii="仿宋_GB2312" w:eastAsia="仿宋_GB2312" w:cs="宋体" w:hAnsiTheme="minorEastAsia"/>
                <w:b/>
                <w:color w:val="000000"/>
                <w:sz w:val="20"/>
                <w:szCs w:val="20"/>
              </w:rPr>
            </w:pPr>
          </w:p>
        </w:tc>
        <w:tc>
          <w:tcPr>
            <w:tcW w:w="851"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8"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c>
          <w:tcPr>
            <w:tcW w:w="709" w:type="dxa"/>
            <w:vAlign w:val="center"/>
          </w:tcPr>
          <w:p>
            <w:pPr>
              <w:jc w:val="center"/>
              <w:rPr>
                <w:rFonts w:hint="eastAsia" w:ascii="仿宋_GB2312" w:eastAsia="仿宋_GB2312" w:cs="宋体" w:hAnsiTheme="minorEastAsia"/>
                <w:b/>
                <w:color w:val="000000"/>
                <w:sz w:val="20"/>
                <w:szCs w:val="20"/>
              </w:rPr>
            </w:pPr>
          </w:p>
        </w:tc>
      </w:tr>
    </w:tbl>
    <w:p>
      <w:pPr>
        <w:widowControl/>
        <w:spacing w:line="20" w:lineRule="exact"/>
        <w:jc w:val="left"/>
        <w:rPr>
          <w:rFonts w:hint="eastAsia" w:ascii="宋体" w:hAnsi="宋体"/>
          <w:bCs/>
          <w:kern w:val="0"/>
          <w:sz w:val="20"/>
          <w:szCs w:val="20"/>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表3</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部门支出总体情况表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center"/>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编制部门：新疆维吾尔自治区喀什地区麦盖提县第十一幼儿园</w:t>
            </w:r>
          </w:p>
        </w:tc>
        <w:tc>
          <w:tcPr>
            <w:tcW w:w="1418" w:type="dxa"/>
            <w:vAlign w:val="center"/>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6"/>
        <w:gridCol w:w="709"/>
        <w:gridCol w:w="709"/>
        <w:gridCol w:w="3510"/>
        <w:gridCol w:w="1984"/>
        <w:gridCol w:w="1276"/>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支出预算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tblHeader/>
          <w:jc w:val="center"/>
        </w:trPr>
        <w:tc>
          <w:tcPr>
            <w:tcW w:w="2014"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510"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984"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tblHeader/>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510"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4"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教育支出</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普通教育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02</w:t>
            </w:r>
          </w:p>
        </w:tc>
        <w:tc>
          <w:tcPr>
            <w:tcW w:w="709"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01</w:t>
            </w:r>
          </w:p>
        </w:tc>
        <w:tc>
          <w:tcPr>
            <w:tcW w:w="3510" w:type="dxa"/>
            <w:vAlign w:val="center"/>
          </w:tcPr>
          <w:p>
            <w:pPr>
              <w:widowControl/>
              <w:jc w:val="center"/>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学前教育</w:t>
            </w:r>
          </w:p>
        </w:tc>
        <w:tc>
          <w:tcPr>
            <w:tcW w:w="1984"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r>
              <w:rPr>
                <w:rFonts w:hint="eastAsia" w:ascii="仿宋_GB2312" w:eastAsia="仿宋_GB2312" w:cs="宋体" w:hAnsiTheme="minorEastAsia"/>
                <w:bCs/>
                <w:color w:val="000000"/>
                <w:kern w:val="0"/>
                <w:sz w:val="18"/>
                <w:szCs w:val="18"/>
              </w:rPr>
              <w:t>145.53</w:t>
            </w:r>
          </w:p>
        </w:tc>
        <w:tc>
          <w:tcPr>
            <w:tcW w:w="1276" w:type="dxa"/>
            <w:vAlign w:val="center"/>
          </w:tcPr>
          <w:p>
            <w:pPr>
              <w:widowControl/>
              <w:jc w:val="right"/>
              <w:rPr>
                <w:rFonts w:hint="eastAsia" w:ascii="仿宋_GB2312" w:eastAsia="仿宋_GB2312" w:cs="宋体" w:hAnsiTheme="minorEastAsia"/>
                <w:bCs/>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3" w:hRule="atLeast"/>
          <w:jc w:val="center"/>
        </w:trPr>
        <w:tc>
          <w:tcPr>
            <w:tcW w:w="596"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709" w:type="dxa"/>
            <w:vAlign w:val="center"/>
          </w:tcPr>
          <w:p>
            <w:pPr>
              <w:widowControl/>
              <w:jc w:val="center"/>
              <w:rPr>
                <w:rFonts w:hint="eastAsia" w:ascii="仿宋_GB2312" w:eastAsia="仿宋_GB2312" w:cs="宋体" w:hAnsiTheme="minorEastAsia"/>
                <w:b/>
                <w:bCs/>
                <w:color w:val="000000"/>
                <w:kern w:val="0"/>
                <w:sz w:val="20"/>
                <w:szCs w:val="20"/>
              </w:rPr>
            </w:pPr>
          </w:p>
        </w:tc>
        <w:tc>
          <w:tcPr>
            <w:tcW w:w="3510"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984"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145.53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145.53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jc w:val="left"/>
        <w:rPr>
          <w:rFonts w:hint="eastAsia" w:ascii="宋体" w:hAnsi="宋体"/>
          <w:bCs/>
          <w:kern w:val="0"/>
          <w:sz w:val="20"/>
          <w:szCs w:val="20"/>
        </w:rPr>
      </w:pPr>
      <w:r>
        <w:rPr>
          <w:rFonts w:ascii="微软雅黑" w:hAnsi="Calibri" w:eastAsia="微软雅黑"/>
          <w:b/>
          <w:bCs/>
          <w:kern w:val="44"/>
          <w:sz w:val="2"/>
          <w:szCs w:val="2"/>
        </w:rPr>
        <w:br w:type="page"/>
      </w:r>
      <w:r>
        <w:rPr>
          <w:rFonts w:hint="eastAsia" w:ascii="宋体" w:hAnsi="宋体"/>
          <w:bCs/>
          <w:kern w:val="0"/>
          <w:sz w:val="20"/>
          <w:szCs w:val="20"/>
        </w:rPr>
        <w:t>表4</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财政拨款收支预算总体情况表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170" w:hRule="atLeast"/>
          <w:jc w:val="center"/>
        </w:trPr>
        <w:tc>
          <w:tcPr>
            <w:tcW w:w="8647"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编制部门：新疆维吾尔自治区喀什地区麦盖提县第十一幼儿园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0"/>
          <w:szCs w:val="20"/>
        </w:rPr>
      </w:pPr>
    </w:p>
    <w:tbl>
      <w:tblPr>
        <w:tblStyle w:val="12"/>
        <w:tblW w:w="1006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22"/>
        <w:gridCol w:w="966"/>
        <w:gridCol w:w="2719"/>
        <w:gridCol w:w="1139"/>
        <w:gridCol w:w="1129"/>
        <w:gridCol w:w="992"/>
        <w:gridCol w:w="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4" w:hRule="atLeast"/>
          <w:tblHeader/>
          <w:jc w:val="center"/>
        </w:trPr>
        <w:tc>
          <w:tcPr>
            <w:tcW w:w="3088" w:type="dxa"/>
            <w:gridSpan w:val="2"/>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财政拨款收入</w:t>
            </w:r>
          </w:p>
        </w:tc>
        <w:tc>
          <w:tcPr>
            <w:tcW w:w="6976" w:type="dxa"/>
            <w:gridSpan w:val="5"/>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财政拨款支出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7" w:hRule="atLeast"/>
          <w:tblHeader/>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r>
              <w:rPr>
                <w:rFonts w:hint="eastAsia" w:ascii="仿宋_GB2312" w:eastAsia="仿宋_GB2312" w:cs="宋体" w:hAnsiTheme="minorEastAsia"/>
                <w:b/>
                <w:kern w:val="0"/>
                <w:sz w:val="20"/>
                <w:szCs w:val="20"/>
              </w:rPr>
              <w:t xml:space="preserve">    </w:t>
            </w:r>
            <w:r>
              <w:rPr>
                <w:rFonts w:hint="eastAsia" w:ascii="仿宋_GB2312" w:eastAsia="仿宋_GB2312" w:cs="宋体" w:hAnsiTheme="minorEastAsia"/>
                <w:b/>
                <w:bCs/>
                <w:kern w:val="0"/>
                <w:sz w:val="20"/>
                <w:szCs w:val="20"/>
              </w:rPr>
              <w:t>目</w:t>
            </w:r>
          </w:p>
        </w:tc>
        <w:tc>
          <w:tcPr>
            <w:tcW w:w="966"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  能  分  类</w:t>
            </w:r>
          </w:p>
        </w:tc>
        <w:tc>
          <w:tcPr>
            <w:tcW w:w="113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112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一般公共预算</w:t>
            </w:r>
          </w:p>
        </w:tc>
        <w:tc>
          <w:tcPr>
            <w:tcW w:w="99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政府性基金</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预算</w:t>
            </w:r>
          </w:p>
        </w:tc>
        <w:tc>
          <w:tcPr>
            <w:tcW w:w="997"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一、财政拨款（补助）</w:t>
            </w:r>
            <w:r>
              <w:rPr>
                <w:rFonts w:hint="eastAsia" w:ascii="仿宋_GB2312" w:hAnsi="MS Gothic" w:eastAsia="仿宋_GB2312" w:cs="MS Gothic"/>
                <w:kern w:val="0"/>
                <w:sz w:val="18"/>
                <w:szCs w:val="18"/>
                <w:cs/>
              </w:rPr>
              <w:t>‎</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145.53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201 一般公共服务支出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一般公共预算</w:t>
            </w:r>
          </w:p>
        </w:tc>
        <w:tc>
          <w:tcPr>
            <w:tcW w:w="966"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145.53</w:t>
            </w: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202 外交支出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政府性基金预算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203 国防支出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ind w:firstLine="360" w:firstLineChars="200"/>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国有资本经营预算</w:t>
            </w:r>
          </w:p>
        </w:tc>
        <w:tc>
          <w:tcPr>
            <w:tcW w:w="966" w:type="dxa"/>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204 公共安全支出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205 教育支出</w:t>
            </w:r>
          </w:p>
        </w:tc>
        <w:tc>
          <w:tcPr>
            <w:tcW w:w="113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145.53</w:t>
            </w:r>
          </w:p>
        </w:tc>
        <w:tc>
          <w:tcPr>
            <w:tcW w:w="1129" w:type="dxa"/>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145.53</w:t>
            </w: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206 科学技术支出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207 文化旅游体育与传媒支出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208 社会保障和就业支出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209 社会保险基金支出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210 卫生健康支出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211 节能环保支出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212 城乡社区支出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213 农林水支出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214 交通运输支出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215 资源勘探工业信息等支出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216 商业服务业等支出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217 金融支出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219 援助其他地区支出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220 自然资源海洋气象等支出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221 住房保障支出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222 粮油物资储备支出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223 国有资本经营预算支出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224 灾害防治及应急管理支出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227 预备费</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229 其他支出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230 转移性支出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231 债务还本支出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232 债务付息支出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2" w:hRule="exact"/>
          <w:jc w:val="center"/>
        </w:trPr>
        <w:tc>
          <w:tcPr>
            <w:tcW w:w="2122" w:type="dxa"/>
            <w:vAlign w:val="center"/>
          </w:tcPr>
          <w:p>
            <w:pPr>
              <w:widowControl/>
              <w:jc w:val="left"/>
              <w:rPr>
                <w:rFonts w:hint="eastAsia" w:ascii="仿宋_GB2312" w:eastAsia="仿宋_GB2312" w:cs="宋体" w:hAnsiTheme="minorEastAsia"/>
                <w:kern w:val="0"/>
                <w:sz w:val="18"/>
                <w:szCs w:val="18"/>
              </w:rPr>
            </w:pPr>
          </w:p>
        </w:tc>
        <w:tc>
          <w:tcPr>
            <w:tcW w:w="966" w:type="dxa"/>
            <w:vAlign w:val="center"/>
          </w:tcPr>
          <w:p>
            <w:pPr>
              <w:widowControl/>
              <w:jc w:val="right"/>
              <w:rPr>
                <w:rFonts w:hint="eastAsia" w:ascii="仿宋_GB2312" w:eastAsia="仿宋_GB2312" w:cs="宋体" w:hAnsiTheme="minorEastAsia"/>
                <w:color w:val="000000"/>
                <w:kern w:val="0"/>
                <w:sz w:val="18"/>
                <w:szCs w:val="18"/>
              </w:rPr>
            </w:pPr>
          </w:p>
        </w:tc>
        <w:tc>
          <w:tcPr>
            <w:tcW w:w="2719" w:type="dxa"/>
            <w:vAlign w:val="center"/>
          </w:tcPr>
          <w:p>
            <w:pPr>
              <w:widowControl/>
              <w:jc w:val="left"/>
              <w:rPr>
                <w:rFonts w:hint="eastAsia" w:ascii="仿宋_GB2312" w:eastAsia="仿宋_GB2312" w:cs="宋体" w:hAnsiTheme="minorEastAsia"/>
                <w:kern w:val="0"/>
                <w:sz w:val="18"/>
                <w:szCs w:val="18"/>
              </w:rPr>
            </w:pPr>
            <w:r>
              <w:rPr>
                <w:rFonts w:hint="eastAsia" w:ascii="仿宋_GB2312" w:eastAsia="仿宋_GB2312" w:cs="宋体" w:hAnsiTheme="minorEastAsia"/>
                <w:kern w:val="0"/>
                <w:sz w:val="18"/>
                <w:szCs w:val="18"/>
              </w:rPr>
              <w:t>233 债务发行费用支出</w:t>
            </w:r>
          </w:p>
        </w:tc>
        <w:tc>
          <w:tcPr>
            <w:tcW w:w="1139" w:type="dxa"/>
          </w:tcPr>
          <w:p>
            <w:pPr>
              <w:widowControl/>
              <w:jc w:val="right"/>
              <w:rPr>
                <w:rFonts w:hint="eastAsia" w:ascii="仿宋_GB2312" w:eastAsia="仿宋_GB2312" w:cs="宋体" w:hAnsiTheme="minorEastAsia"/>
                <w:color w:val="000000"/>
                <w:kern w:val="0"/>
                <w:sz w:val="18"/>
                <w:szCs w:val="18"/>
              </w:rPr>
            </w:pPr>
          </w:p>
        </w:tc>
        <w:tc>
          <w:tcPr>
            <w:tcW w:w="1129" w:type="dxa"/>
          </w:tcPr>
          <w:p>
            <w:pPr>
              <w:widowControl/>
              <w:jc w:val="right"/>
              <w:rPr>
                <w:rFonts w:hint="eastAsia" w:ascii="仿宋_GB2312" w:eastAsia="仿宋_GB2312" w:cs="宋体" w:hAnsiTheme="minorEastAsia"/>
                <w:color w:val="000000"/>
                <w:kern w:val="0"/>
                <w:sz w:val="18"/>
                <w:szCs w:val="18"/>
              </w:rPr>
            </w:pPr>
          </w:p>
        </w:tc>
        <w:tc>
          <w:tcPr>
            <w:tcW w:w="992" w:type="dxa"/>
          </w:tcPr>
          <w:p>
            <w:pPr>
              <w:widowControl/>
              <w:jc w:val="right"/>
              <w:rPr>
                <w:rFonts w:hint="eastAsia" w:ascii="仿宋_GB2312" w:eastAsia="仿宋_GB2312" w:cs="宋体" w:hAnsiTheme="minorEastAsia"/>
                <w:color w:val="000000"/>
                <w:kern w:val="0"/>
                <w:sz w:val="18"/>
                <w:szCs w:val="18"/>
              </w:rPr>
            </w:pPr>
          </w:p>
        </w:tc>
        <w:tc>
          <w:tcPr>
            <w:tcW w:w="997" w:type="dxa"/>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45" w:hRule="exact"/>
          <w:jc w:val="center"/>
        </w:trPr>
        <w:tc>
          <w:tcPr>
            <w:tcW w:w="212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收 入 总 计</w:t>
            </w:r>
          </w:p>
        </w:tc>
        <w:tc>
          <w:tcPr>
            <w:tcW w:w="96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145.53</w:t>
            </w:r>
          </w:p>
        </w:tc>
        <w:tc>
          <w:tcPr>
            <w:tcW w:w="271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 出 总 计</w:t>
            </w:r>
          </w:p>
        </w:tc>
        <w:tc>
          <w:tcPr>
            <w:tcW w:w="113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145.53</w:t>
            </w:r>
          </w:p>
        </w:tc>
        <w:tc>
          <w:tcPr>
            <w:tcW w:w="1129" w:type="dxa"/>
            <w:vAlign w:val="center"/>
          </w:tcPr>
          <w:p>
            <w:pPr>
              <w:widowControl/>
              <w:jc w:val="right"/>
              <w:rPr>
                <w:rFonts w:hint="eastAsia" w:ascii="仿宋_GB2312" w:eastAsia="仿宋_GB2312" w:cs="宋体" w:hAnsiTheme="minorEastAsia"/>
                <w:b/>
                <w:bCs/>
                <w:kern w:val="0"/>
                <w:sz w:val="20"/>
                <w:szCs w:val="20"/>
              </w:rPr>
            </w:pPr>
            <w:r>
              <w:rPr>
                <w:rFonts w:hint="eastAsia" w:ascii="仿宋_GB2312" w:eastAsia="仿宋_GB2312" w:cs="宋体" w:hAnsiTheme="minorEastAsia"/>
                <w:b/>
                <w:bCs/>
                <w:color w:val="000000"/>
                <w:kern w:val="0"/>
                <w:sz w:val="20"/>
                <w:szCs w:val="20"/>
              </w:rPr>
              <w:t>145.53</w:t>
            </w:r>
          </w:p>
        </w:tc>
        <w:tc>
          <w:tcPr>
            <w:tcW w:w="992" w:type="dxa"/>
            <w:vAlign w:val="center"/>
          </w:tcPr>
          <w:p>
            <w:pPr>
              <w:widowControl/>
              <w:jc w:val="right"/>
              <w:rPr>
                <w:rFonts w:hint="eastAsia" w:ascii="仿宋_GB2312" w:eastAsia="仿宋_GB2312" w:cs="宋体" w:hAnsiTheme="minorEastAsia"/>
                <w:b/>
                <w:bCs/>
                <w:kern w:val="0"/>
                <w:sz w:val="20"/>
                <w:szCs w:val="20"/>
              </w:rPr>
            </w:pPr>
          </w:p>
        </w:tc>
        <w:tc>
          <w:tcPr>
            <w:tcW w:w="997" w:type="dxa"/>
            <w:vAlign w:val="center"/>
          </w:tcPr>
          <w:p>
            <w:pPr>
              <w:widowControl/>
              <w:jc w:val="right"/>
              <w:rPr>
                <w:rFonts w:hint="eastAsia" w:ascii="仿宋_GB2312" w:eastAsia="仿宋_GB2312" w:cs="宋体" w:hAnsiTheme="minorEastAsia"/>
                <w:b/>
                <w:bCs/>
                <w:kern w:val="0"/>
                <w:sz w:val="20"/>
                <w:szCs w:val="20"/>
              </w:rPr>
            </w:pPr>
          </w:p>
        </w:tc>
      </w:tr>
    </w:tbl>
    <w:p>
      <w:pPr>
        <w:widowControl/>
        <w:spacing w:line="20" w:lineRule="exact"/>
        <w:jc w:val="left"/>
        <w:rPr>
          <w:rFonts w:ascii="微软雅黑" w:hAnsi="Calibri" w:eastAsia="微软雅黑"/>
          <w:b/>
          <w:bCs/>
          <w:kern w:val="44"/>
          <w:sz w:val="24"/>
        </w:rPr>
      </w:pPr>
      <w:r>
        <w:rPr>
          <w:rFonts w:ascii="微软雅黑" w:hAnsi="Calibri" w:eastAsia="微软雅黑"/>
          <w:b/>
          <w:bCs/>
          <w:kern w:val="44"/>
          <w:sz w:val="24"/>
        </w:rPr>
        <w:br w:type="page"/>
      </w:r>
    </w:p>
    <w:p>
      <w:pPr>
        <w:widowControl/>
        <w:jc w:val="left"/>
        <w:rPr>
          <w:rFonts w:hint="eastAsia" w:ascii="宋体" w:hAnsi="宋体"/>
          <w:bCs/>
          <w:kern w:val="0"/>
          <w:sz w:val="20"/>
          <w:szCs w:val="20"/>
        </w:rPr>
      </w:pPr>
      <w:r>
        <w:rPr>
          <w:rFonts w:hint="eastAsia" w:ascii="宋体" w:hAnsi="宋体"/>
          <w:bCs/>
          <w:kern w:val="0"/>
          <w:sz w:val="20"/>
          <w:szCs w:val="20"/>
        </w:rPr>
        <w:t>表5</w:t>
      </w:r>
    </w:p>
    <w:p>
      <w:pPr>
        <w:widowControl/>
        <w:jc w:val="center"/>
        <w:outlineLvl w:val="2"/>
        <w:rPr>
          <w:rFonts w:ascii="微软雅黑" w:hAnsi="Calibri" w:eastAsia="微软雅黑"/>
          <w:b/>
          <w:bCs/>
          <w:kern w:val="44"/>
          <w:sz w:val="32"/>
          <w:szCs w:val="32"/>
        </w:rPr>
      </w:pPr>
      <w:r>
        <w:rPr>
          <w:rFonts w:hint="eastAsia" w:ascii="仿宋_GB2312" w:hAnsi="宋体" w:eastAsia="仿宋_GB2312"/>
          <w:b/>
          <w:kern w:val="0"/>
          <w:sz w:val="32"/>
          <w:szCs w:val="32"/>
        </w:rPr>
        <w:t>一般公共预算支出情况表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编制部门：新疆维吾尔自治区喀什地区麦盖提县第十一幼儿园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8"/>
        <w:gridCol w:w="709"/>
        <w:gridCol w:w="769"/>
        <w:gridCol w:w="3146"/>
        <w:gridCol w:w="1559"/>
        <w:gridCol w:w="1276"/>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3" w:hRule="atLeast"/>
          <w:tblHeader/>
          <w:jc w:val="center"/>
        </w:trPr>
        <w:tc>
          <w:tcPr>
            <w:tcW w:w="5382" w:type="dxa"/>
            <w:gridSpan w:val="4"/>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536"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tblHeader/>
          <w:jc w:val="center"/>
        </w:trPr>
        <w:tc>
          <w:tcPr>
            <w:tcW w:w="2236" w:type="dxa"/>
            <w:gridSpan w:val="3"/>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科目编码</w:t>
            </w:r>
          </w:p>
        </w:tc>
        <w:tc>
          <w:tcPr>
            <w:tcW w:w="314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功能分类科目名称</w:t>
            </w:r>
          </w:p>
        </w:tc>
        <w:tc>
          <w:tcPr>
            <w:tcW w:w="1559"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  计</w:t>
            </w:r>
          </w:p>
        </w:tc>
        <w:tc>
          <w:tcPr>
            <w:tcW w:w="1276"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基本支出</w:t>
            </w:r>
          </w:p>
        </w:tc>
        <w:tc>
          <w:tcPr>
            <w:tcW w:w="1701"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jc w:val="center"/>
        </w:trPr>
        <w:tc>
          <w:tcPr>
            <w:tcW w:w="75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6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314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559"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276"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701"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教育支出</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普通教育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18"/>
                <w:szCs w:val="18"/>
              </w:rPr>
            </w:pPr>
            <w:r>
              <w:rPr>
                <w:rFonts w:hint="eastAsia" w:ascii="仿宋_GB2312" w:eastAsia="仿宋_GB2312" w:cs="宋体" w:hAnsiTheme="minorEastAsia"/>
                <w:bCs/>
                <w:color w:val="000000"/>
                <w:kern w:val="0"/>
                <w:sz w:val="18"/>
                <w:szCs w:val="18"/>
              </w:rPr>
              <w:t>205</w:t>
            </w:r>
          </w:p>
        </w:tc>
        <w:tc>
          <w:tcPr>
            <w:tcW w:w="70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02</w:t>
            </w:r>
          </w:p>
        </w:tc>
        <w:tc>
          <w:tcPr>
            <w:tcW w:w="769"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bCs/>
                <w:color w:val="000000"/>
                <w:kern w:val="0"/>
                <w:sz w:val="18"/>
                <w:szCs w:val="18"/>
              </w:rPr>
              <w:t>01</w:t>
            </w:r>
          </w:p>
        </w:tc>
        <w:tc>
          <w:tcPr>
            <w:tcW w:w="3146"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学前教育</w:t>
            </w:r>
          </w:p>
        </w:tc>
        <w:tc>
          <w:tcPr>
            <w:tcW w:w="1559"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145.53</w:t>
            </w:r>
          </w:p>
        </w:tc>
        <w:tc>
          <w:tcPr>
            <w:tcW w:w="1276"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145.53</w:t>
            </w:r>
          </w:p>
        </w:tc>
        <w:tc>
          <w:tcPr>
            <w:tcW w:w="1701"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758" w:type="dxa"/>
            <w:vAlign w:val="center"/>
          </w:tcPr>
          <w:p>
            <w:pPr>
              <w:widowControl/>
              <w:jc w:val="center"/>
              <w:rPr>
                <w:rFonts w:hint="eastAsia" w:ascii="仿宋_GB2312" w:eastAsia="仿宋_GB2312" w:cs="宋体" w:hAnsiTheme="minorEastAsia"/>
                <w:kern w:val="0"/>
                <w:sz w:val="20"/>
                <w:szCs w:val="20"/>
              </w:rPr>
            </w:pPr>
          </w:p>
        </w:tc>
        <w:tc>
          <w:tcPr>
            <w:tcW w:w="709" w:type="dxa"/>
            <w:vAlign w:val="center"/>
          </w:tcPr>
          <w:p>
            <w:pPr>
              <w:widowControl/>
              <w:jc w:val="center"/>
              <w:rPr>
                <w:rFonts w:hint="eastAsia" w:ascii="仿宋_GB2312" w:eastAsia="仿宋_GB2312" w:cs="宋体" w:hAnsiTheme="minorEastAsia"/>
                <w:color w:val="000000"/>
                <w:kern w:val="0"/>
                <w:sz w:val="20"/>
                <w:szCs w:val="20"/>
              </w:rPr>
            </w:pPr>
          </w:p>
        </w:tc>
        <w:tc>
          <w:tcPr>
            <w:tcW w:w="769" w:type="dxa"/>
            <w:vAlign w:val="center"/>
          </w:tcPr>
          <w:p>
            <w:pPr>
              <w:widowControl/>
              <w:jc w:val="center"/>
              <w:rPr>
                <w:rFonts w:hint="eastAsia" w:ascii="仿宋_GB2312" w:eastAsia="仿宋_GB2312" w:cs="宋体" w:hAnsiTheme="minorEastAsia"/>
                <w:color w:val="000000"/>
                <w:kern w:val="0"/>
                <w:sz w:val="20"/>
                <w:szCs w:val="20"/>
              </w:rPr>
            </w:pPr>
          </w:p>
        </w:tc>
        <w:tc>
          <w:tcPr>
            <w:tcW w:w="3146"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合计</w:t>
            </w:r>
          </w:p>
        </w:tc>
        <w:tc>
          <w:tcPr>
            <w:tcW w:w="1559"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145.53</w:t>
            </w:r>
          </w:p>
        </w:tc>
        <w:tc>
          <w:tcPr>
            <w:tcW w:w="1276"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hAnsiTheme="minorEastAsia"/>
                <w:b/>
                <w:bCs/>
                <w:color w:val="000000"/>
                <w:sz w:val="20"/>
                <w:szCs w:val="20"/>
              </w:rPr>
              <w:t>145.53</w:t>
            </w:r>
          </w:p>
        </w:tc>
        <w:tc>
          <w:tcPr>
            <w:tcW w:w="1701" w:type="dxa"/>
            <w:vAlign w:val="center"/>
          </w:tcPr>
          <w:p>
            <w:pPr>
              <w:widowControl/>
              <w:jc w:val="right"/>
              <w:rPr>
                <w:rFonts w:hint="eastAsia" w:ascii="仿宋_GB2312" w:eastAsia="仿宋_GB2312" w:cs="宋体" w:hAnsiTheme="minorEastAsia"/>
                <w:b/>
                <w:bCs/>
                <w:color w:val="000000"/>
                <w:kern w:val="0"/>
                <w:sz w:val="20"/>
                <w:szCs w:val="20"/>
              </w:rPr>
            </w:pPr>
          </w:p>
        </w:tc>
      </w:tr>
    </w:tbl>
    <w:p>
      <w:pPr>
        <w:widowControl/>
        <w:spacing w:line="20" w:lineRule="exact"/>
        <w:jc w:val="left"/>
        <w:rPr>
          <w:rFonts w:hint="eastAsia" w:cs="宋体" w:asciiTheme="minorEastAsia" w:hAnsiTheme="minorEastAsia" w:eastAsiaTheme="minorEastAsia"/>
          <w:kern w:val="0"/>
          <w:sz w:val="18"/>
          <w:szCs w:val="18"/>
        </w:rPr>
      </w:pPr>
      <w:r>
        <w:rPr>
          <w:rFonts w:cs="宋体" w:asciiTheme="minorEastAsia" w:hAnsiTheme="minorEastAsia" w:eastAsiaTheme="minorEastAsia"/>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表6</w:t>
      </w:r>
    </w:p>
    <w:p>
      <w:pPr>
        <w:widowControl/>
        <w:jc w:val="center"/>
        <w:outlineLvl w:val="2"/>
        <w:rPr>
          <w:sz w:val="22"/>
          <w:szCs w:val="28"/>
        </w:rPr>
      </w:pPr>
      <w:r>
        <w:rPr>
          <w:rFonts w:hint="eastAsia" w:ascii="仿宋_GB2312" w:hAnsi="宋体" w:eastAsia="仿宋_GB2312"/>
          <w:b/>
          <w:kern w:val="0"/>
          <w:sz w:val="32"/>
          <w:szCs w:val="32"/>
        </w:rPr>
        <w:t>一般公共预算基本支出情况表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170" w:hRule="atLeast"/>
          <w:jc w:val="center"/>
        </w:trPr>
        <w:tc>
          <w:tcPr>
            <w:tcW w:w="8505" w:type="dxa"/>
            <w:vAlign w:val="bottom"/>
          </w:tcPr>
          <w:p>
            <w:pPr>
              <w:widowControl/>
              <w:ind w:left="-122"/>
              <w:jc w:val="left"/>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编制部门：新疆维吾尔自治区喀什地区麦盖提县第十一幼儿园</w:t>
            </w:r>
          </w:p>
        </w:tc>
        <w:tc>
          <w:tcPr>
            <w:tcW w:w="1418" w:type="dxa"/>
            <w:vAlign w:val="bottom"/>
          </w:tcPr>
          <w:p>
            <w:pPr>
              <w:widowControl/>
              <w:ind w:left="-122"/>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8"/>
        <w:gridCol w:w="992"/>
        <w:gridCol w:w="3118"/>
        <w:gridCol w:w="1985"/>
        <w:gridCol w:w="1417"/>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0" w:hRule="atLeast"/>
          <w:tblHeader/>
          <w:jc w:val="center"/>
        </w:trPr>
        <w:tc>
          <w:tcPr>
            <w:tcW w:w="5098"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科   目</w:t>
            </w:r>
            <w:r>
              <w:rPr>
                <w:rFonts w:hint="eastAsia" w:ascii="仿宋_GB2312" w:hAnsi="MS Gothic" w:eastAsia="仿宋_GB2312" w:cs="MS Gothic"/>
                <w:b/>
                <w:bCs/>
                <w:color w:val="000000"/>
                <w:kern w:val="0"/>
                <w:sz w:val="24"/>
                <w:cs/>
              </w:rPr>
              <w:t>‎</w:t>
            </w:r>
          </w:p>
        </w:tc>
        <w:tc>
          <w:tcPr>
            <w:tcW w:w="4820"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4"/>
              </w:rPr>
            </w:pPr>
            <w:r>
              <w:rPr>
                <w:rFonts w:hint="eastAsia" w:ascii="仿宋_GB2312" w:eastAsia="仿宋_GB2312" w:cs="宋体" w:hAnsiTheme="minorEastAsia"/>
                <w:b/>
                <w:bCs/>
                <w:color w:val="000000"/>
                <w:kern w:val="0"/>
                <w:sz w:val="24"/>
              </w:rPr>
              <w:t>一般公共预算基本支出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9" w:hRule="atLeast"/>
          <w:tblHeader/>
          <w:jc w:val="center"/>
        </w:trPr>
        <w:tc>
          <w:tcPr>
            <w:tcW w:w="1980" w:type="dxa"/>
            <w:gridSpan w:val="2"/>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经济分类科目编码</w:t>
            </w:r>
          </w:p>
        </w:tc>
        <w:tc>
          <w:tcPr>
            <w:tcW w:w="31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经济分类科目名称</w:t>
            </w:r>
          </w:p>
        </w:tc>
        <w:tc>
          <w:tcPr>
            <w:tcW w:w="1985"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417"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人员经费</w:t>
            </w:r>
          </w:p>
        </w:tc>
        <w:tc>
          <w:tcPr>
            <w:tcW w:w="1418" w:type="dxa"/>
            <w:vMerge w:val="restart"/>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公用经费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0" w:hRule="atLeast"/>
          <w:tblHeader/>
          <w:jc w:val="center"/>
        </w:trPr>
        <w:tc>
          <w:tcPr>
            <w:tcW w:w="98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992"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3118"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985"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7"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1418" w:type="dxa"/>
            <w:vMerge w:val="continue"/>
            <w:vAlign w:val="center"/>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工资福利支出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145.50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145.50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01</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基本工资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37.07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37.07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津贴补贴</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23.80</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23.80</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奖金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25.59</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25.59</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07</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绩效工资</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23.67</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23.67</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08</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机关事业单位基本养老保险缴费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15.08</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15.08</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10</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职工基本医疗保险缴费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6.52</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6.52</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12</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其他社会保障缴费</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0.94</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0.94</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301</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13</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住房公积金</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12.83</w:t>
            </w:r>
          </w:p>
        </w:tc>
        <w:tc>
          <w:tcPr>
            <w:tcW w:w="1418" w:type="dxa"/>
            <w:vAlign w:val="center"/>
          </w:tcPr>
          <w:p>
            <w:pPr>
              <w:widowControl/>
              <w:jc w:val="right"/>
              <w:rPr>
                <w:rFonts w:hint="eastAsia" w:ascii="仿宋_GB2312" w:eastAsia="仿宋_GB2312" w:cs="宋体" w:hAnsiTheme="minorEastAsia"/>
                <w:color w:val="000000"/>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302</w:t>
            </w:r>
          </w:p>
        </w:tc>
        <w:tc>
          <w:tcPr>
            <w:tcW w:w="992"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cs="宋体" w:hAnsiTheme="minorEastAsia"/>
                <w:color w:val="000000"/>
                <w:kern w:val="0"/>
                <w:sz w:val="18"/>
                <w:szCs w:val="18"/>
              </w:rPr>
              <w:t>99</w:t>
            </w:r>
          </w:p>
        </w:tc>
        <w:tc>
          <w:tcPr>
            <w:tcW w:w="3118" w:type="dxa"/>
            <w:vAlign w:val="center"/>
          </w:tcPr>
          <w:p>
            <w:pPr>
              <w:widowControl/>
              <w:jc w:val="center"/>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其他商品和服务支出</w:t>
            </w:r>
          </w:p>
        </w:tc>
        <w:tc>
          <w:tcPr>
            <w:tcW w:w="1985"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0.03</w:t>
            </w:r>
          </w:p>
        </w:tc>
        <w:tc>
          <w:tcPr>
            <w:tcW w:w="1417" w:type="dxa"/>
            <w:vAlign w:val="center"/>
          </w:tcPr>
          <w:p>
            <w:pPr>
              <w:widowControl/>
              <w:ind w:right="147" w:rightChars="70"/>
              <w:jc w:val="right"/>
              <w:rPr>
                <w:rFonts w:hint="eastAsia" w:ascii="仿宋_GB2312" w:eastAsia="仿宋_GB2312" w:cs="宋体" w:hAnsiTheme="minorEastAsia"/>
                <w:color w:val="000000"/>
                <w:kern w:val="0"/>
                <w:sz w:val="18"/>
                <w:szCs w:val="18"/>
              </w:rPr>
            </w:pPr>
          </w:p>
        </w:tc>
        <w:tc>
          <w:tcPr>
            <w:tcW w:w="1418" w:type="dxa"/>
            <w:vAlign w:val="center"/>
          </w:tcPr>
          <w:p>
            <w:pPr>
              <w:widowControl/>
              <w:jc w:val="right"/>
              <w:rPr>
                <w:rFonts w:hint="eastAsia" w:ascii="仿宋_GB2312" w:eastAsia="仿宋_GB2312" w:cs="宋体" w:hAnsiTheme="minorEastAsia"/>
                <w:color w:val="000000"/>
                <w:kern w:val="0"/>
                <w:sz w:val="18"/>
                <w:szCs w:val="18"/>
              </w:rPr>
            </w:pPr>
            <w:r>
              <w:rPr>
                <w:rFonts w:hint="eastAsia" w:ascii="仿宋_GB2312" w:eastAsia="仿宋_GB2312" w:hAnsiTheme="minorEastAsia"/>
                <w:color w:val="000000"/>
                <w:sz w:val="18"/>
                <w:szCs w:val="18"/>
              </w:rPr>
              <w:t>0.03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jc w:val="center"/>
        </w:trPr>
        <w:tc>
          <w:tcPr>
            <w:tcW w:w="988" w:type="dxa"/>
            <w:vAlign w:val="center"/>
          </w:tcPr>
          <w:p>
            <w:pPr>
              <w:widowControl/>
              <w:jc w:val="center"/>
              <w:rPr>
                <w:rFonts w:hint="eastAsia" w:ascii="仿宋_GB2312" w:eastAsia="仿宋_GB2312" w:cs="宋体" w:hAnsiTheme="minorEastAsia"/>
                <w:color w:val="000000"/>
                <w:kern w:val="0"/>
                <w:sz w:val="20"/>
                <w:szCs w:val="20"/>
              </w:rPr>
            </w:pPr>
          </w:p>
        </w:tc>
        <w:tc>
          <w:tcPr>
            <w:tcW w:w="992" w:type="dxa"/>
            <w:vAlign w:val="center"/>
          </w:tcPr>
          <w:p>
            <w:pPr>
              <w:widowControl/>
              <w:jc w:val="center"/>
              <w:rPr>
                <w:rFonts w:hint="eastAsia" w:ascii="仿宋_GB2312" w:eastAsia="仿宋_GB2312" w:cs="宋体" w:hAnsiTheme="minorEastAsia"/>
                <w:color w:val="000000"/>
                <w:kern w:val="0"/>
                <w:sz w:val="20"/>
                <w:szCs w:val="20"/>
              </w:rPr>
            </w:pPr>
          </w:p>
        </w:tc>
        <w:tc>
          <w:tcPr>
            <w:tcW w:w="3118"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合计</w:t>
            </w:r>
          </w:p>
        </w:tc>
        <w:tc>
          <w:tcPr>
            <w:tcW w:w="1985"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145.53</w:t>
            </w:r>
          </w:p>
        </w:tc>
        <w:tc>
          <w:tcPr>
            <w:tcW w:w="1417" w:type="dxa"/>
            <w:vAlign w:val="center"/>
          </w:tcPr>
          <w:p>
            <w:pPr>
              <w:widowControl/>
              <w:ind w:right="147" w:rightChars="70"/>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145.50</w:t>
            </w:r>
          </w:p>
        </w:tc>
        <w:tc>
          <w:tcPr>
            <w:tcW w:w="1418" w:type="dxa"/>
            <w:vAlign w:val="center"/>
          </w:tcPr>
          <w:p>
            <w:pPr>
              <w:widowControl/>
              <w:jc w:val="right"/>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0.03</w:t>
            </w:r>
          </w:p>
        </w:tc>
      </w:tr>
    </w:tbl>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宋体" w:hAnsi="宋体"/>
          <w:bCs/>
          <w:kern w:val="0"/>
          <w:sz w:val="20"/>
          <w:szCs w:val="20"/>
        </w:rPr>
        <w:sectPr>
          <w:pgSz w:w="11906" w:h="16838"/>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表7</w:t>
      </w:r>
    </w:p>
    <w:p>
      <w:pPr>
        <w:widowControl/>
        <w:jc w:val="center"/>
        <w:outlineLvl w:val="2"/>
        <w:rPr>
          <w:rFonts w:hint="eastAsia" w:ascii="仿宋_GB2312" w:hAnsi="宋体" w:eastAsia="仿宋_GB2312"/>
          <w:b/>
          <w:kern w:val="0"/>
          <w:sz w:val="36"/>
          <w:szCs w:val="36"/>
        </w:rPr>
      </w:pPr>
      <w:r>
        <w:rPr>
          <w:rFonts w:hint="eastAsia" w:ascii="仿宋_GB2312" w:hAnsi="宋体" w:eastAsia="仿宋_GB2312"/>
          <w:b/>
          <w:kern w:val="0"/>
          <w:sz w:val="32"/>
          <w:szCs w:val="32"/>
        </w:rPr>
        <w:t>一般公共预算项目支出情况表</w:t>
      </w:r>
    </w:p>
    <w:tbl>
      <w:tblPr>
        <w:tblStyle w:val="12"/>
        <w:tblW w:w="14884"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467"/>
        <w:gridCol w:w="14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jc w:val="center"/>
        </w:trPr>
        <w:tc>
          <w:tcPr>
            <w:tcW w:w="13467" w:type="dxa"/>
            <w:tcBorders>
              <w:top w:val="nil"/>
              <w:left w:val="nil"/>
              <w:bottom w:val="nil"/>
              <w:right w:val="nil"/>
            </w:tcBorders>
            <w:vAlign w:val="bottom"/>
          </w:tcPr>
          <w:p>
            <w:pPr>
              <w:widowControl/>
              <w:ind w:left="-122"/>
              <w:jc w:val="left"/>
              <w:rPr>
                <w:rFonts w:hint="eastAsia" w:ascii="仿宋_GB2312" w:hAnsi="宋体" w:eastAsia="仿宋_GB2312" w:cs="宋体"/>
                <w:color w:val="000000"/>
                <w:kern w:val="0"/>
                <w:sz w:val="24"/>
              </w:rPr>
            </w:pPr>
            <w:r>
              <w:rPr>
                <w:rFonts w:hint="eastAsia" w:ascii="仿宋_GB2312" w:hAnsi="宋体" w:eastAsia="仿宋_GB2312" w:cs="宋体"/>
                <w:kern w:val="0"/>
                <w:sz w:val="24"/>
              </w:rPr>
              <w:t>编制部门：新疆维吾尔自治区喀什地区麦盖提县第十一幼儿园</w:t>
            </w:r>
          </w:p>
        </w:tc>
        <w:tc>
          <w:tcPr>
            <w:tcW w:w="1417" w:type="dxa"/>
            <w:tcBorders>
              <w:top w:val="nil"/>
              <w:left w:val="nil"/>
              <w:bottom w:val="nil"/>
              <w:right w:val="nil"/>
            </w:tcBorders>
            <w:vAlign w:val="bottom"/>
          </w:tcPr>
          <w:p>
            <w:pPr>
              <w:widowControl/>
              <w:jc w:val="right"/>
              <w:rPr>
                <w:rFonts w:hint="eastAsia" w:ascii="仿宋_GB2312" w:hAnsi="宋体" w:eastAsia="仿宋_GB2312" w:cs="宋体"/>
                <w:color w:val="000000"/>
                <w:kern w:val="0"/>
                <w:sz w:val="24"/>
              </w:rPr>
            </w:pPr>
            <w:r>
              <w:rPr>
                <w:rFonts w:hint="eastAsia" w:ascii="仿宋_GB2312" w:hAnsi="宋体" w:eastAsia="仿宋_GB2312" w:cs="宋体"/>
                <w:color w:val="000000"/>
                <w:kern w:val="0"/>
                <w:sz w:val="24"/>
              </w:rPr>
              <w:t>单位：万元</w:t>
            </w:r>
          </w:p>
        </w:tc>
      </w:tr>
    </w:tbl>
    <w:p>
      <w:pPr>
        <w:spacing w:line="20" w:lineRule="exact"/>
        <w:rPr>
          <w:sz w:val="2"/>
          <w:szCs w:val="2"/>
        </w:rPr>
      </w:pPr>
    </w:p>
    <w:tbl>
      <w:tblPr>
        <w:tblStyle w:val="12"/>
        <w:tblW w:w="1487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1842"/>
        <w:gridCol w:w="2127"/>
        <w:gridCol w:w="1417"/>
        <w:gridCol w:w="709"/>
        <w:gridCol w:w="709"/>
        <w:gridCol w:w="708"/>
        <w:gridCol w:w="709"/>
        <w:gridCol w:w="851"/>
        <w:gridCol w:w="708"/>
        <w:gridCol w:w="851"/>
        <w:gridCol w:w="709"/>
        <w:gridCol w:w="708"/>
        <w:gridCol w:w="7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blHeader/>
          <w:jc w:val="center"/>
        </w:trPr>
        <w:tc>
          <w:tcPr>
            <w:tcW w:w="2122" w:type="dxa"/>
            <w:gridSpan w:val="3"/>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 目 编 码</w:t>
            </w:r>
          </w:p>
        </w:tc>
        <w:tc>
          <w:tcPr>
            <w:tcW w:w="1842"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科目名称</w:t>
            </w:r>
          </w:p>
        </w:tc>
        <w:tc>
          <w:tcPr>
            <w:tcW w:w="2127" w:type="dxa"/>
            <w:vMerge w:val="restart"/>
            <w:tcBorders>
              <w:top w:val="single" w:color="auto" w:sz="4" w:space="0"/>
            </w:tcBorders>
            <w:vAlign w:val="center"/>
          </w:tcPr>
          <w:p>
            <w:pPr>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项目名称</w:t>
            </w:r>
          </w:p>
        </w:tc>
        <w:tc>
          <w:tcPr>
            <w:tcW w:w="1417"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项目支出</w:t>
            </w:r>
            <w:r>
              <w:rPr>
                <w:rFonts w:ascii="仿宋_GB2312" w:eastAsia="仿宋_GB2312" w:cs="宋体" w:hAnsiTheme="minorEastAsia"/>
                <w:b/>
                <w:bCs/>
                <w:color w:val="000000"/>
                <w:kern w:val="0"/>
                <w:sz w:val="20"/>
                <w:szCs w:val="20"/>
              </w:rPr>
              <w:t>合计</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工资福利支出</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商品和服务支出</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对个人和家庭的补助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债务利息及费用支出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性支出（基本建设）</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资本性支出</w:t>
            </w:r>
          </w:p>
        </w:tc>
        <w:tc>
          <w:tcPr>
            <w:tcW w:w="851"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对企业补助（基本建设）</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对企业补助</w:t>
            </w:r>
          </w:p>
        </w:tc>
        <w:tc>
          <w:tcPr>
            <w:tcW w:w="708"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对社会保障基金补助</w:t>
            </w:r>
          </w:p>
        </w:tc>
        <w:tc>
          <w:tcPr>
            <w:tcW w:w="709" w:type="dxa"/>
            <w:vMerge w:val="restart"/>
            <w:tcBorders>
              <w:top w:val="single" w:color="auto" w:sz="4" w:space="0"/>
            </w:tcBorders>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其他</w:t>
            </w:r>
          </w:p>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67" w:hRule="atLeast"/>
          <w:tblHeader/>
          <w:jc w:val="center"/>
        </w:trPr>
        <w:tc>
          <w:tcPr>
            <w:tcW w:w="704"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类</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款</w:t>
            </w:r>
          </w:p>
        </w:tc>
        <w:tc>
          <w:tcPr>
            <w:tcW w:w="709" w:type="dxa"/>
            <w:vAlign w:val="center"/>
          </w:tcPr>
          <w:p>
            <w:pPr>
              <w:widowControl/>
              <w:jc w:val="center"/>
              <w:rPr>
                <w:rFonts w:hint="eastAsia" w:ascii="仿宋_GB2312" w:eastAsia="仿宋_GB2312" w:cs="宋体" w:hAnsiTheme="minorEastAsia"/>
                <w:b/>
                <w:bCs/>
                <w:color w:val="000000"/>
                <w:kern w:val="0"/>
                <w:sz w:val="20"/>
                <w:szCs w:val="20"/>
              </w:rPr>
            </w:pPr>
            <w:r>
              <w:rPr>
                <w:rFonts w:hint="eastAsia" w:ascii="仿宋_GB2312" w:eastAsia="仿宋_GB2312" w:cs="宋体" w:hAnsiTheme="minorEastAsia"/>
                <w:b/>
                <w:bCs/>
                <w:color w:val="000000"/>
                <w:kern w:val="0"/>
                <w:sz w:val="20"/>
                <w:szCs w:val="20"/>
              </w:rPr>
              <w:t>项</w:t>
            </w:r>
          </w:p>
        </w:tc>
        <w:tc>
          <w:tcPr>
            <w:tcW w:w="1842" w:type="dxa"/>
            <w:vMerge w:val="continue"/>
            <w:vAlign w:val="center"/>
          </w:tcPr>
          <w:p>
            <w:pPr>
              <w:widowControl/>
              <w:jc w:val="left"/>
              <w:rPr>
                <w:rFonts w:hint="eastAsia" w:ascii="仿宋_GB2312" w:eastAsia="仿宋_GB2312" w:cs="宋体" w:hAnsiTheme="minorEastAsia"/>
                <w:b/>
                <w:bCs/>
                <w:color w:val="000000"/>
                <w:kern w:val="0"/>
                <w:sz w:val="20"/>
                <w:szCs w:val="20"/>
              </w:rPr>
            </w:pPr>
          </w:p>
        </w:tc>
        <w:tc>
          <w:tcPr>
            <w:tcW w:w="2127" w:type="dxa"/>
            <w:vMerge w:val="continue"/>
          </w:tcPr>
          <w:p>
            <w:pPr>
              <w:widowControl/>
              <w:jc w:val="left"/>
              <w:rPr>
                <w:rFonts w:hint="eastAsia" w:ascii="仿宋_GB2312" w:eastAsia="仿宋_GB2312" w:cs="宋体" w:hAnsiTheme="minorEastAsia"/>
                <w:b/>
                <w:bCs/>
                <w:color w:val="000000"/>
                <w:kern w:val="0"/>
                <w:sz w:val="20"/>
                <w:szCs w:val="20"/>
              </w:rPr>
            </w:pPr>
          </w:p>
        </w:tc>
        <w:tc>
          <w:tcPr>
            <w:tcW w:w="1417"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851"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c>
          <w:tcPr>
            <w:tcW w:w="708" w:type="dxa"/>
            <w:vMerge w:val="continue"/>
          </w:tcPr>
          <w:p>
            <w:pPr>
              <w:widowControl/>
              <w:jc w:val="left"/>
              <w:rPr>
                <w:rFonts w:hint="eastAsia" w:ascii="仿宋_GB2312" w:eastAsia="仿宋_GB2312" w:cs="宋体" w:hAnsiTheme="minorEastAsia"/>
                <w:b/>
                <w:bCs/>
                <w:color w:val="000000"/>
                <w:kern w:val="0"/>
                <w:sz w:val="20"/>
                <w:szCs w:val="20"/>
              </w:rPr>
            </w:pPr>
          </w:p>
        </w:tc>
        <w:tc>
          <w:tcPr>
            <w:tcW w:w="709" w:type="dxa"/>
            <w:vMerge w:val="continue"/>
          </w:tcPr>
          <w:p>
            <w:pPr>
              <w:widowControl/>
              <w:jc w:val="left"/>
              <w:rPr>
                <w:rFonts w:hint="eastAsia" w:ascii="仿宋_GB2312" w:eastAsia="仿宋_GB2312" w:cs="宋体" w:hAnsiTheme="minorEastAsia"/>
                <w:b/>
                <w:bCs/>
                <w:color w:val="000000"/>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82" w:hRule="atLeast"/>
          <w:jc w:val="center"/>
        </w:trPr>
        <w:tc>
          <w:tcPr>
            <w:tcW w:w="704"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709" w:type="dxa"/>
            <w:vAlign w:val="center"/>
          </w:tcPr>
          <w:p>
            <w:pPr>
              <w:widowControl/>
              <w:jc w:val="center"/>
              <w:outlineLvl w:val="1"/>
              <w:rPr>
                <w:rFonts w:hint="eastAsia" w:ascii="仿宋_GB2312" w:eastAsia="仿宋_GB2312" w:hAnsiTheme="minorEastAsia"/>
                <w:kern w:val="0"/>
                <w:sz w:val="20"/>
                <w:szCs w:val="20"/>
              </w:rPr>
            </w:pPr>
          </w:p>
        </w:tc>
        <w:tc>
          <w:tcPr>
            <w:tcW w:w="1842" w:type="dxa"/>
            <w:vAlign w:val="center"/>
          </w:tcPr>
          <w:p>
            <w:pPr>
              <w:widowControl/>
              <w:jc w:val="center"/>
              <w:outlineLvl w:val="1"/>
              <w:rPr>
                <w:rFonts w:hint="eastAsia" w:ascii="仿宋_GB2312" w:eastAsia="仿宋_GB2312" w:hAnsiTheme="minorEastAsia"/>
                <w:kern w:val="0"/>
                <w:sz w:val="20"/>
                <w:szCs w:val="20"/>
              </w:rPr>
            </w:pPr>
          </w:p>
        </w:tc>
        <w:tc>
          <w:tcPr>
            <w:tcW w:w="2127" w:type="dxa"/>
            <w:vAlign w:val="center"/>
          </w:tcPr>
          <w:p>
            <w:pPr>
              <w:widowControl/>
              <w:jc w:val="center"/>
              <w:outlineLvl w:val="1"/>
              <w:rPr>
                <w:rFonts w:hint="eastAsia" w:ascii="仿宋_GB2312" w:eastAsia="仿宋_GB2312" w:hAnsiTheme="minorEastAsia"/>
                <w:b/>
                <w:bCs/>
                <w:kern w:val="0"/>
                <w:sz w:val="20"/>
                <w:szCs w:val="20"/>
              </w:rPr>
            </w:pPr>
            <w:r>
              <w:rPr>
                <w:rFonts w:hint="eastAsia" w:ascii="仿宋_GB2312" w:eastAsia="仿宋_GB2312" w:hAnsiTheme="minorEastAsia"/>
                <w:b/>
                <w:bCs/>
                <w:kern w:val="0"/>
                <w:sz w:val="20"/>
                <w:szCs w:val="20"/>
              </w:rPr>
              <w:t>合计</w:t>
            </w:r>
          </w:p>
        </w:tc>
        <w:tc>
          <w:tcPr>
            <w:tcW w:w="1417"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851"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widowControl/>
              <w:jc w:val="center"/>
              <w:outlineLvl w:val="1"/>
              <w:rPr>
                <w:rFonts w:hint="eastAsia" w:ascii="仿宋_GB2312" w:eastAsia="仿宋_GB2312" w:hAnsiTheme="minorEastAsia"/>
                <w:b/>
                <w:bCs/>
                <w:kern w:val="0"/>
                <w:sz w:val="20"/>
                <w:szCs w:val="20"/>
              </w:rPr>
            </w:pPr>
          </w:p>
        </w:tc>
        <w:tc>
          <w:tcPr>
            <w:tcW w:w="708" w:type="dxa"/>
            <w:vAlign w:val="center"/>
          </w:tcPr>
          <w:p>
            <w:pPr>
              <w:widowControl/>
              <w:jc w:val="center"/>
              <w:outlineLvl w:val="1"/>
              <w:rPr>
                <w:rFonts w:hint="eastAsia" w:ascii="仿宋_GB2312" w:eastAsia="仿宋_GB2312" w:hAnsiTheme="minorEastAsia"/>
                <w:b/>
                <w:bCs/>
                <w:kern w:val="0"/>
                <w:sz w:val="20"/>
                <w:szCs w:val="20"/>
              </w:rPr>
            </w:pPr>
          </w:p>
        </w:tc>
        <w:tc>
          <w:tcPr>
            <w:tcW w:w="709" w:type="dxa"/>
            <w:vAlign w:val="center"/>
          </w:tcPr>
          <w:p>
            <w:pPr>
              <w:pStyle w:val="8"/>
              <w:shd w:val="clear" w:color="auto" w:fill="FFFFFF"/>
              <w:jc w:val="center"/>
              <w:rPr>
                <w:rFonts w:hint="default" w:ascii="仿宋_GB2312" w:hAnsi="Courier New" w:eastAsia="仿宋_GB2312" w:cs="Courier New"/>
                <w:color w:val="080808"/>
                <w:sz w:val="20"/>
                <w:szCs w:val="20"/>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备注：新疆维吾尔自治区喀什地区麦盖提县第十一幼儿园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年没有使用一般公共预算安排的支出，一般公共预算项目支出情况表为空表。</w:t>
      </w:r>
    </w:p>
    <w:p>
      <w:pPr>
        <w:widowControl/>
        <w:spacing w:line="20" w:lineRule="exact"/>
        <w:jc w:val="left"/>
        <w:rPr>
          <w:rFonts w:hint="eastAsia" w:cs="宋体" w:asciiTheme="minorEastAsia" w:hAnsiTheme="minorEastAsia" w:eastAsiaTheme="minorEastAsia"/>
          <w:kern w:val="0"/>
          <w:sz w:val="18"/>
          <w:szCs w:val="18"/>
        </w:rPr>
      </w:pPr>
    </w:p>
    <w:p>
      <w:pPr>
        <w:widowControl/>
        <w:spacing w:line="20" w:lineRule="exact"/>
        <w:jc w:val="left"/>
        <w:rPr>
          <w:rFonts w:hint="eastAsia" w:ascii="仿宋_GB2312" w:hAnsi="宋体" w:eastAsia="仿宋_GB2312" w:cs="宋体"/>
          <w:b/>
          <w:bCs/>
          <w:color w:val="000000"/>
          <w:kern w:val="0"/>
          <w:sz w:val="18"/>
          <w:szCs w:val="18"/>
        </w:rPr>
        <w:sectPr>
          <w:pgSz w:w="16838" w:h="11906" w:orient="landscape"/>
          <w:pgMar w:top="1134" w:right="1134" w:bottom="1134" w:left="1134" w:header="851" w:footer="992" w:gutter="0"/>
          <w:cols w:space="425" w:num="1"/>
          <w:docGrid w:type="lines" w:linePitch="312" w:charSpace="0"/>
        </w:sectPr>
      </w:pPr>
    </w:p>
    <w:p>
      <w:pPr>
        <w:widowControl/>
        <w:jc w:val="left"/>
        <w:rPr>
          <w:rFonts w:hint="eastAsia" w:ascii="宋体" w:hAnsi="宋体"/>
          <w:bCs/>
          <w:kern w:val="0"/>
          <w:sz w:val="20"/>
          <w:szCs w:val="20"/>
        </w:rPr>
      </w:pPr>
      <w:r>
        <w:rPr>
          <w:rFonts w:hint="eastAsia" w:ascii="宋体" w:hAnsi="宋体"/>
          <w:bCs/>
          <w:kern w:val="0"/>
          <w:sz w:val="20"/>
          <w:szCs w:val="20"/>
        </w:rPr>
        <w:t>表8</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政府性基金预算支出情况表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编制部门：新疆维吾尔自治区喀什地区麦盖提县第十一幼儿园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3402"/>
        <w:gridCol w:w="1134"/>
        <w:gridCol w:w="1134"/>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524"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536"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340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 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exac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3402"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134"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8" w:hRule="atLeast"/>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3402"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134"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备注：新疆维吾尔自治区喀什地区麦盖提县第十一幼儿园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年没有使用政府性基金预算拨款安排的支出，政府性基金预算支出情况表为空表。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表9</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国有资本经营预算支出情况表</w:t>
      </w:r>
    </w:p>
    <w:tbl>
      <w:tblPr>
        <w:tblStyle w:val="12"/>
        <w:tblW w:w="10065" w:type="dxa"/>
        <w:jc w:val="center"/>
        <w:tblInd w:w="0" w:type="dxa"/>
        <w:tblLayout w:type="fixed"/>
        <w:tblCellMar>
          <w:top w:w="0" w:type="dxa"/>
          <w:left w:w="108" w:type="dxa"/>
          <w:bottom w:w="0" w:type="dxa"/>
          <w:right w:w="108" w:type="dxa"/>
        </w:tblCellMar>
      </w:tblPr>
      <w:tblGrid>
        <w:gridCol w:w="8647"/>
        <w:gridCol w:w="1418"/>
      </w:tblGrid>
      <w:tr>
        <w:tblPrEx>
          <w:tblLayout w:type="fixed"/>
          <w:tblCellMar>
            <w:top w:w="0" w:type="dxa"/>
            <w:left w:w="108" w:type="dxa"/>
            <w:bottom w:w="0" w:type="dxa"/>
            <w:right w:w="108" w:type="dxa"/>
          </w:tblCellMar>
        </w:tblPrEx>
        <w:trPr>
          <w:trHeight w:val="357" w:hRule="atLeast"/>
          <w:jc w:val="center"/>
        </w:trPr>
        <w:tc>
          <w:tcPr>
            <w:tcW w:w="8647" w:type="dxa"/>
            <w:vAlign w:val="bottom"/>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编制部门：新疆维吾尔自治区喀什地区麦盖提县第十一幼儿园</w:t>
            </w:r>
          </w:p>
        </w:tc>
        <w:tc>
          <w:tcPr>
            <w:tcW w:w="1418"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1006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4"/>
        <w:gridCol w:w="709"/>
        <w:gridCol w:w="709"/>
        <w:gridCol w:w="2948"/>
        <w:gridCol w:w="1446"/>
        <w:gridCol w:w="1134"/>
        <w:gridCol w:w="1134"/>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blHeader/>
          <w:jc w:val="center"/>
        </w:trPr>
        <w:tc>
          <w:tcPr>
            <w:tcW w:w="507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科     目</w:t>
            </w:r>
          </w:p>
        </w:tc>
        <w:tc>
          <w:tcPr>
            <w:tcW w:w="4990" w:type="dxa"/>
            <w:gridSpan w:val="4"/>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2122" w:type="dxa"/>
            <w:gridSpan w:val="3"/>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功能分类科目编码</w:t>
            </w:r>
          </w:p>
        </w:tc>
        <w:tc>
          <w:tcPr>
            <w:tcW w:w="2948"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功能分类科目名称</w:t>
            </w:r>
          </w:p>
        </w:tc>
        <w:tc>
          <w:tcPr>
            <w:tcW w:w="144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226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1276"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94" w:hRule="atLeast"/>
          <w:tblHeader/>
          <w:jc w:val="center"/>
        </w:trPr>
        <w:tc>
          <w:tcPr>
            <w:tcW w:w="70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类</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款</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w:t>
            </w:r>
          </w:p>
        </w:tc>
        <w:tc>
          <w:tcPr>
            <w:tcW w:w="2948" w:type="dxa"/>
            <w:vMerge w:val="continue"/>
            <w:vAlign w:val="center"/>
          </w:tcPr>
          <w:p>
            <w:pPr>
              <w:widowControl/>
              <w:jc w:val="left"/>
              <w:rPr>
                <w:rFonts w:hint="eastAsia" w:ascii="仿宋_GB2312" w:eastAsia="仿宋_GB2312" w:cs="宋体" w:hAnsiTheme="minorEastAsia"/>
                <w:b/>
                <w:bCs/>
                <w:kern w:val="0"/>
                <w:sz w:val="20"/>
                <w:szCs w:val="20"/>
              </w:rPr>
            </w:pPr>
          </w:p>
        </w:tc>
        <w:tc>
          <w:tcPr>
            <w:tcW w:w="1446" w:type="dxa"/>
            <w:vMerge w:val="continue"/>
            <w:vAlign w:val="center"/>
          </w:tcPr>
          <w:p>
            <w:pPr>
              <w:widowControl/>
              <w:jc w:val="left"/>
              <w:rPr>
                <w:rFonts w:hint="eastAsia" w:ascii="仿宋_GB2312" w:eastAsia="仿宋_GB2312" w:cs="宋体" w:hAnsiTheme="minorEastAsia"/>
                <w:b/>
                <w:bCs/>
                <w:kern w:val="0"/>
                <w:sz w:val="20"/>
                <w:szCs w:val="20"/>
              </w:rPr>
            </w:pP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人员经费</w:t>
            </w:r>
          </w:p>
        </w:tc>
        <w:tc>
          <w:tcPr>
            <w:tcW w:w="1134" w:type="dxa"/>
            <w:vAlign w:val="center"/>
          </w:tcPr>
          <w:p>
            <w:pPr>
              <w:widowControl/>
              <w:jc w:val="left"/>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公用经费</w:t>
            </w:r>
          </w:p>
        </w:tc>
        <w:tc>
          <w:tcPr>
            <w:tcW w:w="1276" w:type="dxa"/>
            <w:vMerge w:val="continue"/>
            <w:vAlign w:val="center"/>
          </w:tcPr>
          <w:p>
            <w:pPr>
              <w:widowControl/>
              <w:jc w:val="left"/>
              <w:rPr>
                <w:rFonts w:hint="eastAsia" w:ascii="仿宋_GB2312" w:eastAsia="仿宋_GB2312" w:cs="宋体" w:hAnsiTheme="minorEastAsia"/>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04"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p>
        </w:tc>
        <w:tc>
          <w:tcPr>
            <w:tcW w:w="294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1446" w:type="dxa"/>
            <w:vAlign w:val="center"/>
          </w:tcPr>
          <w:p>
            <w:pPr>
              <w:widowControl/>
              <w:jc w:val="center"/>
              <w:rPr>
                <w:rFonts w:hint="eastAsia" w:ascii="仿宋_GB2312" w:eastAsia="仿宋_GB2312" w:cs="宋体" w:hAnsiTheme="minorEastAsia"/>
                <w:b/>
                <w:bCs/>
                <w:kern w:val="0"/>
                <w:sz w:val="20"/>
                <w:szCs w:val="20"/>
              </w:rPr>
            </w:pP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134"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hAnsi="MS Gothic" w:eastAsia="仿宋_GB2312" w:cs="MS Gothic"/>
                <w:b/>
                <w:bCs/>
                <w:kern w:val="0"/>
                <w:sz w:val="20"/>
                <w:szCs w:val="20"/>
                <w:cs/>
              </w:rPr>
              <w:t>‎</w:t>
            </w:r>
          </w:p>
        </w:tc>
        <w:tc>
          <w:tcPr>
            <w:tcW w:w="1276" w:type="dxa"/>
            <w:vAlign w:val="center"/>
          </w:tcPr>
          <w:p>
            <w:pPr>
              <w:widowControl/>
              <w:jc w:val="center"/>
              <w:rPr>
                <w:rFonts w:hint="eastAsia" w:ascii="仿宋_GB2312" w:eastAsia="仿宋_GB2312" w:cs="宋体" w:hAnsiTheme="minorEastAsia"/>
                <w:b/>
                <w:bCs/>
                <w:kern w:val="0"/>
                <w:sz w:val="20"/>
                <w:szCs w:val="20"/>
              </w:rPr>
            </w:pPr>
          </w:p>
        </w:tc>
      </w:tr>
    </w:tbl>
    <w:p>
      <w:pPr>
        <w:widowControl/>
        <w:ind w:left="-141" w:leftChars="-67"/>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备注：新疆维吾尔自治区喀什地区麦盖提县第十一幼儿园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年没有使用国有资本经营预算拨款安排的支出，国有资本经营预算支出情况表为空表。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表1</w:t>
      </w:r>
      <w:r>
        <w:rPr>
          <w:rFonts w:ascii="宋体" w:hAnsi="宋体"/>
          <w:bCs/>
          <w:kern w:val="0"/>
          <w:sz w:val="20"/>
          <w:szCs w:val="20"/>
        </w:rPr>
        <w:t>0</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财政拨款“三公”经费支出情况表</w:t>
      </w:r>
    </w:p>
    <w:tbl>
      <w:tblPr>
        <w:tblStyle w:val="12"/>
        <w:tblW w:w="9923" w:type="dxa"/>
        <w:jc w:val="center"/>
        <w:tblInd w:w="0" w:type="dxa"/>
        <w:tblLayout w:type="fixed"/>
        <w:tblCellMar>
          <w:top w:w="0" w:type="dxa"/>
          <w:left w:w="108" w:type="dxa"/>
          <w:bottom w:w="0" w:type="dxa"/>
          <w:right w:w="108" w:type="dxa"/>
        </w:tblCellMar>
      </w:tblPr>
      <w:tblGrid>
        <w:gridCol w:w="8505"/>
        <w:gridCol w:w="1418"/>
      </w:tblGrid>
      <w:tr>
        <w:tblPrEx>
          <w:tblLayout w:type="fixed"/>
          <w:tblCellMar>
            <w:top w:w="0" w:type="dxa"/>
            <w:left w:w="108" w:type="dxa"/>
            <w:bottom w:w="0" w:type="dxa"/>
            <w:right w:w="108" w:type="dxa"/>
          </w:tblCellMar>
        </w:tblPrEx>
        <w:trPr>
          <w:trHeight w:val="446" w:hRule="atLeast"/>
          <w:jc w:val="center"/>
        </w:trPr>
        <w:tc>
          <w:tcPr>
            <w:tcW w:w="8505" w:type="dxa"/>
          </w:tcPr>
          <w:p>
            <w:pPr>
              <w:widowControl/>
              <w:rPr>
                <w:rFonts w:hint="eastAsia" w:ascii="仿宋_GB2312" w:hAnsi="宋体" w:eastAsia="仿宋_GB2312" w:cs="宋体"/>
                <w:kern w:val="0"/>
                <w:sz w:val="24"/>
              </w:rPr>
            </w:pPr>
            <w:r>
              <w:rPr>
                <w:rFonts w:hint="eastAsia" w:ascii="仿宋_GB2312" w:hAnsi="宋体" w:eastAsia="仿宋_GB2312" w:cs="宋体"/>
                <w:kern w:val="0"/>
                <w:sz w:val="24"/>
              </w:rPr>
              <w:t>编制部门：新疆维吾尔自治区喀什地区麦盖提县第十一幼儿园</w:t>
            </w:r>
          </w:p>
        </w:tc>
        <w:tc>
          <w:tcPr>
            <w:tcW w:w="1418" w:type="dxa"/>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p>
      <w:pPr>
        <w:spacing w:line="20" w:lineRule="exact"/>
        <w:rPr>
          <w:sz w:val="2"/>
          <w:szCs w:val="2"/>
        </w:rPr>
      </w:pPr>
    </w:p>
    <w:tbl>
      <w:tblPr>
        <w:tblStyle w:val="12"/>
        <w:tblW w:w="991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972"/>
        <w:gridCol w:w="2268"/>
        <w:gridCol w:w="1985"/>
        <w:gridCol w:w="1134"/>
        <w:gridCol w:w="15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09" w:hRule="atLeast"/>
          <w:tblHeader/>
          <w:jc w:val="center"/>
        </w:trPr>
        <w:tc>
          <w:tcPr>
            <w:tcW w:w="2972"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hAnsi="MS Gothic" w:eastAsia="仿宋_GB2312" w:cs="MS Gothic"/>
                <w:b/>
                <w:bCs/>
                <w:kern w:val="0"/>
                <w:sz w:val="24"/>
                <w:cs/>
              </w:rPr>
              <w:t>‎</w:t>
            </w:r>
            <w:r>
              <w:rPr>
                <w:rFonts w:hint="eastAsia" w:ascii="仿宋_GB2312" w:eastAsia="仿宋_GB2312" w:cs="宋体" w:hAnsiTheme="minorEastAsia"/>
                <w:b/>
                <w:bCs/>
                <w:kern w:val="0"/>
                <w:sz w:val="24"/>
              </w:rPr>
              <w:t>“三公”经费支出内容</w:t>
            </w:r>
            <w:r>
              <w:rPr>
                <w:rFonts w:hint="eastAsia" w:ascii="仿宋_GB2312" w:hAnsi="MS Gothic" w:eastAsia="仿宋_GB2312" w:cs="MS Gothic"/>
                <w:b/>
                <w:bCs/>
                <w:kern w:val="0"/>
                <w:sz w:val="24"/>
                <w:cs/>
              </w:rPr>
              <w:t>‎</w:t>
            </w:r>
          </w:p>
        </w:tc>
        <w:tc>
          <w:tcPr>
            <w:tcW w:w="2268" w:type="dxa"/>
            <w:vMerge w:val="restart"/>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4678" w:type="dxa"/>
            <w:gridSpan w:val="3"/>
            <w:tcBorders>
              <w:top w:val="single" w:color="auto" w:sz="4" w:space="0"/>
            </w:tcBorders>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资金来源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38" w:hRule="atLeast"/>
          <w:tblHeader/>
          <w:jc w:val="center"/>
        </w:trPr>
        <w:tc>
          <w:tcPr>
            <w:tcW w:w="2972" w:type="dxa"/>
            <w:vMerge w:val="continue"/>
            <w:vAlign w:val="center"/>
          </w:tcPr>
          <w:p>
            <w:pPr>
              <w:widowControl/>
              <w:jc w:val="center"/>
              <w:rPr>
                <w:rFonts w:hint="eastAsia" w:ascii="仿宋_GB2312" w:eastAsia="仿宋_GB2312" w:cs="宋体" w:hAnsiTheme="minorEastAsia"/>
                <w:b/>
                <w:bCs/>
                <w:kern w:val="0"/>
                <w:sz w:val="24"/>
              </w:rPr>
            </w:pPr>
          </w:p>
        </w:tc>
        <w:tc>
          <w:tcPr>
            <w:tcW w:w="2268" w:type="dxa"/>
            <w:vMerge w:val="continue"/>
            <w:vAlign w:val="center"/>
          </w:tcPr>
          <w:p>
            <w:pPr>
              <w:widowControl/>
              <w:jc w:val="center"/>
              <w:rPr>
                <w:rFonts w:hint="eastAsia" w:ascii="仿宋_GB2312" w:eastAsia="仿宋_GB2312" w:cs="宋体" w:hAnsiTheme="minorEastAsia"/>
                <w:b/>
                <w:bCs/>
                <w:kern w:val="0"/>
                <w:sz w:val="24"/>
              </w:rPr>
            </w:pPr>
          </w:p>
        </w:tc>
        <w:tc>
          <w:tcPr>
            <w:tcW w:w="1985"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一般公共预算</w:t>
            </w:r>
          </w:p>
        </w:tc>
        <w:tc>
          <w:tcPr>
            <w:tcW w:w="1134"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政府性基金</w:t>
            </w:r>
          </w:p>
        </w:tc>
        <w:tc>
          <w:tcPr>
            <w:tcW w:w="1559"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国有资本经营预算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合计</w:t>
            </w:r>
          </w:p>
        </w:tc>
        <w:tc>
          <w:tcPr>
            <w:tcW w:w="2268" w:type="dxa"/>
            <w:vAlign w:val="center"/>
          </w:tcPr>
          <w:p>
            <w:pPr>
              <w:widowControl/>
              <w:jc w:val="center"/>
              <w:rPr>
                <w:rFonts w:hint="eastAsia" w:ascii="仿宋_GB2312" w:eastAsia="仿宋_GB2312" w:cs="宋体" w:hAnsiTheme="minorEastAsia"/>
                <w:b/>
                <w:bCs/>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因公出国（境）费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公务接待费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公务用车购置及运行费（小计）</w:t>
            </w:r>
            <w:r>
              <w:rPr>
                <w:rFonts w:hint="eastAsia" w:ascii="仿宋_GB2312" w:hAnsi="MS Gothic" w:eastAsia="仿宋_GB2312" w:cs="MS Gothic"/>
                <w:b/>
                <w:bCs/>
                <w:kern w:val="0"/>
                <w:sz w:val="24"/>
                <w:cs/>
              </w:rPr>
              <w:t>‎</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其中：公务用车购置费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20" w:hRule="atLeast"/>
          <w:jc w:val="center"/>
        </w:trPr>
        <w:tc>
          <w:tcPr>
            <w:tcW w:w="2972" w:type="dxa"/>
            <w:vAlign w:val="center"/>
          </w:tcPr>
          <w:p>
            <w:pPr>
              <w:widowControl/>
              <w:jc w:val="center"/>
              <w:rPr>
                <w:rFonts w:hint="eastAsia" w:ascii="仿宋_GB2312" w:eastAsia="仿宋_GB2312" w:cs="宋体" w:hAnsiTheme="minorEastAsia"/>
                <w:b/>
                <w:bCs/>
                <w:kern w:val="0"/>
                <w:sz w:val="24"/>
              </w:rPr>
            </w:pPr>
            <w:r>
              <w:rPr>
                <w:rFonts w:hint="eastAsia" w:ascii="仿宋_GB2312" w:eastAsia="仿宋_GB2312" w:cs="宋体" w:hAnsiTheme="minorEastAsia"/>
                <w:b/>
                <w:bCs/>
                <w:kern w:val="0"/>
                <w:sz w:val="24"/>
              </w:rPr>
              <w:t xml:space="preserve">      公务用车运行费</w:t>
            </w:r>
          </w:p>
        </w:tc>
        <w:tc>
          <w:tcPr>
            <w:tcW w:w="2268" w:type="dxa"/>
            <w:vAlign w:val="center"/>
          </w:tcPr>
          <w:p>
            <w:pPr>
              <w:widowControl/>
              <w:jc w:val="center"/>
              <w:rPr>
                <w:rFonts w:hint="eastAsia" w:ascii="仿宋_GB2312" w:eastAsia="仿宋_GB2312" w:cs="宋体" w:hAnsiTheme="minorEastAsia"/>
                <w:kern w:val="0"/>
                <w:sz w:val="20"/>
                <w:szCs w:val="20"/>
              </w:rPr>
            </w:pPr>
          </w:p>
        </w:tc>
        <w:tc>
          <w:tcPr>
            <w:tcW w:w="1985" w:type="dxa"/>
            <w:vAlign w:val="center"/>
          </w:tcPr>
          <w:p>
            <w:pPr>
              <w:widowControl/>
              <w:jc w:val="center"/>
              <w:rPr>
                <w:rFonts w:hint="eastAsia" w:ascii="仿宋_GB2312" w:eastAsia="仿宋_GB2312" w:cs="宋体" w:hAnsiTheme="minorEastAsia"/>
                <w:kern w:val="0"/>
                <w:sz w:val="18"/>
                <w:szCs w:val="18"/>
              </w:rPr>
            </w:pPr>
          </w:p>
        </w:tc>
        <w:tc>
          <w:tcPr>
            <w:tcW w:w="1134" w:type="dxa"/>
            <w:vAlign w:val="center"/>
          </w:tcPr>
          <w:p>
            <w:pPr>
              <w:widowControl/>
              <w:jc w:val="center"/>
              <w:rPr>
                <w:rFonts w:hint="eastAsia" w:ascii="仿宋_GB2312" w:eastAsia="仿宋_GB2312" w:cs="宋体" w:hAnsiTheme="minorEastAsia"/>
                <w:kern w:val="0"/>
                <w:sz w:val="18"/>
                <w:szCs w:val="18"/>
              </w:rPr>
            </w:pPr>
          </w:p>
        </w:tc>
        <w:tc>
          <w:tcPr>
            <w:tcW w:w="1559" w:type="dxa"/>
            <w:vAlign w:val="center"/>
          </w:tcPr>
          <w:p>
            <w:pPr>
              <w:widowControl/>
              <w:jc w:val="center"/>
              <w:rPr>
                <w:rFonts w:hint="eastAsia" w:ascii="仿宋_GB2312" w:eastAsia="仿宋_GB2312" w:cs="宋体" w:hAnsiTheme="minorEastAsia"/>
                <w:kern w:val="0"/>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备注：新疆维吾尔自治区喀什地区麦盖提县第十一幼儿园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年没有使用财政拨款“三公”经费安排的支出，财政拨款“三公”经费支出情况表为空表。</w:t>
      </w:r>
    </w:p>
    <w:p>
      <w:pPr>
        <w:widowControl/>
        <w:spacing w:line="20" w:lineRule="exact"/>
        <w:jc w:val="left"/>
        <w:rPr>
          <w:rFonts w:hint="eastAsia" w:ascii="仿宋_GB2312" w:hAnsi="宋体" w:eastAsia="仿宋_GB2312" w:cs="宋体"/>
          <w:b/>
          <w:bCs/>
          <w:color w:val="000000"/>
          <w:kern w:val="0"/>
          <w:sz w:val="18"/>
          <w:szCs w:val="18"/>
        </w:rPr>
      </w:pPr>
      <w:r>
        <w:rPr>
          <w:rFonts w:ascii="仿宋_GB2312" w:hAnsi="宋体" w:eastAsia="仿宋_GB2312" w:cs="宋体"/>
          <w:b/>
          <w:bCs/>
          <w:color w:val="000000"/>
          <w:kern w:val="0"/>
          <w:sz w:val="18"/>
          <w:szCs w:val="18"/>
        </w:rPr>
        <w:br w:type="page"/>
      </w:r>
    </w:p>
    <w:p>
      <w:pPr>
        <w:widowControl/>
        <w:jc w:val="left"/>
        <w:rPr>
          <w:rFonts w:hint="eastAsia" w:ascii="宋体" w:hAnsi="宋体"/>
          <w:bCs/>
          <w:kern w:val="0"/>
          <w:sz w:val="20"/>
          <w:szCs w:val="20"/>
        </w:rPr>
      </w:pPr>
      <w:r>
        <w:rPr>
          <w:rFonts w:hint="eastAsia" w:ascii="宋体" w:hAnsi="宋体"/>
          <w:bCs/>
          <w:kern w:val="0"/>
          <w:sz w:val="20"/>
          <w:szCs w:val="20"/>
        </w:rPr>
        <w:t>表</w:t>
      </w:r>
      <w:r>
        <w:rPr>
          <w:rFonts w:ascii="宋体" w:hAnsi="宋体"/>
          <w:bCs/>
          <w:kern w:val="0"/>
          <w:sz w:val="20"/>
          <w:szCs w:val="20"/>
        </w:rPr>
        <w:t>11</w:t>
      </w:r>
    </w:p>
    <w:p>
      <w:pPr>
        <w:widowControl/>
        <w:jc w:val="center"/>
        <w:outlineLvl w:val="2"/>
        <w:rPr>
          <w:rFonts w:hint="eastAsia" w:ascii="仿宋_GB2312" w:hAnsi="宋体" w:eastAsia="仿宋_GB2312"/>
          <w:b/>
          <w:kern w:val="0"/>
          <w:sz w:val="32"/>
          <w:szCs w:val="32"/>
        </w:rPr>
      </w:pPr>
      <w:r>
        <w:rPr>
          <w:rFonts w:hint="eastAsia" w:ascii="仿宋_GB2312" w:hAnsi="宋体" w:eastAsia="仿宋_GB2312"/>
          <w:b/>
          <w:kern w:val="0"/>
          <w:sz w:val="32"/>
          <w:szCs w:val="32"/>
        </w:rPr>
        <w:t>上年结转结余情况明细表</w:t>
      </w:r>
    </w:p>
    <w:tbl>
      <w:tblPr>
        <w:tblStyle w:val="12"/>
        <w:tblW w:w="10065" w:type="dxa"/>
        <w:jc w:val="center"/>
        <w:tblInd w:w="0" w:type="dxa"/>
        <w:tblLayout w:type="fixed"/>
        <w:tblCellMar>
          <w:top w:w="0" w:type="dxa"/>
          <w:left w:w="108" w:type="dxa"/>
          <w:bottom w:w="0" w:type="dxa"/>
          <w:right w:w="108" w:type="dxa"/>
        </w:tblCellMar>
      </w:tblPr>
      <w:tblGrid>
        <w:gridCol w:w="8222"/>
        <w:gridCol w:w="1843"/>
      </w:tblGrid>
      <w:tr>
        <w:tblPrEx>
          <w:tblLayout w:type="fixed"/>
          <w:tblCellMar>
            <w:top w:w="0" w:type="dxa"/>
            <w:left w:w="108" w:type="dxa"/>
            <w:bottom w:w="0" w:type="dxa"/>
            <w:right w:w="108" w:type="dxa"/>
          </w:tblCellMar>
        </w:tblPrEx>
        <w:trPr>
          <w:trHeight w:val="357" w:hRule="atLeast"/>
          <w:jc w:val="center"/>
        </w:trPr>
        <w:tc>
          <w:tcPr>
            <w:tcW w:w="8222" w:type="dxa"/>
            <w:vAlign w:val="bottom"/>
          </w:tcPr>
          <w:p>
            <w:pPr>
              <w:widowControl/>
              <w:rPr>
                <w:rFonts w:hint="eastAsia" w:ascii="仿宋_GB2312" w:hAnsi="宋体" w:eastAsia="仿宋_GB2312" w:cs="宋体"/>
                <w:b/>
                <w:bCs/>
                <w:kern w:val="0"/>
                <w:sz w:val="24"/>
              </w:rPr>
            </w:pPr>
            <w:r>
              <w:rPr>
                <w:rFonts w:hint="eastAsia" w:ascii="仿宋_GB2312" w:hAnsi="宋体" w:eastAsia="仿宋_GB2312" w:cs="宋体"/>
                <w:kern w:val="0"/>
                <w:sz w:val="24"/>
              </w:rPr>
              <w:t>编制部门：新疆维吾尔自治区喀什地区麦盖提县第十一幼儿园</w:t>
            </w:r>
          </w:p>
        </w:tc>
        <w:tc>
          <w:tcPr>
            <w:tcW w:w="1843" w:type="dxa"/>
            <w:vAlign w:val="bottom"/>
          </w:tcPr>
          <w:p>
            <w:pPr>
              <w:widowControl/>
              <w:jc w:val="right"/>
              <w:rPr>
                <w:rFonts w:hint="eastAsia" w:ascii="仿宋_GB2312" w:hAnsi="宋体" w:eastAsia="仿宋_GB2312" w:cs="宋体"/>
                <w:kern w:val="0"/>
                <w:sz w:val="24"/>
              </w:rPr>
            </w:pPr>
            <w:r>
              <w:rPr>
                <w:rFonts w:hint="eastAsia" w:ascii="仿宋_GB2312" w:hAnsi="宋体" w:eastAsia="仿宋_GB2312" w:cs="宋体"/>
                <w:kern w:val="0"/>
                <w:sz w:val="24"/>
              </w:rPr>
              <w:t>单位：万元</w:t>
            </w:r>
          </w:p>
        </w:tc>
      </w:tr>
    </w:tbl>
    <w:tbl>
      <w:tblPr>
        <w:tblStyle w:val="22"/>
        <w:tblpPr w:leftFromText="180" w:rightFromText="180" w:vertAnchor="text" w:horzAnchor="margin" w:tblpXSpec="center" w:tblpY="47"/>
        <w:tblOverlap w:val="never"/>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51"/>
        <w:gridCol w:w="1163"/>
        <w:gridCol w:w="992"/>
        <w:gridCol w:w="709"/>
        <w:gridCol w:w="709"/>
        <w:gridCol w:w="992"/>
        <w:gridCol w:w="1134"/>
        <w:gridCol w:w="709"/>
        <w:gridCol w:w="708"/>
        <w:gridCol w:w="9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6" w:hRule="atLeast"/>
          <w:tblHeader/>
        </w:trPr>
        <w:tc>
          <w:tcPr>
            <w:tcW w:w="1951"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tc>
        <w:tc>
          <w:tcPr>
            <w:tcW w:w="1163"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合计</w:t>
            </w:r>
          </w:p>
        </w:tc>
        <w:tc>
          <w:tcPr>
            <w:tcW w:w="3402"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财政拨款</w:t>
            </w:r>
          </w:p>
        </w:tc>
        <w:tc>
          <w:tcPr>
            <w:tcW w:w="3544" w:type="dxa"/>
            <w:gridSpan w:val="4"/>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非财政拨款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2" w:hRule="atLeast"/>
          <w:tblHeader/>
        </w:trPr>
        <w:tc>
          <w:tcPr>
            <w:tcW w:w="1951" w:type="dxa"/>
            <w:vMerge w:val="continue"/>
            <w:vAlign w:val="center"/>
          </w:tcPr>
          <w:p>
            <w:pPr>
              <w:widowControl/>
              <w:jc w:val="center"/>
              <w:rPr>
                <w:rFonts w:hint="eastAsia" w:ascii="仿宋_GB2312" w:eastAsia="仿宋_GB2312" w:cs="宋体" w:hAnsiTheme="minorEastAsia"/>
                <w:b/>
                <w:bCs/>
                <w:kern w:val="0"/>
                <w:sz w:val="20"/>
                <w:szCs w:val="20"/>
              </w:rPr>
            </w:pPr>
          </w:p>
        </w:tc>
        <w:tc>
          <w:tcPr>
            <w:tcW w:w="1163" w:type="dxa"/>
            <w:vMerge w:val="continue"/>
            <w:vAlign w:val="center"/>
          </w:tcPr>
          <w:p>
            <w:pPr>
              <w:rPr>
                <w:rFonts w:hint="eastAsia" w:ascii="仿宋_GB2312" w:eastAsia="仿宋_GB2312" w:cs="宋体" w:hAnsiTheme="minorEastAsia"/>
                <w:b/>
                <w:bCs/>
                <w:kern w:val="0"/>
                <w:sz w:val="20"/>
                <w:szCs w:val="20"/>
              </w:rPr>
            </w:pP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8"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2"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c>
          <w:tcPr>
            <w:tcW w:w="1134" w:type="dxa"/>
            <w:vMerge w:val="restart"/>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小计</w:t>
            </w:r>
          </w:p>
        </w:tc>
        <w:tc>
          <w:tcPr>
            <w:tcW w:w="1417" w:type="dxa"/>
            <w:gridSpan w:val="2"/>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基本支出</w:t>
            </w:r>
          </w:p>
        </w:tc>
        <w:tc>
          <w:tcPr>
            <w:tcW w:w="993" w:type="dxa"/>
            <w:vMerge w:val="restart"/>
            <w:vAlign w:val="center"/>
          </w:tcPr>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项目</w:t>
            </w:r>
          </w:p>
          <w:p>
            <w:pPr>
              <w:widowControl/>
              <w:spacing w:line="280" w:lineRule="exact"/>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支出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65" w:hRule="atLeast"/>
          <w:tblHeader/>
        </w:trPr>
        <w:tc>
          <w:tcPr>
            <w:tcW w:w="1951"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63"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2"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1134" w:type="dxa"/>
            <w:vMerge w:val="continue"/>
            <w:vAlign w:val="center"/>
          </w:tcPr>
          <w:p>
            <w:pPr>
              <w:widowControl/>
              <w:jc w:val="center"/>
              <w:rPr>
                <w:rFonts w:hint="eastAsia" w:cs="宋体" w:asciiTheme="minorEastAsia" w:hAnsiTheme="minorEastAsia" w:eastAsiaTheme="minorEastAsia"/>
                <w:b/>
                <w:bCs/>
                <w:kern w:val="0"/>
                <w:sz w:val="20"/>
                <w:szCs w:val="20"/>
              </w:rPr>
            </w:pPr>
          </w:p>
        </w:tc>
        <w:tc>
          <w:tcPr>
            <w:tcW w:w="709"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人员</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708" w:type="dxa"/>
            <w:vAlign w:val="center"/>
          </w:tcPr>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公用</w:t>
            </w:r>
          </w:p>
          <w:p>
            <w:pPr>
              <w:widowControl/>
              <w:jc w:val="center"/>
              <w:rPr>
                <w:rFonts w:hint="eastAsia" w:ascii="仿宋_GB2312" w:eastAsia="仿宋_GB2312" w:cs="宋体" w:hAnsiTheme="minorEastAsia"/>
                <w:b/>
                <w:bCs/>
                <w:kern w:val="0"/>
                <w:sz w:val="20"/>
                <w:szCs w:val="20"/>
              </w:rPr>
            </w:pPr>
            <w:r>
              <w:rPr>
                <w:rFonts w:hint="eastAsia" w:ascii="仿宋_GB2312" w:eastAsia="仿宋_GB2312" w:cs="宋体" w:hAnsiTheme="minorEastAsia"/>
                <w:b/>
                <w:bCs/>
                <w:kern w:val="0"/>
                <w:sz w:val="20"/>
                <w:szCs w:val="20"/>
              </w:rPr>
              <w:t>经费</w:t>
            </w:r>
          </w:p>
        </w:tc>
        <w:tc>
          <w:tcPr>
            <w:tcW w:w="993" w:type="dxa"/>
            <w:vMerge w:val="continue"/>
            <w:vAlign w:val="center"/>
          </w:tcPr>
          <w:p>
            <w:pPr>
              <w:widowControl/>
              <w:spacing w:line="280" w:lineRule="exact"/>
              <w:jc w:val="center"/>
              <w:rPr>
                <w:rFonts w:hint="eastAsia" w:ascii="仿宋_GB2312" w:hAnsi="宋体" w:eastAsia="仿宋_GB2312" w:cs="宋体"/>
                <w:b/>
                <w:bCs/>
                <w:kern w:val="0"/>
                <w:sz w:val="20"/>
                <w:szCs w:val="2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18" w:hRule="atLeast"/>
        </w:trPr>
        <w:tc>
          <w:tcPr>
            <w:tcW w:w="1951" w:type="dxa"/>
            <w:vAlign w:val="center"/>
          </w:tcPr>
          <w:p>
            <w:pPr>
              <w:jc w:val="center"/>
              <w:rPr>
                <w:rFonts w:ascii="仿宋_GB2312" w:eastAsia="仿宋_GB2312"/>
                <w:b/>
                <w:bCs/>
                <w:sz w:val="18"/>
                <w:szCs w:val="18"/>
              </w:rPr>
            </w:pPr>
          </w:p>
        </w:tc>
        <w:tc>
          <w:tcPr>
            <w:tcW w:w="1163" w:type="dxa"/>
            <w:vAlign w:val="center"/>
          </w:tcPr>
          <w:p>
            <w:pPr>
              <w:jc w:val="center"/>
              <w:rPr>
                <w:rFonts w:ascii="仿宋_GB2312" w:eastAsia="仿宋_GB2312"/>
                <w:b/>
                <w:bCs/>
                <w:sz w:val="18"/>
                <w:szCs w:val="18"/>
              </w:rPr>
            </w:pPr>
            <w:r>
              <w:rPr>
                <w:rFonts w:hint="eastAsia" w:ascii="仿宋_GB2312" w:eastAsia="仿宋_GB2312"/>
                <w:b/>
                <w:bCs/>
                <w:sz w:val="18"/>
                <w:szCs w:val="18"/>
              </w:rPr>
              <w:t>总计</w:t>
            </w:r>
          </w:p>
        </w:tc>
        <w:tc>
          <w:tcPr>
            <w:tcW w:w="992" w:type="dxa"/>
            <w:vAlign w:val="center"/>
          </w:tcPr>
          <w:p>
            <w:pPr>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709" w:type="dxa"/>
            <w:vAlign w:val="center"/>
          </w:tcPr>
          <w:p>
            <w:pPr>
              <w:widowControl/>
              <w:jc w:val="center"/>
              <w:rPr>
                <w:rFonts w:ascii="仿宋_GB2312" w:eastAsia="仿宋_GB2312"/>
                <w:b/>
                <w:bCs/>
                <w:sz w:val="18"/>
                <w:szCs w:val="18"/>
              </w:rPr>
            </w:pPr>
          </w:p>
        </w:tc>
        <w:tc>
          <w:tcPr>
            <w:tcW w:w="992" w:type="dxa"/>
            <w:vAlign w:val="center"/>
          </w:tcPr>
          <w:p>
            <w:pPr>
              <w:jc w:val="center"/>
              <w:rPr>
                <w:rFonts w:ascii="仿宋_GB2312" w:eastAsia="仿宋_GB2312"/>
                <w:b/>
                <w:bCs/>
                <w:sz w:val="18"/>
                <w:szCs w:val="18"/>
              </w:rPr>
            </w:pPr>
          </w:p>
        </w:tc>
        <w:tc>
          <w:tcPr>
            <w:tcW w:w="1134" w:type="dxa"/>
            <w:vAlign w:val="center"/>
          </w:tcPr>
          <w:p>
            <w:pPr>
              <w:jc w:val="center"/>
              <w:rPr>
                <w:rFonts w:ascii="仿宋_GB2312" w:eastAsia="仿宋_GB2312"/>
                <w:b/>
                <w:bCs/>
                <w:sz w:val="18"/>
                <w:szCs w:val="18"/>
              </w:rPr>
            </w:pPr>
          </w:p>
        </w:tc>
        <w:tc>
          <w:tcPr>
            <w:tcW w:w="709" w:type="dxa"/>
            <w:vAlign w:val="center"/>
          </w:tcPr>
          <w:p>
            <w:pPr>
              <w:jc w:val="center"/>
              <w:rPr>
                <w:rFonts w:ascii="仿宋_GB2312" w:eastAsia="仿宋_GB2312"/>
                <w:b/>
                <w:bCs/>
                <w:sz w:val="18"/>
                <w:szCs w:val="18"/>
              </w:rPr>
            </w:pPr>
          </w:p>
        </w:tc>
        <w:tc>
          <w:tcPr>
            <w:tcW w:w="708" w:type="dxa"/>
            <w:vAlign w:val="center"/>
          </w:tcPr>
          <w:p>
            <w:pPr>
              <w:jc w:val="center"/>
              <w:rPr>
                <w:rFonts w:ascii="仿宋_GB2312" w:eastAsia="仿宋_GB2312"/>
                <w:b/>
                <w:bCs/>
                <w:sz w:val="18"/>
                <w:szCs w:val="18"/>
              </w:rPr>
            </w:pPr>
          </w:p>
        </w:tc>
        <w:tc>
          <w:tcPr>
            <w:tcW w:w="993" w:type="dxa"/>
            <w:vAlign w:val="center"/>
          </w:tcPr>
          <w:p>
            <w:pPr>
              <w:jc w:val="center"/>
              <w:rPr>
                <w:rFonts w:ascii="仿宋_GB2312" w:eastAsia="仿宋_GB2312"/>
                <w:b/>
                <w:bCs/>
                <w:sz w:val="18"/>
                <w:szCs w:val="18"/>
              </w:rPr>
            </w:pPr>
          </w:p>
        </w:tc>
      </w:tr>
    </w:tbl>
    <w:p>
      <w:pPr>
        <w:widowControl/>
        <w:jc w:val="left"/>
        <w:rPr>
          <w:rFonts w:hint="eastAsia" w:cs="宋体" w:asciiTheme="minorEastAsia" w:hAnsiTheme="minorEastAsia" w:eastAsiaTheme="minorEastAsia"/>
          <w:kern w:val="0"/>
          <w:sz w:val="18"/>
          <w:szCs w:val="18"/>
        </w:rPr>
      </w:pPr>
      <w:r>
        <w:rPr>
          <w:rFonts w:hint="eastAsia" w:cs="宋体" w:asciiTheme="minorEastAsia" w:hAnsiTheme="minorEastAsia" w:eastAsiaTheme="minorEastAsia"/>
          <w:kern w:val="0"/>
          <w:sz w:val="18"/>
          <w:szCs w:val="18"/>
        </w:rPr>
        <w:t>备注：新疆维吾尔自治区喀什地区麦盖提县第十一幼儿园</w:t>
      </w:r>
      <w:r>
        <w:rPr>
          <w:rFonts w:hint="eastAsia" w:cs="宋体" w:asciiTheme="minorEastAsia" w:hAnsiTheme="minorEastAsia" w:eastAsiaTheme="minorEastAsia"/>
          <w:kern w:val="0"/>
          <w:sz w:val="18"/>
          <w:szCs w:val="18"/>
          <w:lang w:eastAsia="zh-CN"/>
        </w:rPr>
        <w:t>2026</w:t>
      </w:r>
      <w:r>
        <w:rPr>
          <w:rFonts w:hint="eastAsia" w:cs="宋体" w:asciiTheme="minorEastAsia" w:hAnsiTheme="minorEastAsia" w:eastAsiaTheme="minorEastAsia"/>
          <w:kern w:val="0"/>
          <w:sz w:val="18"/>
          <w:szCs w:val="18"/>
        </w:rPr>
        <w:t>年无上年结转结余预算的支出，结转结余预算支出情况表为空表。</w:t>
      </w:r>
    </w:p>
    <w:p>
      <w:pPr>
        <w:widowControl/>
        <w:spacing w:line="20" w:lineRule="exact"/>
        <w:jc w:val="left"/>
        <w:rPr>
          <w:rFonts w:hint="eastAsia" w:ascii="仿宋_GB2312" w:hAnsi="宋体" w:eastAsia="仿宋_GB2312"/>
          <w:b/>
          <w:kern w:val="0"/>
          <w:sz w:val="18"/>
          <w:szCs w:val="18"/>
        </w:rPr>
      </w:pPr>
      <w:r>
        <w:rPr>
          <w:rFonts w:ascii="仿宋_GB2312" w:hAnsi="宋体" w:eastAsia="仿宋_GB2312"/>
          <w:b/>
          <w:kern w:val="0"/>
          <w:sz w:val="18"/>
          <w:szCs w:val="18"/>
        </w:rPr>
        <w:br w:type="page"/>
      </w:r>
    </w:p>
    <w:p>
      <w:pPr>
        <w:spacing w:line="600" w:lineRule="exact"/>
        <w:jc w:val="center"/>
        <w:outlineLvl w:val="1"/>
        <w:rPr>
          <w:rFonts w:hint="eastAsia" w:ascii="黑体" w:hAnsi="黑体" w:eastAsia="黑体"/>
          <w:kern w:val="0"/>
          <w:sz w:val="32"/>
          <w:szCs w:val="32"/>
        </w:rPr>
      </w:pPr>
      <w:r>
        <w:rPr>
          <w:rFonts w:hint="eastAsia" w:ascii="黑体" w:hAnsi="黑体" w:eastAsia="黑体"/>
          <w:kern w:val="0"/>
          <w:sz w:val="32"/>
          <w:szCs w:val="32"/>
        </w:rPr>
        <w:t xml:space="preserve">第三部分 </w:t>
      </w:r>
      <w:r>
        <w:rPr>
          <w:rFonts w:hint="eastAsia" w:ascii="黑体" w:hAnsi="黑体" w:eastAsia="黑体"/>
          <w:kern w:val="0"/>
          <w:sz w:val="32"/>
          <w:szCs w:val="32"/>
          <w:lang w:eastAsia="zh-CN"/>
        </w:rPr>
        <w:t>2026</w:t>
      </w:r>
      <w:r>
        <w:rPr>
          <w:rFonts w:hint="eastAsia" w:ascii="黑体" w:hAnsi="黑体" w:eastAsia="黑体"/>
          <w:kern w:val="0"/>
          <w:sz w:val="32"/>
          <w:szCs w:val="32"/>
        </w:rPr>
        <w:t>年</w:t>
      </w:r>
      <w:r>
        <w:rPr>
          <w:rFonts w:ascii="黑体" w:hAnsi="黑体" w:eastAsia="黑体"/>
          <w:kern w:val="0"/>
          <w:sz w:val="32"/>
          <w:szCs w:val="32"/>
          <w:cs/>
        </w:rPr>
        <w:t>‎</w:t>
      </w:r>
      <w:r>
        <w:rPr>
          <w:rFonts w:hint="eastAsia" w:ascii="黑体" w:hAnsi="黑体" w:eastAsia="黑体"/>
          <w:kern w:val="0"/>
          <w:sz w:val="32"/>
          <w:szCs w:val="32"/>
        </w:rPr>
        <w:t>部门预算情况说明</w:t>
      </w:r>
    </w:p>
    <w:p>
      <w:pPr>
        <w:spacing w:line="560" w:lineRule="exact"/>
        <w:jc w:val="center"/>
        <w:rPr>
          <w:rFonts w:hint="eastAsia" w:ascii="黑体" w:hAnsi="黑体" w:eastAsia="黑体"/>
          <w:kern w:val="0"/>
          <w:sz w:val="32"/>
          <w:szCs w:val="32"/>
        </w:rPr>
      </w:pP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一、关于新疆维吾尔自治区喀什地区麦盖提县第十一幼儿园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按照全口径预算的原则，新疆维吾尔自治区喀什地区麦盖提县第十一幼儿园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年所有收入和支出均纳入部门预算管理。收支总预算145.53万元。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支出预算包括：教育支出。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二、关于新疆维吾尔自治区喀什地区麦盖提县第十一幼儿园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年收入预算情况说明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新疆维吾尔自治区喀什地区麦盖提县第十一幼儿园收入预算145.53万元，其中：</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一般公共预算145.53万元，占100%,比上年预算增加145.53万元，增长100%，主要原因是：本年我部门为新增独立核算部门。</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上级一般公共预算安排的转移支付资金未安排。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政府性基金预算未安排。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上级政府性基金安排的转移支付资金未安排。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国有资本经营预算未安排。</w:t>
      </w:r>
    </w:p>
    <w:p>
      <w:pPr>
        <w:spacing w:line="560" w:lineRule="exact"/>
        <w:ind w:firstLine="640" w:firstLineChars="200"/>
        <w:jc w:val="left"/>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上级国有资本经营预算安排的转移支付资金未安排。</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三、关于新疆维吾尔自治区喀什地区麦盖提县第十一幼儿园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年支出预算情况说明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年支出预算</w:t>
      </w:r>
      <w:r>
        <w:rPr>
          <w:rFonts w:ascii="仿宋_GB2312" w:hAnsi="宋体" w:eastAsia="仿宋_GB2312" w:cs="宋体"/>
          <w:kern w:val="0"/>
          <w:sz w:val="32"/>
          <w:szCs w:val="32"/>
        </w:rPr>
        <w:t>145.53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145.53</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100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145.53</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100</w:t>
      </w:r>
      <w:r>
        <w:rPr>
          <w:rFonts w:hint="eastAsia" w:ascii="仿宋_GB2312" w:hAnsi="宋体" w:eastAsia="仿宋_GB2312" w:cs="宋体"/>
          <w:kern w:val="0"/>
          <w:sz w:val="32"/>
          <w:szCs w:val="32"/>
        </w:rPr>
        <w:t>%，主要原因是：</w:t>
      </w:r>
      <w:r>
        <w:rPr>
          <w:rFonts w:ascii="仿宋_GB2312" w:hAnsi="宋体" w:eastAsia="仿宋_GB2312" w:cs="宋体"/>
          <w:kern w:val="0"/>
          <w:sz w:val="32"/>
          <w:szCs w:val="32"/>
        </w:rPr>
        <w:t>本年我部门为新增独立核算部门。</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万元，占</w:t>
      </w:r>
      <w:r>
        <w:rPr>
          <w:rFonts w:ascii="仿宋_GB2312" w:hAnsi="宋体" w:eastAsia="仿宋_GB2312" w:cs="宋体"/>
          <w:kern w:val="0"/>
          <w:sz w:val="32"/>
          <w:szCs w:val="32"/>
        </w:rPr>
        <w:t>0</w:t>
      </w:r>
      <w:r>
        <w:rPr>
          <w:rFonts w:hint="eastAsia" w:ascii="仿宋_GB2312" w:hAnsi="宋体" w:eastAsia="仿宋_GB2312" w:cs="宋体"/>
          <w:kern w:val="0"/>
          <w:sz w:val="32"/>
          <w:szCs w:val="32"/>
        </w:rPr>
        <w:t>%，比上年预算增加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万元，增长</w:t>
      </w:r>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四、关于新疆维吾尔自治区喀什地区麦盖提县第十一幼儿园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年财政拨款收支预算情况的总体说明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年财政拨款收支总预算145.53万元。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收入全部为一般公共预算拨款，无政府性基金预算拨款和国有资本经营预算。</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收入预算包括：一般公共预算拨款145.53万元。</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一般公共预算支出包括：教育支出145.53万元，主要用于：在职人员工资，五险一金，伙食费，公用经费，取暖费。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五、关于新疆维吾尔自治区喀什地区麦盖提县第十一幼儿园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年一般公共预算当年拨款情况说明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（一）一般公共预算当年拨款规模变化情况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年一般公共预算拨款合计</w:t>
      </w:r>
      <w:r>
        <w:rPr>
          <w:rFonts w:ascii="仿宋_GB2312" w:hAnsi="宋体" w:eastAsia="仿宋_GB2312" w:cs="宋体"/>
          <w:kern w:val="0"/>
          <w:sz w:val="32"/>
          <w:szCs w:val="32"/>
        </w:rPr>
        <w:t>145.53</w:t>
      </w:r>
      <w:r>
        <w:rPr>
          <w:rFonts w:hint="eastAsia" w:ascii="仿宋_GB2312" w:hAnsi="宋体" w:eastAsia="仿宋_GB2312" w:cs="宋体"/>
          <w:kern w:val="0"/>
          <w:sz w:val="32"/>
          <w:szCs w:val="32"/>
        </w:rPr>
        <w:t>万元，其中：</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基本支出</w:t>
      </w:r>
      <w:r>
        <w:rPr>
          <w:rFonts w:ascii="仿宋_GB2312" w:hAnsi="宋体" w:eastAsia="仿宋_GB2312" w:cs="宋体"/>
          <w:kern w:val="0"/>
          <w:sz w:val="32"/>
          <w:szCs w:val="32"/>
        </w:rPr>
        <w:t>145.53</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145.53</w:t>
      </w:r>
      <w:r>
        <w:rPr>
          <w:rFonts w:hint="eastAsia" w:ascii="仿宋_GB2312" w:hAnsi="宋体" w:eastAsia="仿宋_GB2312" w:cs="宋体"/>
          <w:kern w:val="0"/>
          <w:sz w:val="32"/>
          <w:szCs w:val="32"/>
        </w:rPr>
        <w:t>万元，</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r>
        <w:rPr>
          <w:rFonts w:ascii="仿宋_GB2312" w:hAnsi="宋体" w:eastAsia="仿宋_GB2312" w:cs="宋体"/>
          <w:kern w:val="0"/>
          <w:sz w:val="32"/>
          <w:szCs w:val="32"/>
        </w:rPr>
        <w:t>100</w:t>
      </w:r>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 xml:space="preserve"> %。主要原因是：</w:t>
      </w:r>
      <w:r>
        <w:rPr>
          <w:rFonts w:ascii="仿宋_GB2312" w:hAnsi="宋体" w:eastAsia="仿宋_GB2312" w:cs="宋体"/>
          <w:kern w:val="0"/>
          <w:sz w:val="32"/>
          <w:szCs w:val="32"/>
        </w:rPr>
        <w:t>本年我部门为新增独立核算部门。</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项目支出</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万元，比上年预算增加</w:t>
      </w:r>
      <w:r>
        <w:rPr>
          <w:rFonts w:ascii="仿宋_GB2312" w:hAnsi="宋体" w:eastAsia="仿宋_GB2312" w:cs="宋体"/>
          <w:kern w:val="0"/>
          <w:sz w:val="32"/>
          <w:szCs w:val="32"/>
        </w:rPr>
        <w:t>0</w:t>
      </w:r>
      <w:r>
        <w:rPr>
          <w:rFonts w:hint="eastAsia" w:ascii="仿宋_GB2312" w:hAnsi="宋体" w:eastAsia="仿宋_GB2312" w:cs="宋体"/>
          <w:kern w:val="0"/>
          <w:sz w:val="32"/>
          <w:szCs w:val="32"/>
        </w:rPr>
        <w:t>万元，</w:t>
      </w:r>
      <w:bookmarkStart w:id="3" w:name="_Hlk157511263"/>
      <w:r>
        <w:rPr>
          <w:rFonts w:hint="eastAsia" w:ascii="MS Gothic" w:hAnsi="MS Gothic" w:eastAsia="MS Gothic" w:cs="MS Gothic"/>
          <w:kern w:val="0"/>
          <w:sz w:val="32"/>
          <w:szCs w:val="32"/>
          <w:cs/>
        </w:rPr>
        <w:t>‎</w:t>
      </w:r>
      <w:r>
        <w:rPr>
          <w:rFonts w:hint="eastAsia" w:ascii="仿宋_GB2312" w:hAnsi="宋体" w:eastAsia="仿宋_GB2312" w:cs="宋体"/>
          <w:kern w:val="0"/>
          <w:sz w:val="32"/>
          <w:szCs w:val="32"/>
        </w:rPr>
        <w:t>增长</w:t>
      </w:r>
      <w:bookmarkEnd w:id="3"/>
      <w:r>
        <w:rPr>
          <w:rFonts w:ascii="仿宋_GB2312" w:hAnsi="宋体" w:eastAsia="仿宋_GB2312" w:cs="宋体"/>
          <w:kern w:val="0"/>
          <w:sz w:val="32"/>
          <w:szCs w:val="32"/>
        </w:rPr>
        <w:t>0</w:t>
      </w:r>
      <w:r>
        <w:rPr>
          <w:rFonts w:hint="eastAsia" w:ascii="仿宋_GB2312" w:hAnsi="宋体" w:eastAsia="仿宋_GB2312" w:cs="宋体"/>
          <w:kern w:val="0"/>
          <w:sz w:val="32"/>
          <w:szCs w:val="32"/>
        </w:rPr>
        <w:t>%。主要原因是：</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年度及</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年度均未安排项目支出预算。</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（二）一般公共预算当年拨款结构情况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w:t>
      </w:r>
      <w:r>
        <w:rPr>
          <w:rFonts w:ascii="仿宋_GB2312" w:hAnsi="宋体" w:eastAsia="仿宋_GB2312" w:cs="宋体"/>
          <w:kern w:val="0"/>
          <w:sz w:val="32"/>
          <w:szCs w:val="32"/>
        </w:rPr>
        <w:t>.教育支出（类）145.53万元，占100.00%</w:t>
      </w:r>
      <w:r>
        <w:rPr>
          <w:rFonts w:hint="eastAsia" w:ascii="仿宋_GB2312" w:hAnsi="宋体" w:eastAsia="仿宋_GB2312" w:cs="宋体"/>
          <w:kern w:val="0"/>
          <w:sz w:val="32"/>
          <w:szCs w:val="32"/>
        </w:rPr>
        <w:t>。</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（三）一般公共预算当年拨款具体使用情况</w:t>
      </w:r>
    </w:p>
    <w:p>
      <w:pPr>
        <w:spacing w:line="60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1.教育支出（类）普通教育（款）学前教育（项）：</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年预算数为145.53万元，比上年预算增加145.53万元，</w:t>
      </w:r>
      <w:bookmarkStart w:id="4" w:name="_Hlk157617573"/>
      <w:r>
        <w:rPr>
          <w:rFonts w:hint="eastAsia" w:ascii="仿宋_GB2312" w:hAnsi="宋体" w:eastAsia="仿宋_GB2312" w:cs="宋体"/>
          <w:kern w:val="0"/>
          <w:sz w:val="32"/>
          <w:szCs w:val="32"/>
        </w:rPr>
        <w:t>增长</w:t>
      </w:r>
      <w:bookmarkEnd w:id="4"/>
      <w:r>
        <w:rPr>
          <w:rFonts w:hint="eastAsia" w:ascii="仿宋_GB2312" w:hAnsi="宋体" w:eastAsia="仿宋_GB2312" w:cs="宋体"/>
          <w:kern w:val="0"/>
          <w:sz w:val="32"/>
          <w:szCs w:val="32"/>
        </w:rPr>
        <w:t>100.00%，主要原因是：本年我部门为新增独立核算部门。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六、关于新疆维吾尔自治区喀什地区麦盖提县第十一幼儿园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年一般公共预算基本支出情况说明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年一般公共预算基本支出</w:t>
      </w:r>
      <w:r>
        <w:rPr>
          <w:rFonts w:ascii="仿宋_GB2312" w:hAnsi="宋体" w:eastAsia="仿宋_GB2312" w:cs="宋体"/>
          <w:kern w:val="0"/>
          <w:sz w:val="32"/>
          <w:szCs w:val="32"/>
        </w:rPr>
        <w:t>145.53</w:t>
      </w:r>
      <w:r>
        <w:rPr>
          <w:rFonts w:hint="eastAsia" w:ascii="仿宋_GB2312" w:hAnsi="宋体" w:eastAsia="仿宋_GB2312" w:cs="宋体"/>
          <w:kern w:val="0"/>
          <w:sz w:val="32"/>
          <w:szCs w:val="32"/>
        </w:rPr>
        <w:t>万元，其中：</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人员经费145.5万元，主要包括：基本工资、津贴补贴、奖金、绩效工资、机关事业单位基本养老保险缴费、职工基本医疗保险缴费、其他社会保障缴费、住房公积金。</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公用经费0.03万元，主要包括：其他商品和服务支出。</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七、关于新疆维吾尔自治区喀什地区麦盖提县第十一幼儿园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年一般公共预算项目支出情况说明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年没有使用一般公共预算项目支出，一般公共预算项目支出情况表为空表。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八、关于新疆维吾尔自治区喀什地区麦盖提县第十一幼儿园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年政府性基金预算拨款情况说明</w:t>
      </w:r>
    </w:p>
    <w:p>
      <w:pPr>
        <w:spacing w:line="560" w:lineRule="exact"/>
        <w:ind w:firstLine="640" w:firstLineChars="200"/>
        <w:rPr>
          <w:rFonts w:hint="eastAsia" w:ascii="仿宋_GB2312" w:hAnsi="宋体" w:eastAsia="仿宋_GB2312" w:cs="宋体"/>
          <w:kern w:val="0"/>
          <w:sz w:val="32"/>
          <w:szCs w:val="32"/>
        </w:rPr>
      </w:pPr>
      <w:bookmarkStart w:id="5" w:name="_Hlk160636468"/>
      <w:r>
        <w:rPr>
          <w:rFonts w:hint="eastAsia" w:ascii="仿宋_GB2312" w:hAnsi="宋体" w:eastAsia="仿宋_GB2312" w:cs="宋体"/>
          <w:kern w:val="0"/>
          <w:sz w:val="32"/>
          <w:szCs w:val="32"/>
        </w:rPr>
        <w:t>新疆维吾尔自治区喀什地区</w:t>
      </w:r>
      <w:bookmarkEnd w:id="5"/>
      <w:r>
        <w:rPr>
          <w:rFonts w:hint="eastAsia" w:ascii="仿宋_GB2312" w:hAnsi="宋体" w:eastAsia="仿宋_GB2312" w:cs="宋体"/>
          <w:kern w:val="0"/>
          <w:sz w:val="32"/>
          <w:szCs w:val="32"/>
        </w:rPr>
        <w:t>麦盖提县第十一幼儿园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年没有使用政府性基金预算拨款安排的支出，政府性基金预算支出情况表为空表。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九、关于新疆维吾尔自治区喀什地区麦盖提县第十一幼儿园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年国有资本预算拨款情况说明</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年没有使用国有资本经营预算拨款安排的支出，国有资本经营预算支出情况表为空表。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十、关于新疆维吾尔自治区喀什地区麦盖提县第十一幼儿园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年财政拨款“三公”经费预算情况说明</w:t>
      </w:r>
    </w:p>
    <w:p>
      <w:pPr>
        <w:spacing w:line="560" w:lineRule="exact"/>
        <w:ind w:firstLine="560" w:firstLineChars="200"/>
        <w:rPr>
          <w:rFonts w:hint="eastAsia" w:ascii="仿宋_GB2312" w:hAnsi="宋体" w:eastAsia="仿宋_GB2312" w:cs="宋体"/>
          <w:kern w:val="0"/>
          <w:sz w:val="32"/>
          <w:szCs w:val="32"/>
        </w:rPr>
      </w:pPr>
      <w:r>
        <w:rPr>
          <w:rFonts w:hint="eastAsia" w:ascii="MS Gothic" w:hAnsi="MS Gothic" w:eastAsia="MS Gothic" w:cs="MS Gothic"/>
          <w:kern w:val="0"/>
          <w:sz w:val="28"/>
          <w:szCs w:val="28"/>
          <w:cs/>
        </w:rPr>
        <w:t>‎</w:t>
      </w:r>
      <w:r>
        <w:rPr>
          <w:rFonts w:ascii="MS Gothic" w:hAnsi="MS Gothic" w:eastAsia="MS Gothic" w:cs="MS Gothic"/>
          <w:kern w:val="0"/>
          <w:sz w:val="28"/>
          <w:szCs w:val="28"/>
          <w:cs/>
        </w:rPr>
        <w:t>‎</w:t>
      </w:r>
      <w:r>
        <w:rPr>
          <w:rFonts w:hint="eastAsia" w:ascii="仿宋_GB2312" w:hAnsi="宋体" w:eastAsia="仿宋_GB2312" w:cs="宋体"/>
          <w:kern w:val="0"/>
          <w:sz w:val="32"/>
          <w:szCs w:val="32"/>
        </w:rPr>
        <w:t>新疆维吾尔自治区喀什地区麦盖提县第十一幼儿园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年财政拨款“三公”经费数为0万元，其中：因公出国（境）费0万元，公务用车购置费0万元，公务用车运行费0万元，公务接待费0万元。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年财政拨款“三公”经费比上年预算增加0万元，增长0%，其中：因公出国（境）费增加0万元，增长0%，主要原因是：我部门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年均未安排因公出国（境）费；公务用车购置费增加0万元，增长0%，主要原因是：我部门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年均未安排公务用车购置费；公务用车运行费增加0万元，增长0%，主要原因是：我部门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年均未安排公务用车运行费；公务接待费增加0万元，增长0%，主要原因是：我部门</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年与</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年均未安排公务接待费。</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十一、关于新疆维吾尔自治区喀什地区麦盖提县第十一幼儿园</w:t>
      </w:r>
      <w:r>
        <w:rPr>
          <w:rFonts w:hint="eastAsia" w:ascii="楷体_GB2312" w:hAnsi="楷体_GB2312" w:eastAsia="楷体_GB2312" w:cs="楷体_GB2312"/>
          <w:b/>
          <w:kern w:val="0"/>
          <w:sz w:val="32"/>
          <w:szCs w:val="32"/>
          <w:lang w:eastAsia="zh-CN"/>
        </w:rPr>
        <w:t>2026</w:t>
      </w:r>
      <w:r>
        <w:rPr>
          <w:rFonts w:hint="eastAsia" w:ascii="楷体_GB2312" w:hAnsi="楷体_GB2312" w:eastAsia="楷体_GB2312" w:cs="楷体_GB2312"/>
          <w:b/>
          <w:kern w:val="0"/>
          <w:sz w:val="32"/>
          <w:szCs w:val="32"/>
        </w:rPr>
        <w:t>年上年结转结余预算情况说明</w:t>
      </w:r>
    </w:p>
    <w:p>
      <w:pPr>
        <w:spacing w:line="600" w:lineRule="exact"/>
        <w:ind w:firstLine="640" w:firstLineChars="200"/>
        <w:rPr>
          <w:rFonts w:hint="eastAsia" w:ascii="仿宋_GB2312" w:hAnsi="仿宋_GB2312" w:eastAsia="仿宋_GB2312" w:cs="仿宋_GB2312"/>
          <w:kern w:val="0"/>
          <w:sz w:val="32"/>
          <w:szCs w:val="32"/>
        </w:rPr>
      </w:pP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rPr>
        <w:t>新疆维吾尔自治区喀什地区</w:t>
      </w:r>
      <w:r>
        <w:rPr>
          <w:rFonts w:ascii="仿宋_GB2312" w:hAnsi="仿宋_GB2312" w:eastAsia="仿宋_GB2312" w:cs="仿宋_GB2312"/>
          <w:kern w:val="0"/>
          <w:sz w:val="32"/>
          <w:szCs w:val="32"/>
        </w:rPr>
        <w:t>麦盖提县第十一幼儿园</w:t>
      </w:r>
      <w:r>
        <w:rPr>
          <w:rFonts w:hint="eastAsia" w:ascii="MS Gothic" w:hAnsi="MS Gothic" w:eastAsia="MS Gothic" w:cs="MS Gothic"/>
          <w:kern w:val="0"/>
          <w:sz w:val="32"/>
          <w:szCs w:val="32"/>
          <w:cs/>
        </w:rPr>
        <w:t>‎</w:t>
      </w:r>
      <w:r>
        <w:rPr>
          <w:rFonts w:hint="eastAsia" w:ascii="仿宋_GB2312" w:hAnsi="仿宋_GB2312" w:eastAsia="仿宋_GB2312" w:cs="仿宋_GB2312"/>
          <w:kern w:val="0"/>
          <w:sz w:val="32"/>
          <w:szCs w:val="32"/>
          <w:lang w:eastAsia="zh-CN"/>
        </w:rPr>
        <w:t>2026</w:t>
      </w:r>
      <w:r>
        <w:rPr>
          <w:rFonts w:ascii="Arial" w:hAnsi="Arial" w:eastAsia="仿宋_GB2312" w:cs="Arial"/>
          <w:kern w:val="0"/>
          <w:sz w:val="32"/>
          <w:szCs w:val="32"/>
        </w:rPr>
        <w:t>‎</w:t>
      </w:r>
      <w:r>
        <w:rPr>
          <w:rFonts w:hint="eastAsia" w:ascii="微软雅黑" w:hAnsi="微软雅黑" w:eastAsia="微软雅黑" w:cs="微软雅黑"/>
          <w:kern w:val="0"/>
          <w:sz w:val="32"/>
          <w:szCs w:val="32"/>
        </w:rPr>
        <w:t>年无上年结转结余预算的支出</w:t>
      </w:r>
      <w:r>
        <w:rPr>
          <w:rFonts w:hint="eastAsia" w:ascii="仿宋_GB2312" w:hAnsi="仿宋_GB2312" w:eastAsia="仿宋_GB2312" w:cs="仿宋_GB2312"/>
          <w:kern w:val="0"/>
          <w:sz w:val="32"/>
          <w:szCs w:val="32"/>
        </w:rPr>
        <w:t>，结转结余预算支出情况表为空表。</w:t>
      </w:r>
    </w:p>
    <w:p>
      <w:pPr>
        <w:widowControl/>
        <w:ind w:firstLine="643" w:firstLineChars="200"/>
        <w:jc w:val="left"/>
        <w:outlineLvl w:val="2"/>
        <w:rPr>
          <w:rFonts w:hint="eastAsia" w:ascii="楷体_GB2312" w:hAnsi="楷体_GB2312" w:eastAsia="楷体_GB2312" w:cs="楷体_GB2312"/>
          <w:b/>
          <w:kern w:val="0"/>
          <w:sz w:val="32"/>
          <w:szCs w:val="32"/>
        </w:rPr>
      </w:pPr>
      <w:r>
        <w:rPr>
          <w:rFonts w:hint="eastAsia" w:ascii="楷体_GB2312" w:hAnsi="楷体_GB2312" w:eastAsia="楷体_GB2312" w:cs="楷体_GB2312"/>
          <w:b/>
          <w:kern w:val="0"/>
          <w:sz w:val="32"/>
          <w:szCs w:val="32"/>
        </w:rPr>
        <w:t>十二、其他重要事项的情况说明</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（一）单位运行经费情况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新疆维吾尔自治区喀什地区麦盖提县第十一幼儿园</w:t>
      </w: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年的事业单位运行经费财政拨款预算0.03万元，比上年预算增加0.03万元，增长100%。主要原因是：本年我部门为新增独立核算部门。</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（二）政府采购情况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年，新疆维吾尔自治区喀什地区麦盖提县第十一幼儿园政府采购预算0.00万元，其中：政府采购货物预算0.00万元，政府采购工程预算0.00万元，政府采购服务预算0.00万元。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年，新疆维吾尔自治区喀什地区麦盖提县第十一幼儿园面向中小企业预留政府采购项目预算金额0.00万元，小微企业预留政府采购项目预算金额0.00万元。</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（三）国有资产占用使用情况</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截至</w:t>
      </w:r>
      <w:r>
        <w:rPr>
          <w:rFonts w:hint="eastAsia" w:ascii="仿宋_GB2312" w:hAnsi="宋体" w:eastAsia="仿宋_GB2312" w:cs="宋体"/>
          <w:kern w:val="0"/>
          <w:sz w:val="32"/>
          <w:szCs w:val="32"/>
          <w:lang w:eastAsia="zh-CN"/>
        </w:rPr>
        <w:t>2025</w:t>
      </w:r>
      <w:r>
        <w:rPr>
          <w:rFonts w:hint="eastAsia" w:ascii="仿宋_GB2312" w:hAnsi="宋体" w:eastAsia="仿宋_GB2312" w:cs="宋体"/>
          <w:kern w:val="0"/>
          <w:sz w:val="32"/>
          <w:szCs w:val="32"/>
        </w:rPr>
        <w:t>年底，新疆维吾尔自治区喀什地区麦盖提县第十一幼儿园及下属各预算单位占用使用国有资产总体情况为：</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1.房屋2137.61平方米，价值670.93万元。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2.车辆0辆，价值0.00万元；其中：一般公务用车0辆，价值0.00万元；执法执勤用车0辆，价值0.00万元；其他车辆0辆，价值0.00万元。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3.办公家具价值0.00万元。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4.其他资产价值0.00万元。</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rPr>
        <w:t>部门价值50万元以上大型设备0台，部门价值100万元以上大型设备0台。</w:t>
      </w:r>
    </w:p>
    <w:p>
      <w:pPr>
        <w:spacing w:line="560" w:lineRule="exact"/>
        <w:ind w:firstLine="640" w:firstLineChars="200"/>
        <w:rPr>
          <w:rFonts w:hint="eastAsia" w:ascii="仿宋_GB2312" w:hAnsi="宋体" w:eastAsia="仿宋_GB2312" w:cs="宋体"/>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年部门预算未安排购置车辆经费，安排购置50万元以上大型设备0台，单位价值100万元以上大型设备0台。</w:t>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（四）预算绩效情况</w:t>
      </w:r>
    </w:p>
    <w:p>
      <w:pPr>
        <w:widowControl/>
        <w:shd w:val="clear" w:color="auto" w:fill="FFFFFF"/>
        <w:spacing w:line="285" w:lineRule="atLeast"/>
        <w:ind w:firstLine="640" w:firstLineChars="200"/>
        <w:jc w:val="left"/>
        <w:rPr>
          <w:rFonts w:hint="eastAsia" w:ascii="MS Gothic" w:hAnsi="MS Gothic" w:eastAsia="MS Gothic" w:cs="MS Gothic"/>
          <w:kern w:val="0"/>
          <w:sz w:val="32"/>
          <w:szCs w:val="32"/>
        </w:rPr>
      </w:pPr>
      <w:r>
        <w:rPr>
          <w:rFonts w:hint="eastAsia" w:ascii="仿宋_GB2312" w:hAnsi="宋体" w:eastAsia="仿宋_GB2312" w:cs="宋体"/>
          <w:kern w:val="0"/>
          <w:sz w:val="32"/>
          <w:szCs w:val="32"/>
          <w:lang w:eastAsia="zh-CN"/>
        </w:rPr>
        <w:t>2026</w:t>
      </w:r>
      <w:r>
        <w:rPr>
          <w:rFonts w:hint="eastAsia" w:ascii="仿宋_GB2312" w:hAnsi="宋体" w:eastAsia="仿宋_GB2312" w:cs="宋体"/>
          <w:kern w:val="0"/>
          <w:sz w:val="32"/>
          <w:szCs w:val="32"/>
        </w:rPr>
        <w:t>年，本部门预算绩效管理整体预算绩效目标1个，涉及预算金额145.53万元；当年预算安排项目共0个，其中：财政拨款项目涉及预算金额0万元；非财政拨款项目涉及预算金额0万元。具体情况见下表：</w:t>
      </w:r>
      <w:r>
        <w:rPr>
          <w:rFonts w:hint="eastAsia" w:ascii="MS Gothic" w:hAnsi="MS Gothic" w:eastAsia="MS Gothic" w:cs="MS Gothic"/>
          <w:kern w:val="0"/>
          <w:sz w:val="32"/>
          <w:szCs w:val="32"/>
          <w:cs/>
        </w:rPr>
        <w:t>‎</w:t>
      </w:r>
      <w:r>
        <w:rPr>
          <w:rFonts w:ascii="MS Gothic" w:hAnsi="MS Gothic" w:eastAsia="MS Gothic" w:cs="MS Gothic"/>
          <w:kern w:val="0"/>
          <w:sz w:val="28"/>
          <w:szCs w:val="28"/>
        </w:rPr>
        <w:br w:type="page"/>
      </w:r>
    </w:p>
    <w:p>
      <w:pPr>
        <w:spacing w:line="560" w:lineRule="exact"/>
        <w:ind w:firstLine="643" w:firstLineChars="200"/>
        <w:outlineLvl w:val="3"/>
        <w:rPr>
          <w:rFonts w:hint="eastAsia" w:ascii="仿宋_GB2312" w:hAnsi="仿宋_GB2312" w:eastAsia="仿宋_GB2312" w:cs="仿宋_GB2312"/>
          <w:b/>
          <w:kern w:val="0"/>
          <w:sz w:val="32"/>
          <w:szCs w:val="32"/>
        </w:rPr>
      </w:pPr>
      <w:r>
        <w:rPr>
          <w:rFonts w:hint="eastAsia" w:ascii="仿宋_GB2312" w:hAnsi="仿宋_GB2312" w:eastAsia="仿宋_GB2312" w:cs="仿宋_GB2312"/>
          <w:b/>
          <w:kern w:val="0"/>
          <w:sz w:val="32"/>
          <w:szCs w:val="32"/>
        </w:rPr>
        <w:t>（五）其他需说明的事项</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1、我部门整体预算绩效目标1个，涉及预算金额145.53万元由教育局汇总公开。</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2、我部门政府采购由教育局统一采购下发，故未单独安排政府采购，因此面向中小和小微企业的采购为0万元。</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3、本年我部门为新增独立核算部门。</w:t>
      </w:r>
    </w:p>
    <w:p>
      <w:pPr>
        <w:widowControl/>
        <w:spacing w:line="520" w:lineRule="exact"/>
        <w:ind w:firstLine="548" w:firstLineChars="196"/>
        <w:jc w:val="left"/>
        <w:rPr>
          <w:rFonts w:hint="eastAsia" w:ascii="仿宋_GB2312" w:hAnsi="宋体" w:eastAsia="仿宋_GB2312" w:cs="宋体"/>
          <w:kern w:val="0"/>
          <w:sz w:val="28"/>
          <w:szCs w:val="28"/>
        </w:rPr>
      </w:pPr>
      <w:r>
        <w:rPr>
          <w:rFonts w:hint="eastAsia" w:ascii="仿宋_GB2312" w:hAnsi="宋体" w:eastAsia="仿宋_GB2312" w:cs="宋体"/>
          <w:kern w:val="0"/>
          <w:sz w:val="28"/>
          <w:szCs w:val="28"/>
        </w:rPr>
        <w:t>4、办公家具资产在麦盖提县四幼。</w:t>
      </w:r>
    </w:p>
    <w:p>
      <w:pPr>
        <w:widowControl/>
        <w:jc w:val="left"/>
        <w:rPr>
          <w:rFonts w:hint="eastAsia" w:ascii="黑体" w:hAnsi="黑体" w:eastAsia="黑体"/>
          <w:b/>
          <w:kern w:val="0"/>
          <w:sz w:val="30"/>
          <w:szCs w:val="30"/>
        </w:rPr>
      </w:pPr>
      <w:r>
        <w:rPr>
          <w:rFonts w:ascii="黑体" w:hAnsi="黑体" w:eastAsia="黑体"/>
          <w:b/>
          <w:kern w:val="0"/>
          <w:sz w:val="30"/>
          <w:szCs w:val="30"/>
        </w:rPr>
        <w:br w:type="page"/>
      </w:r>
    </w:p>
    <w:p>
      <w:pPr>
        <w:widowControl/>
        <w:jc w:val="center"/>
        <w:outlineLvl w:val="1"/>
        <w:rPr>
          <w:rFonts w:hint="eastAsia" w:ascii="黑体" w:hAnsi="黑体" w:eastAsia="黑体"/>
          <w:b/>
          <w:kern w:val="0"/>
          <w:sz w:val="32"/>
          <w:szCs w:val="32"/>
        </w:rPr>
      </w:pPr>
      <w:r>
        <w:rPr>
          <w:rFonts w:hint="eastAsia" w:ascii="黑体" w:hAnsi="黑体" w:eastAsia="黑体"/>
          <w:b/>
          <w:kern w:val="0"/>
          <w:sz w:val="32"/>
          <w:szCs w:val="32"/>
        </w:rPr>
        <w:t>第四部分 名词解释</w:t>
      </w:r>
    </w:p>
    <w:p>
      <w:pPr>
        <w:spacing w:line="520" w:lineRule="exact"/>
        <w:ind w:firstLine="642"/>
        <w:rPr>
          <w:rFonts w:hint="eastAsia" w:ascii="仿宋_GB2312" w:hAnsi="宋体" w:eastAsia="仿宋_GB2312" w:cs="宋体"/>
          <w:b/>
          <w:kern w:val="0"/>
          <w:sz w:val="28"/>
          <w:szCs w:val="28"/>
        </w:rPr>
      </w:pP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一、财政拨款：</w:t>
      </w:r>
      <w:r>
        <w:rPr>
          <w:rFonts w:hint="eastAsia" w:ascii="仿宋_GB2312" w:eastAsia="仿宋_GB2312"/>
          <w:sz w:val="32"/>
          <w:szCs w:val="32"/>
        </w:rPr>
        <w:t>指由一般公共预算、政府性基金预算、国有资本经营预算安排的财政拨款数。</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二、一般公共预算：</w:t>
      </w:r>
      <w:r>
        <w:rPr>
          <w:rFonts w:hint="eastAsia" w:ascii="仿宋_GB2312" w:eastAsia="仿宋_GB2312"/>
          <w:spacing w:val="-6"/>
          <w:sz w:val="32"/>
          <w:szCs w:val="32"/>
        </w:rPr>
        <w:t>包括公共财政拨款（补助）资金、专项收入。</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三、财政专户管理资金：</w:t>
      </w:r>
      <w:r>
        <w:rPr>
          <w:rFonts w:hint="eastAsia" w:ascii="仿宋_GB2312" w:eastAsia="仿宋_GB2312"/>
          <w:sz w:val="32"/>
          <w:szCs w:val="32"/>
        </w:rPr>
        <w:t>包括专户管理行政事业性收费（主要是教育收费）、其他非税收入。</w:t>
      </w:r>
    </w:p>
    <w:p>
      <w:pPr>
        <w:spacing w:line="600" w:lineRule="exact"/>
        <w:ind w:firstLine="643" w:firstLineChars="200"/>
        <w:rPr>
          <w:rFonts w:ascii="仿宋_GB2312" w:eastAsia="仿宋_GB2312"/>
          <w:spacing w:val="-17"/>
          <w:sz w:val="32"/>
          <w:szCs w:val="32"/>
        </w:rPr>
      </w:pPr>
      <w:r>
        <w:rPr>
          <w:rFonts w:hint="eastAsia" w:ascii="楷体_GB2312" w:hAnsi="楷体_GB2312" w:eastAsia="楷体_GB2312" w:cs="楷体_GB2312"/>
          <w:b/>
          <w:bCs/>
          <w:sz w:val="32"/>
          <w:szCs w:val="32"/>
        </w:rPr>
        <w:t>四、其他资金：</w:t>
      </w:r>
      <w:r>
        <w:rPr>
          <w:rFonts w:hint="eastAsia" w:ascii="仿宋_GB2312" w:eastAsia="仿宋_GB2312"/>
          <w:spacing w:val="-17"/>
          <w:sz w:val="32"/>
          <w:szCs w:val="32"/>
        </w:rPr>
        <w:t>包括事业收入、事业经营收入、其他收入等。</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五、基本支出：</w:t>
      </w:r>
      <w:r>
        <w:rPr>
          <w:rFonts w:hint="eastAsia" w:ascii="仿宋_GB2312" w:eastAsia="仿宋_GB2312"/>
          <w:sz w:val="32"/>
          <w:szCs w:val="32"/>
        </w:rPr>
        <w:t>包括人员经费、公用经费（定额）。其中，人员经费包括工资福利支出、对个人和家庭的补助。</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六、项目支出：</w:t>
      </w:r>
      <w:r>
        <w:rPr>
          <w:rFonts w:hint="eastAsia" w:ascii="仿宋_GB2312" w:eastAsia="仿宋_GB2312"/>
          <w:sz w:val="32"/>
          <w:szCs w:val="32"/>
        </w:rPr>
        <w:t>部门（单位）支出预算的组成部分，是各部门（单位）为完成其特定的行政任务或事业发展目标，在基本支出预算之外编制的年度项目支出计划。</w:t>
      </w:r>
    </w:p>
    <w:p>
      <w:pPr>
        <w:spacing w:line="600" w:lineRule="exact"/>
        <w:ind w:firstLine="643" w:firstLineChars="200"/>
        <w:rPr>
          <w:rFonts w:ascii="仿宋_GB2312" w:eastAsia="仿宋_GB2312"/>
          <w:sz w:val="32"/>
          <w:szCs w:val="32"/>
        </w:rPr>
      </w:pPr>
      <w:r>
        <w:rPr>
          <w:rFonts w:hint="eastAsia" w:ascii="楷体_GB2312" w:hAnsi="楷体_GB2312" w:eastAsia="楷体_GB2312" w:cs="楷体_GB2312"/>
          <w:b/>
          <w:bCs/>
          <w:sz w:val="32"/>
          <w:szCs w:val="32"/>
        </w:rPr>
        <w:t>七、“三公”经费：</w:t>
      </w:r>
      <w:r>
        <w:rPr>
          <w:rFonts w:hint="eastAsia" w:ascii="仿宋_GB2312" w:eastAsia="仿宋_GB2312"/>
          <w:sz w:val="32"/>
          <w:szCs w:val="32"/>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pPr>
        <w:spacing w:line="600" w:lineRule="exact"/>
        <w:ind w:firstLine="643" w:firstLineChars="200"/>
        <w:rPr>
          <w:rFonts w:ascii="仿宋_GB2312" w:eastAsia="仿宋_GB2312"/>
          <w:spacing w:val="-11"/>
          <w:sz w:val="32"/>
          <w:szCs w:val="32"/>
        </w:rPr>
      </w:pPr>
      <w:r>
        <w:rPr>
          <w:rFonts w:hint="eastAsia" w:ascii="楷体_GB2312" w:hAnsi="楷体_GB2312" w:eastAsia="楷体_GB2312" w:cs="楷体_GB2312"/>
          <w:b/>
          <w:bCs/>
          <w:sz w:val="32"/>
          <w:szCs w:val="32"/>
        </w:rPr>
        <w:t>八、机关运行经费</w:t>
      </w:r>
      <w:r>
        <w:rPr>
          <w:rFonts w:hint="eastAsia" w:ascii="仿宋_GB2312" w:eastAsia="仿宋_GB2312"/>
          <w:sz w:val="32"/>
          <w:szCs w:val="32"/>
        </w:rPr>
        <w:t>：指行政单位（含参照公务员法管理事业单位）的公用经费，包括办公及印刷费、邮电费、差旅费、会议费、福利费、日常维修费、专用材料及一般设备购置费、办公用房水电费、办公用房</w:t>
      </w:r>
      <w:r>
        <w:rPr>
          <w:rFonts w:hint="eastAsia" w:ascii="仿宋_GB2312" w:eastAsia="仿宋_GB2312"/>
          <w:spacing w:val="-11"/>
          <w:sz w:val="32"/>
          <w:szCs w:val="32"/>
        </w:rPr>
        <w:t>取暖费、办公用房物业管理费、公务用车运行维护费及其他费用。</w:t>
      </w: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pPr>
        <w:widowControl/>
        <w:spacing w:line="520" w:lineRule="exact"/>
        <w:jc w:val="right"/>
        <w:rPr>
          <w:rFonts w:hint="eastAsia" w:ascii="仿宋_GB2312" w:hAnsi="宋体" w:eastAsia="仿宋_GB2312" w:cs="宋体"/>
          <w:kern w:val="0"/>
          <w:sz w:val="28"/>
          <w:szCs w:val="28"/>
        </w:rPr>
      </w:pPr>
    </w:p>
    <w:p>
      <w:bookmarkStart w:id="6" w:name="_GoBack"/>
      <w:bookmarkEnd w:id="6"/>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MS Gothic">
    <w:panose1 w:val="020B06090702050802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24</w:t>
    </w:r>
    <w:r>
      <w:rPr>
        <w:rFonts w:ascii="宋体" w:hAnsi="宋体" w:eastAsia="宋体"/>
        <w:sz w:val="28"/>
        <w:szCs w:val="28"/>
      </w:rPr>
      <w:fldChar w:fldCharType="end"/>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eastAsia"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32 -</w:t>
    </w:r>
    <w:r>
      <w:rPr>
        <w:rFonts w:ascii="宋体" w:hAnsi="宋体" w:eastAsia="宋体"/>
        <w:sz w:val="28"/>
        <w:szCs w:val="28"/>
      </w:rPr>
      <w:fldChar w:fldCharType="end"/>
    </w:r>
  </w:p>
  <w:p>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3"/>
  <w:embedSystemFonts/>
  <w:bordersDoNotSurroundHeader w:val="1"/>
  <w:bordersDoNotSurroundFooter w:val="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3DDC7F8B"/>
    <w:rsid w:val="00000D96"/>
    <w:rsid w:val="000032F1"/>
    <w:rsid w:val="00003E2D"/>
    <w:rsid w:val="0000409F"/>
    <w:rsid w:val="00004B78"/>
    <w:rsid w:val="00006B41"/>
    <w:rsid w:val="00010010"/>
    <w:rsid w:val="00010579"/>
    <w:rsid w:val="00011008"/>
    <w:rsid w:val="00011952"/>
    <w:rsid w:val="000149FC"/>
    <w:rsid w:val="00014B3A"/>
    <w:rsid w:val="000165ED"/>
    <w:rsid w:val="00020F89"/>
    <w:rsid w:val="000262C6"/>
    <w:rsid w:val="00026946"/>
    <w:rsid w:val="00026AB8"/>
    <w:rsid w:val="000278CB"/>
    <w:rsid w:val="0003045D"/>
    <w:rsid w:val="00031CE8"/>
    <w:rsid w:val="00034886"/>
    <w:rsid w:val="00035656"/>
    <w:rsid w:val="00036FE9"/>
    <w:rsid w:val="00040429"/>
    <w:rsid w:val="000426BA"/>
    <w:rsid w:val="000432EF"/>
    <w:rsid w:val="000437D2"/>
    <w:rsid w:val="00043D37"/>
    <w:rsid w:val="0004573C"/>
    <w:rsid w:val="00045890"/>
    <w:rsid w:val="00046D5C"/>
    <w:rsid w:val="000479BB"/>
    <w:rsid w:val="00047B6E"/>
    <w:rsid w:val="00051C4D"/>
    <w:rsid w:val="00053008"/>
    <w:rsid w:val="00055856"/>
    <w:rsid w:val="00055B78"/>
    <w:rsid w:val="00056D7A"/>
    <w:rsid w:val="000571B6"/>
    <w:rsid w:val="00060399"/>
    <w:rsid w:val="000609FC"/>
    <w:rsid w:val="00060A06"/>
    <w:rsid w:val="00060CB7"/>
    <w:rsid w:val="0006104D"/>
    <w:rsid w:val="000633FC"/>
    <w:rsid w:val="00064336"/>
    <w:rsid w:val="000644A2"/>
    <w:rsid w:val="00064BE5"/>
    <w:rsid w:val="00064E9A"/>
    <w:rsid w:val="00066F40"/>
    <w:rsid w:val="00066F9E"/>
    <w:rsid w:val="00066FE6"/>
    <w:rsid w:val="000674DA"/>
    <w:rsid w:val="000677E7"/>
    <w:rsid w:val="00067A50"/>
    <w:rsid w:val="00070087"/>
    <w:rsid w:val="000706E9"/>
    <w:rsid w:val="00070F93"/>
    <w:rsid w:val="00071C7F"/>
    <w:rsid w:val="00072A5F"/>
    <w:rsid w:val="00072D71"/>
    <w:rsid w:val="0007440C"/>
    <w:rsid w:val="0008004F"/>
    <w:rsid w:val="0008375E"/>
    <w:rsid w:val="00083F77"/>
    <w:rsid w:val="00084B5C"/>
    <w:rsid w:val="00084C79"/>
    <w:rsid w:val="00086554"/>
    <w:rsid w:val="00086B79"/>
    <w:rsid w:val="0008753E"/>
    <w:rsid w:val="00087AEF"/>
    <w:rsid w:val="0009059F"/>
    <w:rsid w:val="00091D83"/>
    <w:rsid w:val="000924BE"/>
    <w:rsid w:val="00093394"/>
    <w:rsid w:val="00095A2B"/>
    <w:rsid w:val="00095CF3"/>
    <w:rsid w:val="00097A6D"/>
    <w:rsid w:val="000A26B6"/>
    <w:rsid w:val="000A2946"/>
    <w:rsid w:val="000A2AD1"/>
    <w:rsid w:val="000A3675"/>
    <w:rsid w:val="000A4471"/>
    <w:rsid w:val="000A4CF9"/>
    <w:rsid w:val="000A5150"/>
    <w:rsid w:val="000A5A4A"/>
    <w:rsid w:val="000A64E7"/>
    <w:rsid w:val="000A69FB"/>
    <w:rsid w:val="000A6EF7"/>
    <w:rsid w:val="000A7EF8"/>
    <w:rsid w:val="000A7FA9"/>
    <w:rsid w:val="000B0267"/>
    <w:rsid w:val="000B070E"/>
    <w:rsid w:val="000B13F1"/>
    <w:rsid w:val="000B2171"/>
    <w:rsid w:val="000B2F96"/>
    <w:rsid w:val="000B6393"/>
    <w:rsid w:val="000B751C"/>
    <w:rsid w:val="000B75B8"/>
    <w:rsid w:val="000C04D7"/>
    <w:rsid w:val="000C16B4"/>
    <w:rsid w:val="000C3350"/>
    <w:rsid w:val="000C392F"/>
    <w:rsid w:val="000C45D4"/>
    <w:rsid w:val="000C6676"/>
    <w:rsid w:val="000C6E2C"/>
    <w:rsid w:val="000D0A48"/>
    <w:rsid w:val="000D13C6"/>
    <w:rsid w:val="000D1811"/>
    <w:rsid w:val="000D30E4"/>
    <w:rsid w:val="000D3246"/>
    <w:rsid w:val="000D6242"/>
    <w:rsid w:val="000D6F27"/>
    <w:rsid w:val="000E1736"/>
    <w:rsid w:val="000E1B17"/>
    <w:rsid w:val="000E420B"/>
    <w:rsid w:val="000E5C28"/>
    <w:rsid w:val="000E6934"/>
    <w:rsid w:val="000F0580"/>
    <w:rsid w:val="000F102E"/>
    <w:rsid w:val="000F1DFC"/>
    <w:rsid w:val="000F3C0B"/>
    <w:rsid w:val="000F6AB6"/>
    <w:rsid w:val="00100916"/>
    <w:rsid w:val="00100D32"/>
    <w:rsid w:val="0010254A"/>
    <w:rsid w:val="00104C91"/>
    <w:rsid w:val="00106142"/>
    <w:rsid w:val="001062B4"/>
    <w:rsid w:val="001125C9"/>
    <w:rsid w:val="00114905"/>
    <w:rsid w:val="00115FD4"/>
    <w:rsid w:val="001162BD"/>
    <w:rsid w:val="00116F92"/>
    <w:rsid w:val="001209A5"/>
    <w:rsid w:val="001213E4"/>
    <w:rsid w:val="001214FE"/>
    <w:rsid w:val="00121AEF"/>
    <w:rsid w:val="00123416"/>
    <w:rsid w:val="001243B9"/>
    <w:rsid w:val="00124BF6"/>
    <w:rsid w:val="001250C7"/>
    <w:rsid w:val="00125F4C"/>
    <w:rsid w:val="00127DEA"/>
    <w:rsid w:val="00127DFC"/>
    <w:rsid w:val="00132A27"/>
    <w:rsid w:val="00134B1E"/>
    <w:rsid w:val="00135A40"/>
    <w:rsid w:val="00137387"/>
    <w:rsid w:val="001375A3"/>
    <w:rsid w:val="001378B0"/>
    <w:rsid w:val="00140438"/>
    <w:rsid w:val="001412BD"/>
    <w:rsid w:val="00142684"/>
    <w:rsid w:val="001451CF"/>
    <w:rsid w:val="00147E70"/>
    <w:rsid w:val="00151FC5"/>
    <w:rsid w:val="00156D16"/>
    <w:rsid w:val="00156D1B"/>
    <w:rsid w:val="00157526"/>
    <w:rsid w:val="00161F31"/>
    <w:rsid w:val="001621AC"/>
    <w:rsid w:val="00163342"/>
    <w:rsid w:val="0017160C"/>
    <w:rsid w:val="00172BE6"/>
    <w:rsid w:val="001737B6"/>
    <w:rsid w:val="00174586"/>
    <w:rsid w:val="00180912"/>
    <w:rsid w:val="00180FD9"/>
    <w:rsid w:val="001816FA"/>
    <w:rsid w:val="001817F3"/>
    <w:rsid w:val="00181921"/>
    <w:rsid w:val="00182196"/>
    <w:rsid w:val="00183CA4"/>
    <w:rsid w:val="00183E36"/>
    <w:rsid w:val="00184FDC"/>
    <w:rsid w:val="00185038"/>
    <w:rsid w:val="00186B6A"/>
    <w:rsid w:val="00187C8B"/>
    <w:rsid w:val="001928AB"/>
    <w:rsid w:val="00194101"/>
    <w:rsid w:val="0019410C"/>
    <w:rsid w:val="00194488"/>
    <w:rsid w:val="00195985"/>
    <w:rsid w:val="001A1165"/>
    <w:rsid w:val="001A1593"/>
    <w:rsid w:val="001A227F"/>
    <w:rsid w:val="001A3107"/>
    <w:rsid w:val="001A3875"/>
    <w:rsid w:val="001A4352"/>
    <w:rsid w:val="001A612D"/>
    <w:rsid w:val="001A6236"/>
    <w:rsid w:val="001A7864"/>
    <w:rsid w:val="001B31E1"/>
    <w:rsid w:val="001B3EFB"/>
    <w:rsid w:val="001B6327"/>
    <w:rsid w:val="001B6B54"/>
    <w:rsid w:val="001B7428"/>
    <w:rsid w:val="001B7A92"/>
    <w:rsid w:val="001C02B1"/>
    <w:rsid w:val="001C281D"/>
    <w:rsid w:val="001C2D0D"/>
    <w:rsid w:val="001C48D7"/>
    <w:rsid w:val="001C6C01"/>
    <w:rsid w:val="001C6DB1"/>
    <w:rsid w:val="001C7DAA"/>
    <w:rsid w:val="001D107B"/>
    <w:rsid w:val="001D4B49"/>
    <w:rsid w:val="001D63BF"/>
    <w:rsid w:val="001D7E4D"/>
    <w:rsid w:val="001E1727"/>
    <w:rsid w:val="001E3BB8"/>
    <w:rsid w:val="001E43BE"/>
    <w:rsid w:val="001E5BA0"/>
    <w:rsid w:val="001E648C"/>
    <w:rsid w:val="001F10B6"/>
    <w:rsid w:val="001F125B"/>
    <w:rsid w:val="001F149F"/>
    <w:rsid w:val="001F2054"/>
    <w:rsid w:val="001F26DC"/>
    <w:rsid w:val="001F334A"/>
    <w:rsid w:val="001F3506"/>
    <w:rsid w:val="001F5B5A"/>
    <w:rsid w:val="001F5D0C"/>
    <w:rsid w:val="001F5FAA"/>
    <w:rsid w:val="00200922"/>
    <w:rsid w:val="00202FEC"/>
    <w:rsid w:val="00203D94"/>
    <w:rsid w:val="00204A53"/>
    <w:rsid w:val="00204BC0"/>
    <w:rsid w:val="00205D66"/>
    <w:rsid w:val="00207587"/>
    <w:rsid w:val="00210EE6"/>
    <w:rsid w:val="002119D7"/>
    <w:rsid w:val="00211D4E"/>
    <w:rsid w:val="00212706"/>
    <w:rsid w:val="00212C11"/>
    <w:rsid w:val="00212F6D"/>
    <w:rsid w:val="00215173"/>
    <w:rsid w:val="00215F31"/>
    <w:rsid w:val="0021607C"/>
    <w:rsid w:val="00217DD9"/>
    <w:rsid w:val="0022048C"/>
    <w:rsid w:val="00225E37"/>
    <w:rsid w:val="00227D55"/>
    <w:rsid w:val="0023113E"/>
    <w:rsid w:val="0023206D"/>
    <w:rsid w:val="00232105"/>
    <w:rsid w:val="002359B9"/>
    <w:rsid w:val="0023659A"/>
    <w:rsid w:val="00236E00"/>
    <w:rsid w:val="00237128"/>
    <w:rsid w:val="00237FD5"/>
    <w:rsid w:val="00240F64"/>
    <w:rsid w:val="00241D4D"/>
    <w:rsid w:val="0024417B"/>
    <w:rsid w:val="002471ED"/>
    <w:rsid w:val="00250E5E"/>
    <w:rsid w:val="002523C1"/>
    <w:rsid w:val="002531EA"/>
    <w:rsid w:val="00256EC0"/>
    <w:rsid w:val="00257505"/>
    <w:rsid w:val="00260BD7"/>
    <w:rsid w:val="00260FE7"/>
    <w:rsid w:val="00261CC7"/>
    <w:rsid w:val="0026459F"/>
    <w:rsid w:val="00264BBF"/>
    <w:rsid w:val="00265293"/>
    <w:rsid w:val="002654DC"/>
    <w:rsid w:val="00266B31"/>
    <w:rsid w:val="00271148"/>
    <w:rsid w:val="00271892"/>
    <w:rsid w:val="00271CD5"/>
    <w:rsid w:val="00272F0A"/>
    <w:rsid w:val="00273803"/>
    <w:rsid w:val="00273F0A"/>
    <w:rsid w:val="0027438A"/>
    <w:rsid w:val="00274F40"/>
    <w:rsid w:val="0027656C"/>
    <w:rsid w:val="00276D4A"/>
    <w:rsid w:val="002771BB"/>
    <w:rsid w:val="00280556"/>
    <w:rsid w:val="00280937"/>
    <w:rsid w:val="00281EE8"/>
    <w:rsid w:val="0028210B"/>
    <w:rsid w:val="0028245B"/>
    <w:rsid w:val="00283074"/>
    <w:rsid w:val="0028379A"/>
    <w:rsid w:val="0028405D"/>
    <w:rsid w:val="00284B23"/>
    <w:rsid w:val="00285153"/>
    <w:rsid w:val="00285698"/>
    <w:rsid w:val="0028576C"/>
    <w:rsid w:val="00285BCC"/>
    <w:rsid w:val="00285BFE"/>
    <w:rsid w:val="00286965"/>
    <w:rsid w:val="0029066B"/>
    <w:rsid w:val="00297957"/>
    <w:rsid w:val="002A0066"/>
    <w:rsid w:val="002A15E9"/>
    <w:rsid w:val="002A2135"/>
    <w:rsid w:val="002A5744"/>
    <w:rsid w:val="002A5A41"/>
    <w:rsid w:val="002A6B1E"/>
    <w:rsid w:val="002A6B2E"/>
    <w:rsid w:val="002A78C2"/>
    <w:rsid w:val="002B1A6D"/>
    <w:rsid w:val="002B39D7"/>
    <w:rsid w:val="002B50FC"/>
    <w:rsid w:val="002B6F5E"/>
    <w:rsid w:val="002B74BA"/>
    <w:rsid w:val="002C3650"/>
    <w:rsid w:val="002C3B46"/>
    <w:rsid w:val="002C42AA"/>
    <w:rsid w:val="002C44A3"/>
    <w:rsid w:val="002C6CF4"/>
    <w:rsid w:val="002D1754"/>
    <w:rsid w:val="002D2735"/>
    <w:rsid w:val="002D3645"/>
    <w:rsid w:val="002D374A"/>
    <w:rsid w:val="002D5345"/>
    <w:rsid w:val="002D5C90"/>
    <w:rsid w:val="002E144D"/>
    <w:rsid w:val="002E2BC4"/>
    <w:rsid w:val="002E2BDE"/>
    <w:rsid w:val="002E2E63"/>
    <w:rsid w:val="002E5393"/>
    <w:rsid w:val="002E57A5"/>
    <w:rsid w:val="002E60A6"/>
    <w:rsid w:val="002E78F0"/>
    <w:rsid w:val="002E7CED"/>
    <w:rsid w:val="002F07B6"/>
    <w:rsid w:val="002F13FC"/>
    <w:rsid w:val="002F142A"/>
    <w:rsid w:val="002F2F49"/>
    <w:rsid w:val="002F521F"/>
    <w:rsid w:val="002F5D14"/>
    <w:rsid w:val="00300E22"/>
    <w:rsid w:val="00301F3E"/>
    <w:rsid w:val="00302CC5"/>
    <w:rsid w:val="003036CD"/>
    <w:rsid w:val="00303AB1"/>
    <w:rsid w:val="0030425A"/>
    <w:rsid w:val="00305BE0"/>
    <w:rsid w:val="00306110"/>
    <w:rsid w:val="00306797"/>
    <w:rsid w:val="003070BB"/>
    <w:rsid w:val="003071E3"/>
    <w:rsid w:val="00307973"/>
    <w:rsid w:val="00311C86"/>
    <w:rsid w:val="00315DD1"/>
    <w:rsid w:val="003177D8"/>
    <w:rsid w:val="00321675"/>
    <w:rsid w:val="003225DD"/>
    <w:rsid w:val="0032532B"/>
    <w:rsid w:val="00326288"/>
    <w:rsid w:val="003309DB"/>
    <w:rsid w:val="00332225"/>
    <w:rsid w:val="00332FD2"/>
    <w:rsid w:val="00333FFF"/>
    <w:rsid w:val="00340222"/>
    <w:rsid w:val="00340257"/>
    <w:rsid w:val="00340E69"/>
    <w:rsid w:val="00341BAE"/>
    <w:rsid w:val="00341E7D"/>
    <w:rsid w:val="003433EE"/>
    <w:rsid w:val="00343F03"/>
    <w:rsid w:val="00344E41"/>
    <w:rsid w:val="00345E58"/>
    <w:rsid w:val="0034677D"/>
    <w:rsid w:val="003469A4"/>
    <w:rsid w:val="0034747D"/>
    <w:rsid w:val="00347DE8"/>
    <w:rsid w:val="00350F5B"/>
    <w:rsid w:val="00352976"/>
    <w:rsid w:val="00354680"/>
    <w:rsid w:val="003551D6"/>
    <w:rsid w:val="00356194"/>
    <w:rsid w:val="00357AAC"/>
    <w:rsid w:val="00361420"/>
    <w:rsid w:val="00362EAF"/>
    <w:rsid w:val="00363248"/>
    <w:rsid w:val="0036381E"/>
    <w:rsid w:val="00363A35"/>
    <w:rsid w:val="00363F51"/>
    <w:rsid w:val="00364626"/>
    <w:rsid w:val="00364A66"/>
    <w:rsid w:val="00364FF8"/>
    <w:rsid w:val="00365081"/>
    <w:rsid w:val="00367FAC"/>
    <w:rsid w:val="0037055E"/>
    <w:rsid w:val="0037060F"/>
    <w:rsid w:val="003707D5"/>
    <w:rsid w:val="0037199D"/>
    <w:rsid w:val="003731B3"/>
    <w:rsid w:val="00373A27"/>
    <w:rsid w:val="00373DF2"/>
    <w:rsid w:val="00375B79"/>
    <w:rsid w:val="00375DC5"/>
    <w:rsid w:val="003767AD"/>
    <w:rsid w:val="00380040"/>
    <w:rsid w:val="00381599"/>
    <w:rsid w:val="003828A9"/>
    <w:rsid w:val="00384F81"/>
    <w:rsid w:val="00385BFE"/>
    <w:rsid w:val="00386764"/>
    <w:rsid w:val="00391A53"/>
    <w:rsid w:val="00392E94"/>
    <w:rsid w:val="003939CE"/>
    <w:rsid w:val="00393D32"/>
    <w:rsid w:val="00393DAD"/>
    <w:rsid w:val="0039548A"/>
    <w:rsid w:val="003A1559"/>
    <w:rsid w:val="003A3261"/>
    <w:rsid w:val="003A44ED"/>
    <w:rsid w:val="003B05BA"/>
    <w:rsid w:val="003B0DA2"/>
    <w:rsid w:val="003B48BE"/>
    <w:rsid w:val="003B5C7E"/>
    <w:rsid w:val="003B76CB"/>
    <w:rsid w:val="003B7A83"/>
    <w:rsid w:val="003C0D15"/>
    <w:rsid w:val="003C23E0"/>
    <w:rsid w:val="003D0E59"/>
    <w:rsid w:val="003D4B84"/>
    <w:rsid w:val="003D608A"/>
    <w:rsid w:val="003D64AF"/>
    <w:rsid w:val="003E0AF5"/>
    <w:rsid w:val="003E0F98"/>
    <w:rsid w:val="003E2195"/>
    <w:rsid w:val="003E2D15"/>
    <w:rsid w:val="003F0E19"/>
    <w:rsid w:val="003F34C3"/>
    <w:rsid w:val="003F4C7F"/>
    <w:rsid w:val="003F638F"/>
    <w:rsid w:val="003F66AF"/>
    <w:rsid w:val="003F6A9D"/>
    <w:rsid w:val="003F6C80"/>
    <w:rsid w:val="003F77FC"/>
    <w:rsid w:val="003F7CF3"/>
    <w:rsid w:val="003F7D9E"/>
    <w:rsid w:val="004002D6"/>
    <w:rsid w:val="00402AAC"/>
    <w:rsid w:val="00403B24"/>
    <w:rsid w:val="00403DA9"/>
    <w:rsid w:val="00405212"/>
    <w:rsid w:val="00407E8F"/>
    <w:rsid w:val="00410138"/>
    <w:rsid w:val="00410841"/>
    <w:rsid w:val="00410C1C"/>
    <w:rsid w:val="004115A1"/>
    <w:rsid w:val="00412807"/>
    <w:rsid w:val="00415E53"/>
    <w:rsid w:val="0042040B"/>
    <w:rsid w:val="0042046C"/>
    <w:rsid w:val="00420B1C"/>
    <w:rsid w:val="00421B7A"/>
    <w:rsid w:val="00422876"/>
    <w:rsid w:val="0042458E"/>
    <w:rsid w:val="00424D94"/>
    <w:rsid w:val="00426B83"/>
    <w:rsid w:val="00427085"/>
    <w:rsid w:val="004275A7"/>
    <w:rsid w:val="004313ED"/>
    <w:rsid w:val="00431702"/>
    <w:rsid w:val="0043221B"/>
    <w:rsid w:val="00432378"/>
    <w:rsid w:val="0043304D"/>
    <w:rsid w:val="004337FB"/>
    <w:rsid w:val="0043488F"/>
    <w:rsid w:val="00435C3B"/>
    <w:rsid w:val="00441C43"/>
    <w:rsid w:val="00441D28"/>
    <w:rsid w:val="00441F4B"/>
    <w:rsid w:val="00442AE4"/>
    <w:rsid w:val="0044366B"/>
    <w:rsid w:val="0044495B"/>
    <w:rsid w:val="004479A2"/>
    <w:rsid w:val="00453F7A"/>
    <w:rsid w:val="00454A7D"/>
    <w:rsid w:val="0045551F"/>
    <w:rsid w:val="00455F16"/>
    <w:rsid w:val="00457430"/>
    <w:rsid w:val="00460248"/>
    <w:rsid w:val="00461B03"/>
    <w:rsid w:val="00462501"/>
    <w:rsid w:val="00462E49"/>
    <w:rsid w:val="0046659F"/>
    <w:rsid w:val="00467478"/>
    <w:rsid w:val="00476866"/>
    <w:rsid w:val="00476FD4"/>
    <w:rsid w:val="00480E63"/>
    <w:rsid w:val="00482EDB"/>
    <w:rsid w:val="00484027"/>
    <w:rsid w:val="00486122"/>
    <w:rsid w:val="00486488"/>
    <w:rsid w:val="004865F0"/>
    <w:rsid w:val="00487A20"/>
    <w:rsid w:val="00490A5D"/>
    <w:rsid w:val="00490F7E"/>
    <w:rsid w:val="00491969"/>
    <w:rsid w:val="00492117"/>
    <w:rsid w:val="00492329"/>
    <w:rsid w:val="00492792"/>
    <w:rsid w:val="00493838"/>
    <w:rsid w:val="00494B21"/>
    <w:rsid w:val="00496F91"/>
    <w:rsid w:val="004A04D1"/>
    <w:rsid w:val="004A0EC1"/>
    <w:rsid w:val="004A2590"/>
    <w:rsid w:val="004A4C46"/>
    <w:rsid w:val="004A518C"/>
    <w:rsid w:val="004A773F"/>
    <w:rsid w:val="004B0CC8"/>
    <w:rsid w:val="004B356C"/>
    <w:rsid w:val="004B458A"/>
    <w:rsid w:val="004B5853"/>
    <w:rsid w:val="004B5FB2"/>
    <w:rsid w:val="004B60E9"/>
    <w:rsid w:val="004B65DA"/>
    <w:rsid w:val="004B68AC"/>
    <w:rsid w:val="004B6BE3"/>
    <w:rsid w:val="004B7817"/>
    <w:rsid w:val="004B7C27"/>
    <w:rsid w:val="004B7E3F"/>
    <w:rsid w:val="004C0A0E"/>
    <w:rsid w:val="004C177D"/>
    <w:rsid w:val="004C20C2"/>
    <w:rsid w:val="004C45E7"/>
    <w:rsid w:val="004C5F89"/>
    <w:rsid w:val="004C627F"/>
    <w:rsid w:val="004C69C3"/>
    <w:rsid w:val="004C704F"/>
    <w:rsid w:val="004C7054"/>
    <w:rsid w:val="004C7255"/>
    <w:rsid w:val="004C7553"/>
    <w:rsid w:val="004C7F70"/>
    <w:rsid w:val="004D0DEC"/>
    <w:rsid w:val="004D1F93"/>
    <w:rsid w:val="004D3102"/>
    <w:rsid w:val="004D4137"/>
    <w:rsid w:val="004D4513"/>
    <w:rsid w:val="004D5ECF"/>
    <w:rsid w:val="004D7CD1"/>
    <w:rsid w:val="004D7E67"/>
    <w:rsid w:val="004E0431"/>
    <w:rsid w:val="004E0808"/>
    <w:rsid w:val="004E0D6A"/>
    <w:rsid w:val="004E1DFF"/>
    <w:rsid w:val="004E3CA9"/>
    <w:rsid w:val="004E3D9D"/>
    <w:rsid w:val="004E737C"/>
    <w:rsid w:val="004E7E29"/>
    <w:rsid w:val="004F2553"/>
    <w:rsid w:val="004F4F80"/>
    <w:rsid w:val="004F5EF7"/>
    <w:rsid w:val="004F77FA"/>
    <w:rsid w:val="004F7B1C"/>
    <w:rsid w:val="00501C09"/>
    <w:rsid w:val="00501D3C"/>
    <w:rsid w:val="00502129"/>
    <w:rsid w:val="00503595"/>
    <w:rsid w:val="00505AB8"/>
    <w:rsid w:val="00506072"/>
    <w:rsid w:val="005073BF"/>
    <w:rsid w:val="00510486"/>
    <w:rsid w:val="00510C3C"/>
    <w:rsid w:val="00511519"/>
    <w:rsid w:val="005119C2"/>
    <w:rsid w:val="00512245"/>
    <w:rsid w:val="00512759"/>
    <w:rsid w:val="00512BE1"/>
    <w:rsid w:val="00513867"/>
    <w:rsid w:val="00515C1C"/>
    <w:rsid w:val="0051661A"/>
    <w:rsid w:val="00517627"/>
    <w:rsid w:val="00517754"/>
    <w:rsid w:val="00520A61"/>
    <w:rsid w:val="0052394D"/>
    <w:rsid w:val="00523A8A"/>
    <w:rsid w:val="00525E46"/>
    <w:rsid w:val="0052609D"/>
    <w:rsid w:val="005271B4"/>
    <w:rsid w:val="0052787F"/>
    <w:rsid w:val="005278B3"/>
    <w:rsid w:val="00527A91"/>
    <w:rsid w:val="00527F3E"/>
    <w:rsid w:val="005307E7"/>
    <w:rsid w:val="005328A3"/>
    <w:rsid w:val="0053461E"/>
    <w:rsid w:val="00534961"/>
    <w:rsid w:val="0053676F"/>
    <w:rsid w:val="00537782"/>
    <w:rsid w:val="00544AC4"/>
    <w:rsid w:val="00544C7D"/>
    <w:rsid w:val="0054586F"/>
    <w:rsid w:val="005474F1"/>
    <w:rsid w:val="00547B4F"/>
    <w:rsid w:val="005513B3"/>
    <w:rsid w:val="00551D2B"/>
    <w:rsid w:val="00553588"/>
    <w:rsid w:val="00554786"/>
    <w:rsid w:val="005547B5"/>
    <w:rsid w:val="00556697"/>
    <w:rsid w:val="0056203D"/>
    <w:rsid w:val="00565C5B"/>
    <w:rsid w:val="00566B9A"/>
    <w:rsid w:val="00566E17"/>
    <w:rsid w:val="0056772B"/>
    <w:rsid w:val="005702BC"/>
    <w:rsid w:val="00571733"/>
    <w:rsid w:val="00571F58"/>
    <w:rsid w:val="005720E0"/>
    <w:rsid w:val="00573BC9"/>
    <w:rsid w:val="00574BF8"/>
    <w:rsid w:val="00575596"/>
    <w:rsid w:val="0058032E"/>
    <w:rsid w:val="0058124A"/>
    <w:rsid w:val="0058131A"/>
    <w:rsid w:val="005823EC"/>
    <w:rsid w:val="00584772"/>
    <w:rsid w:val="00584B4C"/>
    <w:rsid w:val="005868FB"/>
    <w:rsid w:val="00590B1F"/>
    <w:rsid w:val="00590EA2"/>
    <w:rsid w:val="00590FA8"/>
    <w:rsid w:val="00591EE3"/>
    <w:rsid w:val="005920F4"/>
    <w:rsid w:val="00592727"/>
    <w:rsid w:val="00593166"/>
    <w:rsid w:val="005953E4"/>
    <w:rsid w:val="00595CFA"/>
    <w:rsid w:val="0059639F"/>
    <w:rsid w:val="00596CC0"/>
    <w:rsid w:val="005A2AAB"/>
    <w:rsid w:val="005A3258"/>
    <w:rsid w:val="005A36AB"/>
    <w:rsid w:val="005A3AD0"/>
    <w:rsid w:val="005A6347"/>
    <w:rsid w:val="005A6691"/>
    <w:rsid w:val="005A6B68"/>
    <w:rsid w:val="005A7AF6"/>
    <w:rsid w:val="005B180C"/>
    <w:rsid w:val="005B3B8A"/>
    <w:rsid w:val="005B4745"/>
    <w:rsid w:val="005B4AEA"/>
    <w:rsid w:val="005B4B3C"/>
    <w:rsid w:val="005B5066"/>
    <w:rsid w:val="005B5808"/>
    <w:rsid w:val="005B6709"/>
    <w:rsid w:val="005C1A7A"/>
    <w:rsid w:val="005C2577"/>
    <w:rsid w:val="005C50D9"/>
    <w:rsid w:val="005C53AC"/>
    <w:rsid w:val="005C5B15"/>
    <w:rsid w:val="005C6DCD"/>
    <w:rsid w:val="005D098D"/>
    <w:rsid w:val="005D48F3"/>
    <w:rsid w:val="005D52FF"/>
    <w:rsid w:val="005D5331"/>
    <w:rsid w:val="005D57CA"/>
    <w:rsid w:val="005D6305"/>
    <w:rsid w:val="005D7689"/>
    <w:rsid w:val="005E00E7"/>
    <w:rsid w:val="005E00FE"/>
    <w:rsid w:val="005E0967"/>
    <w:rsid w:val="005E2094"/>
    <w:rsid w:val="005E2399"/>
    <w:rsid w:val="005E4BBC"/>
    <w:rsid w:val="005E75CA"/>
    <w:rsid w:val="005E7B5F"/>
    <w:rsid w:val="005F19D7"/>
    <w:rsid w:val="005F4AB8"/>
    <w:rsid w:val="005F4CE2"/>
    <w:rsid w:val="006010D2"/>
    <w:rsid w:val="006037FA"/>
    <w:rsid w:val="00605057"/>
    <w:rsid w:val="00605AD9"/>
    <w:rsid w:val="00605D18"/>
    <w:rsid w:val="00607339"/>
    <w:rsid w:val="00611226"/>
    <w:rsid w:val="0061158B"/>
    <w:rsid w:val="006126D1"/>
    <w:rsid w:val="00613C75"/>
    <w:rsid w:val="00616F23"/>
    <w:rsid w:val="0062039E"/>
    <w:rsid w:val="00625BE7"/>
    <w:rsid w:val="00626B83"/>
    <w:rsid w:val="006279F0"/>
    <w:rsid w:val="00627EDB"/>
    <w:rsid w:val="00633A7F"/>
    <w:rsid w:val="00633F5B"/>
    <w:rsid w:val="00634719"/>
    <w:rsid w:val="0063560B"/>
    <w:rsid w:val="00636FE3"/>
    <w:rsid w:val="00640E06"/>
    <w:rsid w:val="00641010"/>
    <w:rsid w:val="006412F1"/>
    <w:rsid w:val="00642854"/>
    <w:rsid w:val="00647E65"/>
    <w:rsid w:val="00651C31"/>
    <w:rsid w:val="0065215F"/>
    <w:rsid w:val="00652FA3"/>
    <w:rsid w:val="006535FD"/>
    <w:rsid w:val="0065452B"/>
    <w:rsid w:val="00654745"/>
    <w:rsid w:val="00656129"/>
    <w:rsid w:val="00656952"/>
    <w:rsid w:val="00656A60"/>
    <w:rsid w:val="00657C75"/>
    <w:rsid w:val="00660081"/>
    <w:rsid w:val="00660B36"/>
    <w:rsid w:val="00661939"/>
    <w:rsid w:val="00662D8D"/>
    <w:rsid w:val="006645AF"/>
    <w:rsid w:val="00666CD7"/>
    <w:rsid w:val="00667925"/>
    <w:rsid w:val="006705CF"/>
    <w:rsid w:val="006708F1"/>
    <w:rsid w:val="00671708"/>
    <w:rsid w:val="00671FD2"/>
    <w:rsid w:val="0067353C"/>
    <w:rsid w:val="00674117"/>
    <w:rsid w:val="00674189"/>
    <w:rsid w:val="006752F1"/>
    <w:rsid w:val="00676827"/>
    <w:rsid w:val="00677202"/>
    <w:rsid w:val="0067762D"/>
    <w:rsid w:val="0067771D"/>
    <w:rsid w:val="00680ED4"/>
    <w:rsid w:val="006811F7"/>
    <w:rsid w:val="006824B2"/>
    <w:rsid w:val="006827B3"/>
    <w:rsid w:val="00683193"/>
    <w:rsid w:val="00683EE8"/>
    <w:rsid w:val="006842E7"/>
    <w:rsid w:val="00687957"/>
    <w:rsid w:val="00690345"/>
    <w:rsid w:val="00691D40"/>
    <w:rsid w:val="006943D5"/>
    <w:rsid w:val="006943FD"/>
    <w:rsid w:val="00696F26"/>
    <w:rsid w:val="006970A9"/>
    <w:rsid w:val="006A05B6"/>
    <w:rsid w:val="006A17B4"/>
    <w:rsid w:val="006A4C53"/>
    <w:rsid w:val="006A56FF"/>
    <w:rsid w:val="006A6261"/>
    <w:rsid w:val="006A6275"/>
    <w:rsid w:val="006A69A6"/>
    <w:rsid w:val="006A726B"/>
    <w:rsid w:val="006B0DB0"/>
    <w:rsid w:val="006B12DD"/>
    <w:rsid w:val="006B25E3"/>
    <w:rsid w:val="006B32BE"/>
    <w:rsid w:val="006B48A0"/>
    <w:rsid w:val="006B7481"/>
    <w:rsid w:val="006B79B7"/>
    <w:rsid w:val="006B7BB4"/>
    <w:rsid w:val="006C058F"/>
    <w:rsid w:val="006C140B"/>
    <w:rsid w:val="006C189B"/>
    <w:rsid w:val="006C18A3"/>
    <w:rsid w:val="006C4191"/>
    <w:rsid w:val="006C451F"/>
    <w:rsid w:val="006C5D49"/>
    <w:rsid w:val="006C74CE"/>
    <w:rsid w:val="006C7D66"/>
    <w:rsid w:val="006D097C"/>
    <w:rsid w:val="006D1B60"/>
    <w:rsid w:val="006D2564"/>
    <w:rsid w:val="006D2627"/>
    <w:rsid w:val="006D3237"/>
    <w:rsid w:val="006D3C88"/>
    <w:rsid w:val="006D3F9C"/>
    <w:rsid w:val="006D5C80"/>
    <w:rsid w:val="006D6570"/>
    <w:rsid w:val="006D6758"/>
    <w:rsid w:val="006E2103"/>
    <w:rsid w:val="006E3D19"/>
    <w:rsid w:val="006E70BC"/>
    <w:rsid w:val="006F09CB"/>
    <w:rsid w:val="006F0BD1"/>
    <w:rsid w:val="006F0FF9"/>
    <w:rsid w:val="006F1D83"/>
    <w:rsid w:val="006F405D"/>
    <w:rsid w:val="006F444A"/>
    <w:rsid w:val="006F47DD"/>
    <w:rsid w:val="006F4C41"/>
    <w:rsid w:val="006F5ED2"/>
    <w:rsid w:val="006F76DB"/>
    <w:rsid w:val="00700F2C"/>
    <w:rsid w:val="00702427"/>
    <w:rsid w:val="00703CC0"/>
    <w:rsid w:val="0070656D"/>
    <w:rsid w:val="007071EE"/>
    <w:rsid w:val="00710502"/>
    <w:rsid w:val="00710914"/>
    <w:rsid w:val="00710A27"/>
    <w:rsid w:val="00711ACA"/>
    <w:rsid w:val="007152BB"/>
    <w:rsid w:val="0072059B"/>
    <w:rsid w:val="00721DAA"/>
    <w:rsid w:val="0072228C"/>
    <w:rsid w:val="00723675"/>
    <w:rsid w:val="00724150"/>
    <w:rsid w:val="0072425F"/>
    <w:rsid w:val="007259F6"/>
    <w:rsid w:val="00731AB5"/>
    <w:rsid w:val="00733AD9"/>
    <w:rsid w:val="007362CD"/>
    <w:rsid w:val="0073692E"/>
    <w:rsid w:val="00736A81"/>
    <w:rsid w:val="00740349"/>
    <w:rsid w:val="00741500"/>
    <w:rsid w:val="0074596A"/>
    <w:rsid w:val="00746362"/>
    <w:rsid w:val="007473A9"/>
    <w:rsid w:val="007510B1"/>
    <w:rsid w:val="00751B37"/>
    <w:rsid w:val="00752F4E"/>
    <w:rsid w:val="007574AA"/>
    <w:rsid w:val="00761A28"/>
    <w:rsid w:val="00763B3B"/>
    <w:rsid w:val="00764722"/>
    <w:rsid w:val="007705FA"/>
    <w:rsid w:val="007710BB"/>
    <w:rsid w:val="007717D7"/>
    <w:rsid w:val="007718F3"/>
    <w:rsid w:val="007719EA"/>
    <w:rsid w:val="0077213F"/>
    <w:rsid w:val="0077362E"/>
    <w:rsid w:val="007749E5"/>
    <w:rsid w:val="007754D0"/>
    <w:rsid w:val="00780703"/>
    <w:rsid w:val="00782979"/>
    <w:rsid w:val="00783BA9"/>
    <w:rsid w:val="0078551D"/>
    <w:rsid w:val="00785583"/>
    <w:rsid w:val="007870B3"/>
    <w:rsid w:val="00787AF4"/>
    <w:rsid w:val="0079091C"/>
    <w:rsid w:val="007909DC"/>
    <w:rsid w:val="00791841"/>
    <w:rsid w:val="00791B16"/>
    <w:rsid w:val="00793B18"/>
    <w:rsid w:val="00793E17"/>
    <w:rsid w:val="007A074E"/>
    <w:rsid w:val="007A1615"/>
    <w:rsid w:val="007A243F"/>
    <w:rsid w:val="007A2EBF"/>
    <w:rsid w:val="007A363B"/>
    <w:rsid w:val="007A4013"/>
    <w:rsid w:val="007A45F5"/>
    <w:rsid w:val="007A6FDF"/>
    <w:rsid w:val="007A7A35"/>
    <w:rsid w:val="007A7F92"/>
    <w:rsid w:val="007B0318"/>
    <w:rsid w:val="007B0CAB"/>
    <w:rsid w:val="007B2360"/>
    <w:rsid w:val="007B298C"/>
    <w:rsid w:val="007B532D"/>
    <w:rsid w:val="007B5EE5"/>
    <w:rsid w:val="007B6D8F"/>
    <w:rsid w:val="007B6F55"/>
    <w:rsid w:val="007B6F5A"/>
    <w:rsid w:val="007B712D"/>
    <w:rsid w:val="007B7B0E"/>
    <w:rsid w:val="007C14F6"/>
    <w:rsid w:val="007C159D"/>
    <w:rsid w:val="007C17A0"/>
    <w:rsid w:val="007C1AF3"/>
    <w:rsid w:val="007C297B"/>
    <w:rsid w:val="007C2BE4"/>
    <w:rsid w:val="007C3805"/>
    <w:rsid w:val="007C4C21"/>
    <w:rsid w:val="007C5702"/>
    <w:rsid w:val="007C630F"/>
    <w:rsid w:val="007C6B04"/>
    <w:rsid w:val="007D0F30"/>
    <w:rsid w:val="007D23B6"/>
    <w:rsid w:val="007D34CE"/>
    <w:rsid w:val="007D3823"/>
    <w:rsid w:val="007D53FB"/>
    <w:rsid w:val="007D5886"/>
    <w:rsid w:val="007D730D"/>
    <w:rsid w:val="007D7DC9"/>
    <w:rsid w:val="007E1245"/>
    <w:rsid w:val="007E1479"/>
    <w:rsid w:val="007E24B7"/>
    <w:rsid w:val="007E2B98"/>
    <w:rsid w:val="007E35E6"/>
    <w:rsid w:val="007E7B12"/>
    <w:rsid w:val="007F00D1"/>
    <w:rsid w:val="007F064A"/>
    <w:rsid w:val="007F2147"/>
    <w:rsid w:val="007F2242"/>
    <w:rsid w:val="007F2ACF"/>
    <w:rsid w:val="007F39EC"/>
    <w:rsid w:val="007F3FD4"/>
    <w:rsid w:val="007F629A"/>
    <w:rsid w:val="007F72C4"/>
    <w:rsid w:val="00800794"/>
    <w:rsid w:val="00800C53"/>
    <w:rsid w:val="00800E2A"/>
    <w:rsid w:val="00801C11"/>
    <w:rsid w:val="00802130"/>
    <w:rsid w:val="0080288F"/>
    <w:rsid w:val="008028AA"/>
    <w:rsid w:val="008033C6"/>
    <w:rsid w:val="00803A38"/>
    <w:rsid w:val="008064C9"/>
    <w:rsid w:val="00810683"/>
    <w:rsid w:val="0081166B"/>
    <w:rsid w:val="00811C83"/>
    <w:rsid w:val="008129A0"/>
    <w:rsid w:val="00812F39"/>
    <w:rsid w:val="00813CB3"/>
    <w:rsid w:val="00821166"/>
    <w:rsid w:val="00821D2C"/>
    <w:rsid w:val="00822F8A"/>
    <w:rsid w:val="00823248"/>
    <w:rsid w:val="008235FE"/>
    <w:rsid w:val="00823E71"/>
    <w:rsid w:val="00825B3F"/>
    <w:rsid w:val="00825FE2"/>
    <w:rsid w:val="00832AC9"/>
    <w:rsid w:val="00834F99"/>
    <w:rsid w:val="008370FC"/>
    <w:rsid w:val="00837BB4"/>
    <w:rsid w:val="008407AE"/>
    <w:rsid w:val="00840D41"/>
    <w:rsid w:val="008411A3"/>
    <w:rsid w:val="00841BE8"/>
    <w:rsid w:val="008432B3"/>
    <w:rsid w:val="00843E43"/>
    <w:rsid w:val="00845F98"/>
    <w:rsid w:val="008478F2"/>
    <w:rsid w:val="00850EDC"/>
    <w:rsid w:val="0085145F"/>
    <w:rsid w:val="00852854"/>
    <w:rsid w:val="0085291D"/>
    <w:rsid w:val="00854D9E"/>
    <w:rsid w:val="00855C2A"/>
    <w:rsid w:val="00856B82"/>
    <w:rsid w:val="00860178"/>
    <w:rsid w:val="0086040E"/>
    <w:rsid w:val="00861DB8"/>
    <w:rsid w:val="008645A0"/>
    <w:rsid w:val="00864CF1"/>
    <w:rsid w:val="00864E4D"/>
    <w:rsid w:val="00866664"/>
    <w:rsid w:val="00866A23"/>
    <w:rsid w:val="00867636"/>
    <w:rsid w:val="00871BD1"/>
    <w:rsid w:val="008736D3"/>
    <w:rsid w:val="00874397"/>
    <w:rsid w:val="00876402"/>
    <w:rsid w:val="00876AF7"/>
    <w:rsid w:val="00882F82"/>
    <w:rsid w:val="008837EE"/>
    <w:rsid w:val="008840F1"/>
    <w:rsid w:val="00884806"/>
    <w:rsid w:val="00885136"/>
    <w:rsid w:val="00885758"/>
    <w:rsid w:val="00885CB0"/>
    <w:rsid w:val="008905A4"/>
    <w:rsid w:val="0089073B"/>
    <w:rsid w:val="00890C69"/>
    <w:rsid w:val="00890DB9"/>
    <w:rsid w:val="008935DC"/>
    <w:rsid w:val="00893932"/>
    <w:rsid w:val="00893ACE"/>
    <w:rsid w:val="00893C74"/>
    <w:rsid w:val="00894982"/>
    <w:rsid w:val="00895052"/>
    <w:rsid w:val="008A0145"/>
    <w:rsid w:val="008A0DEB"/>
    <w:rsid w:val="008A1B76"/>
    <w:rsid w:val="008A3955"/>
    <w:rsid w:val="008A55BA"/>
    <w:rsid w:val="008A747A"/>
    <w:rsid w:val="008B0CB5"/>
    <w:rsid w:val="008B0E3F"/>
    <w:rsid w:val="008B1ACC"/>
    <w:rsid w:val="008B247A"/>
    <w:rsid w:val="008B253B"/>
    <w:rsid w:val="008B3117"/>
    <w:rsid w:val="008B67DC"/>
    <w:rsid w:val="008B7ABB"/>
    <w:rsid w:val="008C1933"/>
    <w:rsid w:val="008C2021"/>
    <w:rsid w:val="008C334E"/>
    <w:rsid w:val="008C3777"/>
    <w:rsid w:val="008C5FFA"/>
    <w:rsid w:val="008C6DB3"/>
    <w:rsid w:val="008D036C"/>
    <w:rsid w:val="008D0E00"/>
    <w:rsid w:val="008D14EF"/>
    <w:rsid w:val="008D1CFB"/>
    <w:rsid w:val="008D5AED"/>
    <w:rsid w:val="008D6376"/>
    <w:rsid w:val="008D64FC"/>
    <w:rsid w:val="008D74DC"/>
    <w:rsid w:val="008E1701"/>
    <w:rsid w:val="008E21E0"/>
    <w:rsid w:val="008E29ED"/>
    <w:rsid w:val="008E4B93"/>
    <w:rsid w:val="008E6C92"/>
    <w:rsid w:val="008F05EE"/>
    <w:rsid w:val="008F119F"/>
    <w:rsid w:val="008F2B96"/>
    <w:rsid w:val="008F355D"/>
    <w:rsid w:val="008F3E39"/>
    <w:rsid w:val="008F4693"/>
    <w:rsid w:val="008F4F6B"/>
    <w:rsid w:val="008F5ADF"/>
    <w:rsid w:val="008F79FB"/>
    <w:rsid w:val="00900676"/>
    <w:rsid w:val="00902114"/>
    <w:rsid w:val="009037AF"/>
    <w:rsid w:val="00903FB9"/>
    <w:rsid w:val="00905A25"/>
    <w:rsid w:val="00906249"/>
    <w:rsid w:val="0090695E"/>
    <w:rsid w:val="009114D3"/>
    <w:rsid w:val="009123C6"/>
    <w:rsid w:val="00915383"/>
    <w:rsid w:val="009170D5"/>
    <w:rsid w:val="00922A31"/>
    <w:rsid w:val="009232C1"/>
    <w:rsid w:val="009238F9"/>
    <w:rsid w:val="0092401D"/>
    <w:rsid w:val="00924E3F"/>
    <w:rsid w:val="009266B0"/>
    <w:rsid w:val="00926825"/>
    <w:rsid w:val="00927323"/>
    <w:rsid w:val="009304CA"/>
    <w:rsid w:val="00930828"/>
    <w:rsid w:val="00932723"/>
    <w:rsid w:val="0093334A"/>
    <w:rsid w:val="009403A3"/>
    <w:rsid w:val="00941EAD"/>
    <w:rsid w:val="00942EFD"/>
    <w:rsid w:val="009443B8"/>
    <w:rsid w:val="009447BC"/>
    <w:rsid w:val="00945E6B"/>
    <w:rsid w:val="00946336"/>
    <w:rsid w:val="00946769"/>
    <w:rsid w:val="0095054B"/>
    <w:rsid w:val="00951AF6"/>
    <w:rsid w:val="009533D4"/>
    <w:rsid w:val="009536BB"/>
    <w:rsid w:val="009553A0"/>
    <w:rsid w:val="00955907"/>
    <w:rsid w:val="00961759"/>
    <w:rsid w:val="00961BCE"/>
    <w:rsid w:val="0096232C"/>
    <w:rsid w:val="00962CBB"/>
    <w:rsid w:val="00962EB8"/>
    <w:rsid w:val="00964DE0"/>
    <w:rsid w:val="0096639F"/>
    <w:rsid w:val="00970C23"/>
    <w:rsid w:val="009724B6"/>
    <w:rsid w:val="0097401B"/>
    <w:rsid w:val="009740D0"/>
    <w:rsid w:val="009751E4"/>
    <w:rsid w:val="00976F95"/>
    <w:rsid w:val="00977343"/>
    <w:rsid w:val="009777FD"/>
    <w:rsid w:val="0098180D"/>
    <w:rsid w:val="00981932"/>
    <w:rsid w:val="009834C6"/>
    <w:rsid w:val="00984D5F"/>
    <w:rsid w:val="00985A14"/>
    <w:rsid w:val="009870C6"/>
    <w:rsid w:val="00987E19"/>
    <w:rsid w:val="009906E7"/>
    <w:rsid w:val="009918DF"/>
    <w:rsid w:val="00992F67"/>
    <w:rsid w:val="00994304"/>
    <w:rsid w:val="009944D1"/>
    <w:rsid w:val="00994B60"/>
    <w:rsid w:val="0099537F"/>
    <w:rsid w:val="009972BE"/>
    <w:rsid w:val="009A1242"/>
    <w:rsid w:val="009A1CF2"/>
    <w:rsid w:val="009A1DE3"/>
    <w:rsid w:val="009A4E23"/>
    <w:rsid w:val="009A632C"/>
    <w:rsid w:val="009A6437"/>
    <w:rsid w:val="009A76A0"/>
    <w:rsid w:val="009A7E06"/>
    <w:rsid w:val="009B07DC"/>
    <w:rsid w:val="009B0924"/>
    <w:rsid w:val="009B2680"/>
    <w:rsid w:val="009B2A1F"/>
    <w:rsid w:val="009B3989"/>
    <w:rsid w:val="009B4CB6"/>
    <w:rsid w:val="009B5C9B"/>
    <w:rsid w:val="009C0030"/>
    <w:rsid w:val="009C0601"/>
    <w:rsid w:val="009C0857"/>
    <w:rsid w:val="009C218F"/>
    <w:rsid w:val="009C3E58"/>
    <w:rsid w:val="009C4FF8"/>
    <w:rsid w:val="009D21C0"/>
    <w:rsid w:val="009D25E1"/>
    <w:rsid w:val="009D2DFF"/>
    <w:rsid w:val="009D3A51"/>
    <w:rsid w:val="009D489A"/>
    <w:rsid w:val="009D4F58"/>
    <w:rsid w:val="009D5AD5"/>
    <w:rsid w:val="009D5FBA"/>
    <w:rsid w:val="009E0791"/>
    <w:rsid w:val="009E18A2"/>
    <w:rsid w:val="009E27A4"/>
    <w:rsid w:val="009E387A"/>
    <w:rsid w:val="009E3A4C"/>
    <w:rsid w:val="009E406C"/>
    <w:rsid w:val="009E55D9"/>
    <w:rsid w:val="009E6425"/>
    <w:rsid w:val="009F23C2"/>
    <w:rsid w:val="009F2C0F"/>
    <w:rsid w:val="009F44AD"/>
    <w:rsid w:val="009F47ED"/>
    <w:rsid w:val="009F4AE1"/>
    <w:rsid w:val="009F550E"/>
    <w:rsid w:val="009F65CB"/>
    <w:rsid w:val="00A02323"/>
    <w:rsid w:val="00A0500B"/>
    <w:rsid w:val="00A114DF"/>
    <w:rsid w:val="00A11CE4"/>
    <w:rsid w:val="00A11D17"/>
    <w:rsid w:val="00A12EC9"/>
    <w:rsid w:val="00A132D9"/>
    <w:rsid w:val="00A14EED"/>
    <w:rsid w:val="00A17511"/>
    <w:rsid w:val="00A239FE"/>
    <w:rsid w:val="00A23F46"/>
    <w:rsid w:val="00A259C5"/>
    <w:rsid w:val="00A25EBA"/>
    <w:rsid w:val="00A273D8"/>
    <w:rsid w:val="00A27A4E"/>
    <w:rsid w:val="00A32EB2"/>
    <w:rsid w:val="00A335E0"/>
    <w:rsid w:val="00A34E31"/>
    <w:rsid w:val="00A375CF"/>
    <w:rsid w:val="00A4091F"/>
    <w:rsid w:val="00A42D0D"/>
    <w:rsid w:val="00A44E3D"/>
    <w:rsid w:val="00A4540A"/>
    <w:rsid w:val="00A4565F"/>
    <w:rsid w:val="00A45B90"/>
    <w:rsid w:val="00A4770E"/>
    <w:rsid w:val="00A51026"/>
    <w:rsid w:val="00A51ECF"/>
    <w:rsid w:val="00A55959"/>
    <w:rsid w:val="00A56713"/>
    <w:rsid w:val="00A62357"/>
    <w:rsid w:val="00A62761"/>
    <w:rsid w:val="00A66D21"/>
    <w:rsid w:val="00A6733D"/>
    <w:rsid w:val="00A70B70"/>
    <w:rsid w:val="00A70D4E"/>
    <w:rsid w:val="00A73ED7"/>
    <w:rsid w:val="00A74ABB"/>
    <w:rsid w:val="00A76BFD"/>
    <w:rsid w:val="00A77493"/>
    <w:rsid w:val="00A805FF"/>
    <w:rsid w:val="00A8067B"/>
    <w:rsid w:val="00A80954"/>
    <w:rsid w:val="00A81A2D"/>
    <w:rsid w:val="00A83C7C"/>
    <w:rsid w:val="00A85341"/>
    <w:rsid w:val="00A85BA5"/>
    <w:rsid w:val="00A85BEE"/>
    <w:rsid w:val="00A86152"/>
    <w:rsid w:val="00A86AE1"/>
    <w:rsid w:val="00A86B6A"/>
    <w:rsid w:val="00A87EB7"/>
    <w:rsid w:val="00A91368"/>
    <w:rsid w:val="00A91DBD"/>
    <w:rsid w:val="00A91DFB"/>
    <w:rsid w:val="00A96186"/>
    <w:rsid w:val="00A97713"/>
    <w:rsid w:val="00AA15F1"/>
    <w:rsid w:val="00AA4C69"/>
    <w:rsid w:val="00AA6A6F"/>
    <w:rsid w:val="00AA6E04"/>
    <w:rsid w:val="00AA7BA9"/>
    <w:rsid w:val="00AA7FEC"/>
    <w:rsid w:val="00AB218C"/>
    <w:rsid w:val="00AB2BE8"/>
    <w:rsid w:val="00AB3096"/>
    <w:rsid w:val="00AB3E60"/>
    <w:rsid w:val="00AB42AE"/>
    <w:rsid w:val="00AB7415"/>
    <w:rsid w:val="00AC16A2"/>
    <w:rsid w:val="00AC1715"/>
    <w:rsid w:val="00AC3238"/>
    <w:rsid w:val="00AC3644"/>
    <w:rsid w:val="00AC3D0C"/>
    <w:rsid w:val="00AC471C"/>
    <w:rsid w:val="00AC73BD"/>
    <w:rsid w:val="00AC7B09"/>
    <w:rsid w:val="00AD2972"/>
    <w:rsid w:val="00AD2BA9"/>
    <w:rsid w:val="00AD32F2"/>
    <w:rsid w:val="00AD3DEA"/>
    <w:rsid w:val="00AD3F7A"/>
    <w:rsid w:val="00AD43FA"/>
    <w:rsid w:val="00AD7288"/>
    <w:rsid w:val="00AE24F2"/>
    <w:rsid w:val="00AE3312"/>
    <w:rsid w:val="00AE3DD6"/>
    <w:rsid w:val="00AE6BD1"/>
    <w:rsid w:val="00AF045D"/>
    <w:rsid w:val="00AF20D2"/>
    <w:rsid w:val="00AF48BD"/>
    <w:rsid w:val="00AF5704"/>
    <w:rsid w:val="00AF6753"/>
    <w:rsid w:val="00AF7ADF"/>
    <w:rsid w:val="00B0180A"/>
    <w:rsid w:val="00B01E3A"/>
    <w:rsid w:val="00B036AF"/>
    <w:rsid w:val="00B06313"/>
    <w:rsid w:val="00B07B6B"/>
    <w:rsid w:val="00B116D9"/>
    <w:rsid w:val="00B12597"/>
    <w:rsid w:val="00B1260F"/>
    <w:rsid w:val="00B12BC6"/>
    <w:rsid w:val="00B1350B"/>
    <w:rsid w:val="00B169A2"/>
    <w:rsid w:val="00B175D8"/>
    <w:rsid w:val="00B22DD6"/>
    <w:rsid w:val="00B22DDC"/>
    <w:rsid w:val="00B23AA0"/>
    <w:rsid w:val="00B250D5"/>
    <w:rsid w:val="00B25D8E"/>
    <w:rsid w:val="00B3194E"/>
    <w:rsid w:val="00B3336A"/>
    <w:rsid w:val="00B33A46"/>
    <w:rsid w:val="00B33EFA"/>
    <w:rsid w:val="00B3590C"/>
    <w:rsid w:val="00B35D82"/>
    <w:rsid w:val="00B36D4F"/>
    <w:rsid w:val="00B4103A"/>
    <w:rsid w:val="00B417C7"/>
    <w:rsid w:val="00B4388D"/>
    <w:rsid w:val="00B474C8"/>
    <w:rsid w:val="00B500F2"/>
    <w:rsid w:val="00B51888"/>
    <w:rsid w:val="00B5258A"/>
    <w:rsid w:val="00B52F85"/>
    <w:rsid w:val="00B53900"/>
    <w:rsid w:val="00B5421E"/>
    <w:rsid w:val="00B56B55"/>
    <w:rsid w:val="00B6176B"/>
    <w:rsid w:val="00B62AFA"/>
    <w:rsid w:val="00B6495A"/>
    <w:rsid w:val="00B66BA4"/>
    <w:rsid w:val="00B67A7D"/>
    <w:rsid w:val="00B67AB1"/>
    <w:rsid w:val="00B70E49"/>
    <w:rsid w:val="00B71577"/>
    <w:rsid w:val="00B73384"/>
    <w:rsid w:val="00B73FD7"/>
    <w:rsid w:val="00B74DED"/>
    <w:rsid w:val="00B75D34"/>
    <w:rsid w:val="00B763B8"/>
    <w:rsid w:val="00B7648B"/>
    <w:rsid w:val="00B76C91"/>
    <w:rsid w:val="00B7726B"/>
    <w:rsid w:val="00B8200E"/>
    <w:rsid w:val="00B83D73"/>
    <w:rsid w:val="00B84DA6"/>
    <w:rsid w:val="00B855FA"/>
    <w:rsid w:val="00B85C75"/>
    <w:rsid w:val="00B8734C"/>
    <w:rsid w:val="00B87597"/>
    <w:rsid w:val="00B87EAE"/>
    <w:rsid w:val="00B9342F"/>
    <w:rsid w:val="00B93744"/>
    <w:rsid w:val="00B93A0F"/>
    <w:rsid w:val="00B945A8"/>
    <w:rsid w:val="00B94BE6"/>
    <w:rsid w:val="00B95832"/>
    <w:rsid w:val="00B97729"/>
    <w:rsid w:val="00BA0301"/>
    <w:rsid w:val="00BA42D7"/>
    <w:rsid w:val="00BA42EB"/>
    <w:rsid w:val="00BA4E4C"/>
    <w:rsid w:val="00BA51C8"/>
    <w:rsid w:val="00BA5846"/>
    <w:rsid w:val="00BA63CF"/>
    <w:rsid w:val="00BA6C8F"/>
    <w:rsid w:val="00BB14FE"/>
    <w:rsid w:val="00BB177A"/>
    <w:rsid w:val="00BB1D9F"/>
    <w:rsid w:val="00BB51A9"/>
    <w:rsid w:val="00BB6786"/>
    <w:rsid w:val="00BC185B"/>
    <w:rsid w:val="00BC1BF9"/>
    <w:rsid w:val="00BC28ED"/>
    <w:rsid w:val="00BC3102"/>
    <w:rsid w:val="00BC55AB"/>
    <w:rsid w:val="00BC629F"/>
    <w:rsid w:val="00BC78D5"/>
    <w:rsid w:val="00BD0798"/>
    <w:rsid w:val="00BD0886"/>
    <w:rsid w:val="00BD0A1B"/>
    <w:rsid w:val="00BD13F4"/>
    <w:rsid w:val="00BD2123"/>
    <w:rsid w:val="00BD2569"/>
    <w:rsid w:val="00BD2963"/>
    <w:rsid w:val="00BD2FCC"/>
    <w:rsid w:val="00BD4C6F"/>
    <w:rsid w:val="00BD5BE0"/>
    <w:rsid w:val="00BD7404"/>
    <w:rsid w:val="00BE0717"/>
    <w:rsid w:val="00BE10DC"/>
    <w:rsid w:val="00BE2267"/>
    <w:rsid w:val="00BE242B"/>
    <w:rsid w:val="00BE36BC"/>
    <w:rsid w:val="00BE4D15"/>
    <w:rsid w:val="00BE4F08"/>
    <w:rsid w:val="00BE75BB"/>
    <w:rsid w:val="00BE7ED9"/>
    <w:rsid w:val="00BF181D"/>
    <w:rsid w:val="00BF1B72"/>
    <w:rsid w:val="00BF2B3C"/>
    <w:rsid w:val="00BF4B38"/>
    <w:rsid w:val="00C011BE"/>
    <w:rsid w:val="00C03670"/>
    <w:rsid w:val="00C03D59"/>
    <w:rsid w:val="00C04809"/>
    <w:rsid w:val="00C05161"/>
    <w:rsid w:val="00C06EC9"/>
    <w:rsid w:val="00C077DE"/>
    <w:rsid w:val="00C07C8A"/>
    <w:rsid w:val="00C1021E"/>
    <w:rsid w:val="00C12E0B"/>
    <w:rsid w:val="00C1524D"/>
    <w:rsid w:val="00C15C62"/>
    <w:rsid w:val="00C15D19"/>
    <w:rsid w:val="00C172F9"/>
    <w:rsid w:val="00C17F7C"/>
    <w:rsid w:val="00C20975"/>
    <w:rsid w:val="00C21B6D"/>
    <w:rsid w:val="00C22039"/>
    <w:rsid w:val="00C221EC"/>
    <w:rsid w:val="00C236BE"/>
    <w:rsid w:val="00C24999"/>
    <w:rsid w:val="00C25329"/>
    <w:rsid w:val="00C257A8"/>
    <w:rsid w:val="00C26321"/>
    <w:rsid w:val="00C26585"/>
    <w:rsid w:val="00C27D7B"/>
    <w:rsid w:val="00C30153"/>
    <w:rsid w:val="00C31ED2"/>
    <w:rsid w:val="00C33D4D"/>
    <w:rsid w:val="00C3466A"/>
    <w:rsid w:val="00C348AC"/>
    <w:rsid w:val="00C36EB3"/>
    <w:rsid w:val="00C377AD"/>
    <w:rsid w:val="00C40B21"/>
    <w:rsid w:val="00C42D35"/>
    <w:rsid w:val="00C43210"/>
    <w:rsid w:val="00C43471"/>
    <w:rsid w:val="00C43B61"/>
    <w:rsid w:val="00C443FC"/>
    <w:rsid w:val="00C45031"/>
    <w:rsid w:val="00C450B9"/>
    <w:rsid w:val="00C454D8"/>
    <w:rsid w:val="00C45AB4"/>
    <w:rsid w:val="00C45E6A"/>
    <w:rsid w:val="00C46A08"/>
    <w:rsid w:val="00C51A58"/>
    <w:rsid w:val="00C53274"/>
    <w:rsid w:val="00C5363A"/>
    <w:rsid w:val="00C549C2"/>
    <w:rsid w:val="00C55002"/>
    <w:rsid w:val="00C55B17"/>
    <w:rsid w:val="00C64809"/>
    <w:rsid w:val="00C64946"/>
    <w:rsid w:val="00C6553D"/>
    <w:rsid w:val="00C66172"/>
    <w:rsid w:val="00C67B0D"/>
    <w:rsid w:val="00C71F25"/>
    <w:rsid w:val="00C7421B"/>
    <w:rsid w:val="00C77269"/>
    <w:rsid w:val="00C812F4"/>
    <w:rsid w:val="00C82896"/>
    <w:rsid w:val="00C82F08"/>
    <w:rsid w:val="00C84728"/>
    <w:rsid w:val="00C8512A"/>
    <w:rsid w:val="00C861A3"/>
    <w:rsid w:val="00C866C2"/>
    <w:rsid w:val="00C87B1A"/>
    <w:rsid w:val="00C90DCE"/>
    <w:rsid w:val="00C9170C"/>
    <w:rsid w:val="00C9427E"/>
    <w:rsid w:val="00C949AF"/>
    <w:rsid w:val="00C950DA"/>
    <w:rsid w:val="00C9517B"/>
    <w:rsid w:val="00C953ED"/>
    <w:rsid w:val="00C958A3"/>
    <w:rsid w:val="00C968DB"/>
    <w:rsid w:val="00C97DB7"/>
    <w:rsid w:val="00CA020C"/>
    <w:rsid w:val="00CA0621"/>
    <w:rsid w:val="00CA0733"/>
    <w:rsid w:val="00CA13C0"/>
    <w:rsid w:val="00CA18A3"/>
    <w:rsid w:val="00CA198D"/>
    <w:rsid w:val="00CA7909"/>
    <w:rsid w:val="00CB1A82"/>
    <w:rsid w:val="00CB2F8A"/>
    <w:rsid w:val="00CB2FFA"/>
    <w:rsid w:val="00CB4AD6"/>
    <w:rsid w:val="00CB4EB6"/>
    <w:rsid w:val="00CB4F93"/>
    <w:rsid w:val="00CB4FD8"/>
    <w:rsid w:val="00CB508C"/>
    <w:rsid w:val="00CB774F"/>
    <w:rsid w:val="00CC2F8A"/>
    <w:rsid w:val="00CC3645"/>
    <w:rsid w:val="00CC40BA"/>
    <w:rsid w:val="00CC7C12"/>
    <w:rsid w:val="00CD1226"/>
    <w:rsid w:val="00CD18A2"/>
    <w:rsid w:val="00CD1CC5"/>
    <w:rsid w:val="00CD4E86"/>
    <w:rsid w:val="00CD5053"/>
    <w:rsid w:val="00CE195C"/>
    <w:rsid w:val="00CE3BD9"/>
    <w:rsid w:val="00CE41D0"/>
    <w:rsid w:val="00CE611A"/>
    <w:rsid w:val="00CF243B"/>
    <w:rsid w:val="00CF2519"/>
    <w:rsid w:val="00CF2BB6"/>
    <w:rsid w:val="00CF42A0"/>
    <w:rsid w:val="00CF75CC"/>
    <w:rsid w:val="00D011C2"/>
    <w:rsid w:val="00D01C13"/>
    <w:rsid w:val="00D02029"/>
    <w:rsid w:val="00D029D5"/>
    <w:rsid w:val="00D02EA2"/>
    <w:rsid w:val="00D034B5"/>
    <w:rsid w:val="00D046B9"/>
    <w:rsid w:val="00D04DF4"/>
    <w:rsid w:val="00D04F80"/>
    <w:rsid w:val="00D06CDB"/>
    <w:rsid w:val="00D0741E"/>
    <w:rsid w:val="00D07B12"/>
    <w:rsid w:val="00D132DC"/>
    <w:rsid w:val="00D13A6C"/>
    <w:rsid w:val="00D13F7A"/>
    <w:rsid w:val="00D142B6"/>
    <w:rsid w:val="00D167E7"/>
    <w:rsid w:val="00D20E19"/>
    <w:rsid w:val="00D231A6"/>
    <w:rsid w:val="00D26873"/>
    <w:rsid w:val="00D26D6F"/>
    <w:rsid w:val="00D30138"/>
    <w:rsid w:val="00D30FDF"/>
    <w:rsid w:val="00D31875"/>
    <w:rsid w:val="00D3196A"/>
    <w:rsid w:val="00D31CC6"/>
    <w:rsid w:val="00D32F83"/>
    <w:rsid w:val="00D3361E"/>
    <w:rsid w:val="00D3468A"/>
    <w:rsid w:val="00D355BD"/>
    <w:rsid w:val="00D35660"/>
    <w:rsid w:val="00D36770"/>
    <w:rsid w:val="00D36946"/>
    <w:rsid w:val="00D37F91"/>
    <w:rsid w:val="00D40CAF"/>
    <w:rsid w:val="00D41C1F"/>
    <w:rsid w:val="00D42053"/>
    <w:rsid w:val="00D4208A"/>
    <w:rsid w:val="00D427D6"/>
    <w:rsid w:val="00D458D3"/>
    <w:rsid w:val="00D47630"/>
    <w:rsid w:val="00D502B5"/>
    <w:rsid w:val="00D50502"/>
    <w:rsid w:val="00D507FB"/>
    <w:rsid w:val="00D51EB9"/>
    <w:rsid w:val="00D52571"/>
    <w:rsid w:val="00D526E9"/>
    <w:rsid w:val="00D52E8A"/>
    <w:rsid w:val="00D5372A"/>
    <w:rsid w:val="00D55565"/>
    <w:rsid w:val="00D559B2"/>
    <w:rsid w:val="00D55F56"/>
    <w:rsid w:val="00D5609A"/>
    <w:rsid w:val="00D56470"/>
    <w:rsid w:val="00D57273"/>
    <w:rsid w:val="00D576DF"/>
    <w:rsid w:val="00D57F3C"/>
    <w:rsid w:val="00D60256"/>
    <w:rsid w:val="00D6078F"/>
    <w:rsid w:val="00D63335"/>
    <w:rsid w:val="00D63D95"/>
    <w:rsid w:val="00D70018"/>
    <w:rsid w:val="00D72599"/>
    <w:rsid w:val="00D72882"/>
    <w:rsid w:val="00D7339B"/>
    <w:rsid w:val="00D740DF"/>
    <w:rsid w:val="00D75D0E"/>
    <w:rsid w:val="00D7681F"/>
    <w:rsid w:val="00D77AC3"/>
    <w:rsid w:val="00D77D8D"/>
    <w:rsid w:val="00D815C2"/>
    <w:rsid w:val="00D81FDE"/>
    <w:rsid w:val="00D83585"/>
    <w:rsid w:val="00D83AC2"/>
    <w:rsid w:val="00D8486D"/>
    <w:rsid w:val="00D85536"/>
    <w:rsid w:val="00D85A6D"/>
    <w:rsid w:val="00D902D1"/>
    <w:rsid w:val="00D91B77"/>
    <w:rsid w:val="00D97BE0"/>
    <w:rsid w:val="00DA0D9D"/>
    <w:rsid w:val="00DA1BF4"/>
    <w:rsid w:val="00DA4061"/>
    <w:rsid w:val="00DA5485"/>
    <w:rsid w:val="00DB0788"/>
    <w:rsid w:val="00DB28F1"/>
    <w:rsid w:val="00DB3955"/>
    <w:rsid w:val="00DB457A"/>
    <w:rsid w:val="00DB491F"/>
    <w:rsid w:val="00DB4C6E"/>
    <w:rsid w:val="00DB513B"/>
    <w:rsid w:val="00DB5975"/>
    <w:rsid w:val="00DC09C1"/>
    <w:rsid w:val="00DC2A75"/>
    <w:rsid w:val="00DC2B12"/>
    <w:rsid w:val="00DC2DD6"/>
    <w:rsid w:val="00DC315B"/>
    <w:rsid w:val="00DC37EE"/>
    <w:rsid w:val="00DC53FC"/>
    <w:rsid w:val="00DC5FC2"/>
    <w:rsid w:val="00DD064F"/>
    <w:rsid w:val="00DD0FEE"/>
    <w:rsid w:val="00DD1862"/>
    <w:rsid w:val="00DD19A5"/>
    <w:rsid w:val="00DD2243"/>
    <w:rsid w:val="00DD2420"/>
    <w:rsid w:val="00DD2477"/>
    <w:rsid w:val="00DD37B3"/>
    <w:rsid w:val="00DD4977"/>
    <w:rsid w:val="00DD4ADD"/>
    <w:rsid w:val="00DD66C5"/>
    <w:rsid w:val="00DD7575"/>
    <w:rsid w:val="00DE0050"/>
    <w:rsid w:val="00DE00C3"/>
    <w:rsid w:val="00DE0627"/>
    <w:rsid w:val="00DE126B"/>
    <w:rsid w:val="00DE2A56"/>
    <w:rsid w:val="00DE2FF6"/>
    <w:rsid w:val="00DE305D"/>
    <w:rsid w:val="00DE3484"/>
    <w:rsid w:val="00DE4CDC"/>
    <w:rsid w:val="00DE65FD"/>
    <w:rsid w:val="00DF06C2"/>
    <w:rsid w:val="00DF0DD2"/>
    <w:rsid w:val="00DF1292"/>
    <w:rsid w:val="00DF2C21"/>
    <w:rsid w:val="00DF7B20"/>
    <w:rsid w:val="00E00B0E"/>
    <w:rsid w:val="00E0581B"/>
    <w:rsid w:val="00E05A68"/>
    <w:rsid w:val="00E05BB4"/>
    <w:rsid w:val="00E077EB"/>
    <w:rsid w:val="00E077F9"/>
    <w:rsid w:val="00E1002A"/>
    <w:rsid w:val="00E10C5E"/>
    <w:rsid w:val="00E11C32"/>
    <w:rsid w:val="00E1201E"/>
    <w:rsid w:val="00E132C4"/>
    <w:rsid w:val="00E14133"/>
    <w:rsid w:val="00E14763"/>
    <w:rsid w:val="00E14F42"/>
    <w:rsid w:val="00E1655E"/>
    <w:rsid w:val="00E174AA"/>
    <w:rsid w:val="00E21050"/>
    <w:rsid w:val="00E2195B"/>
    <w:rsid w:val="00E22074"/>
    <w:rsid w:val="00E2371C"/>
    <w:rsid w:val="00E25EC6"/>
    <w:rsid w:val="00E26321"/>
    <w:rsid w:val="00E273DC"/>
    <w:rsid w:val="00E304F7"/>
    <w:rsid w:val="00E30B6A"/>
    <w:rsid w:val="00E32D56"/>
    <w:rsid w:val="00E346CA"/>
    <w:rsid w:val="00E3537F"/>
    <w:rsid w:val="00E35C95"/>
    <w:rsid w:val="00E361B1"/>
    <w:rsid w:val="00E36A29"/>
    <w:rsid w:val="00E36CDF"/>
    <w:rsid w:val="00E36D40"/>
    <w:rsid w:val="00E36E54"/>
    <w:rsid w:val="00E3702A"/>
    <w:rsid w:val="00E372CF"/>
    <w:rsid w:val="00E40A42"/>
    <w:rsid w:val="00E40A51"/>
    <w:rsid w:val="00E41D5B"/>
    <w:rsid w:val="00E4490C"/>
    <w:rsid w:val="00E45580"/>
    <w:rsid w:val="00E4772C"/>
    <w:rsid w:val="00E5014A"/>
    <w:rsid w:val="00E50391"/>
    <w:rsid w:val="00E5147F"/>
    <w:rsid w:val="00E51792"/>
    <w:rsid w:val="00E53865"/>
    <w:rsid w:val="00E54713"/>
    <w:rsid w:val="00E55211"/>
    <w:rsid w:val="00E55CFB"/>
    <w:rsid w:val="00E56404"/>
    <w:rsid w:val="00E5704C"/>
    <w:rsid w:val="00E607F4"/>
    <w:rsid w:val="00E61A26"/>
    <w:rsid w:val="00E6229A"/>
    <w:rsid w:val="00E6258C"/>
    <w:rsid w:val="00E625AA"/>
    <w:rsid w:val="00E62E9A"/>
    <w:rsid w:val="00E638A3"/>
    <w:rsid w:val="00E63C03"/>
    <w:rsid w:val="00E647DA"/>
    <w:rsid w:val="00E64D35"/>
    <w:rsid w:val="00E65089"/>
    <w:rsid w:val="00E6563A"/>
    <w:rsid w:val="00E65A0D"/>
    <w:rsid w:val="00E65A20"/>
    <w:rsid w:val="00E66D91"/>
    <w:rsid w:val="00E749C5"/>
    <w:rsid w:val="00E76859"/>
    <w:rsid w:val="00E77387"/>
    <w:rsid w:val="00E777AA"/>
    <w:rsid w:val="00E81C77"/>
    <w:rsid w:val="00E8311A"/>
    <w:rsid w:val="00E8489A"/>
    <w:rsid w:val="00E85199"/>
    <w:rsid w:val="00E85BC9"/>
    <w:rsid w:val="00E86916"/>
    <w:rsid w:val="00E87419"/>
    <w:rsid w:val="00E908AC"/>
    <w:rsid w:val="00E90E98"/>
    <w:rsid w:val="00E92E98"/>
    <w:rsid w:val="00E94903"/>
    <w:rsid w:val="00E95DCD"/>
    <w:rsid w:val="00EA0FDA"/>
    <w:rsid w:val="00EA3C04"/>
    <w:rsid w:val="00EA500A"/>
    <w:rsid w:val="00EA5761"/>
    <w:rsid w:val="00EA5B03"/>
    <w:rsid w:val="00EA6519"/>
    <w:rsid w:val="00EA724D"/>
    <w:rsid w:val="00EA7698"/>
    <w:rsid w:val="00EA7DD2"/>
    <w:rsid w:val="00EB0475"/>
    <w:rsid w:val="00EB102C"/>
    <w:rsid w:val="00EB1368"/>
    <w:rsid w:val="00EB2E4B"/>
    <w:rsid w:val="00EB369A"/>
    <w:rsid w:val="00EB5E31"/>
    <w:rsid w:val="00EB60F8"/>
    <w:rsid w:val="00EB6709"/>
    <w:rsid w:val="00EB6DD1"/>
    <w:rsid w:val="00EB794C"/>
    <w:rsid w:val="00EC2321"/>
    <w:rsid w:val="00EC30D0"/>
    <w:rsid w:val="00EC30FC"/>
    <w:rsid w:val="00EC3D9F"/>
    <w:rsid w:val="00EC5107"/>
    <w:rsid w:val="00EC7124"/>
    <w:rsid w:val="00EC7A62"/>
    <w:rsid w:val="00ED09CD"/>
    <w:rsid w:val="00ED2D63"/>
    <w:rsid w:val="00ED2F54"/>
    <w:rsid w:val="00ED3DDB"/>
    <w:rsid w:val="00ED4518"/>
    <w:rsid w:val="00ED4AF1"/>
    <w:rsid w:val="00EE2C70"/>
    <w:rsid w:val="00EE3812"/>
    <w:rsid w:val="00EE4E1A"/>
    <w:rsid w:val="00EE5AD0"/>
    <w:rsid w:val="00EE5E96"/>
    <w:rsid w:val="00EE6EEC"/>
    <w:rsid w:val="00EE7961"/>
    <w:rsid w:val="00EE7991"/>
    <w:rsid w:val="00EF0503"/>
    <w:rsid w:val="00EF0908"/>
    <w:rsid w:val="00EF1432"/>
    <w:rsid w:val="00EF418B"/>
    <w:rsid w:val="00EF611E"/>
    <w:rsid w:val="00EF73DA"/>
    <w:rsid w:val="00EF78DF"/>
    <w:rsid w:val="00F005C9"/>
    <w:rsid w:val="00F009C6"/>
    <w:rsid w:val="00F01374"/>
    <w:rsid w:val="00F03B1B"/>
    <w:rsid w:val="00F0614C"/>
    <w:rsid w:val="00F06856"/>
    <w:rsid w:val="00F07757"/>
    <w:rsid w:val="00F1181F"/>
    <w:rsid w:val="00F12215"/>
    <w:rsid w:val="00F12A8A"/>
    <w:rsid w:val="00F12E98"/>
    <w:rsid w:val="00F13AB5"/>
    <w:rsid w:val="00F13C23"/>
    <w:rsid w:val="00F14578"/>
    <w:rsid w:val="00F15FE2"/>
    <w:rsid w:val="00F21586"/>
    <w:rsid w:val="00F2591B"/>
    <w:rsid w:val="00F25DB3"/>
    <w:rsid w:val="00F25F46"/>
    <w:rsid w:val="00F31C66"/>
    <w:rsid w:val="00F321DD"/>
    <w:rsid w:val="00F32D66"/>
    <w:rsid w:val="00F33D16"/>
    <w:rsid w:val="00F3589E"/>
    <w:rsid w:val="00F3627D"/>
    <w:rsid w:val="00F42D66"/>
    <w:rsid w:val="00F45205"/>
    <w:rsid w:val="00F45A48"/>
    <w:rsid w:val="00F4640B"/>
    <w:rsid w:val="00F47DBC"/>
    <w:rsid w:val="00F502FB"/>
    <w:rsid w:val="00F50E4F"/>
    <w:rsid w:val="00F51CB6"/>
    <w:rsid w:val="00F5209D"/>
    <w:rsid w:val="00F54C10"/>
    <w:rsid w:val="00F54D66"/>
    <w:rsid w:val="00F54FB1"/>
    <w:rsid w:val="00F55FEB"/>
    <w:rsid w:val="00F5671E"/>
    <w:rsid w:val="00F571CD"/>
    <w:rsid w:val="00F60337"/>
    <w:rsid w:val="00F604C7"/>
    <w:rsid w:val="00F60A9A"/>
    <w:rsid w:val="00F6108E"/>
    <w:rsid w:val="00F61766"/>
    <w:rsid w:val="00F625BE"/>
    <w:rsid w:val="00F676F8"/>
    <w:rsid w:val="00F67BEA"/>
    <w:rsid w:val="00F700EE"/>
    <w:rsid w:val="00F70615"/>
    <w:rsid w:val="00F7131E"/>
    <w:rsid w:val="00F73697"/>
    <w:rsid w:val="00F7396D"/>
    <w:rsid w:val="00F752DF"/>
    <w:rsid w:val="00F759D9"/>
    <w:rsid w:val="00F76033"/>
    <w:rsid w:val="00F766BD"/>
    <w:rsid w:val="00F81B82"/>
    <w:rsid w:val="00F81F64"/>
    <w:rsid w:val="00F824BE"/>
    <w:rsid w:val="00F82AF9"/>
    <w:rsid w:val="00F8390C"/>
    <w:rsid w:val="00F83B48"/>
    <w:rsid w:val="00F864F7"/>
    <w:rsid w:val="00F90FE7"/>
    <w:rsid w:val="00F913D0"/>
    <w:rsid w:val="00F94F10"/>
    <w:rsid w:val="00F95D7E"/>
    <w:rsid w:val="00F960BF"/>
    <w:rsid w:val="00F96B09"/>
    <w:rsid w:val="00F96E76"/>
    <w:rsid w:val="00F97AD0"/>
    <w:rsid w:val="00FA04D7"/>
    <w:rsid w:val="00FA10E4"/>
    <w:rsid w:val="00FA25C0"/>
    <w:rsid w:val="00FA2C7B"/>
    <w:rsid w:val="00FA313F"/>
    <w:rsid w:val="00FA44C1"/>
    <w:rsid w:val="00FA4633"/>
    <w:rsid w:val="00FA4A17"/>
    <w:rsid w:val="00FA4C9D"/>
    <w:rsid w:val="00FA521D"/>
    <w:rsid w:val="00FA7EAB"/>
    <w:rsid w:val="00FB26B4"/>
    <w:rsid w:val="00FB4474"/>
    <w:rsid w:val="00FB7CCF"/>
    <w:rsid w:val="00FC227A"/>
    <w:rsid w:val="00FC313E"/>
    <w:rsid w:val="00FC3208"/>
    <w:rsid w:val="00FC57A8"/>
    <w:rsid w:val="00FC5E01"/>
    <w:rsid w:val="00FC6103"/>
    <w:rsid w:val="00FC6B18"/>
    <w:rsid w:val="00FD07D3"/>
    <w:rsid w:val="00FD2A78"/>
    <w:rsid w:val="00FD32BC"/>
    <w:rsid w:val="00FD46B1"/>
    <w:rsid w:val="00FD50BC"/>
    <w:rsid w:val="00FD5216"/>
    <w:rsid w:val="00FD5DD0"/>
    <w:rsid w:val="00FD6E31"/>
    <w:rsid w:val="00FE1E69"/>
    <w:rsid w:val="00FE2519"/>
    <w:rsid w:val="00FE2B55"/>
    <w:rsid w:val="00FE4ED4"/>
    <w:rsid w:val="00FE6CB4"/>
    <w:rsid w:val="00FE71B4"/>
    <w:rsid w:val="00FE7671"/>
    <w:rsid w:val="00FE79BF"/>
    <w:rsid w:val="00FE7ED9"/>
    <w:rsid w:val="00FF00FC"/>
    <w:rsid w:val="00FF0805"/>
    <w:rsid w:val="00FF315D"/>
    <w:rsid w:val="00FF352D"/>
    <w:rsid w:val="00FF49D9"/>
    <w:rsid w:val="00FF6873"/>
    <w:rsid w:val="010550DD"/>
    <w:rsid w:val="020C3215"/>
    <w:rsid w:val="0DA76EF7"/>
    <w:rsid w:val="0F5A7EF5"/>
    <w:rsid w:val="10B61AF9"/>
    <w:rsid w:val="197E2E13"/>
    <w:rsid w:val="1D40444D"/>
    <w:rsid w:val="1EB23894"/>
    <w:rsid w:val="24257BFD"/>
    <w:rsid w:val="27156329"/>
    <w:rsid w:val="2A3F6DCB"/>
    <w:rsid w:val="2BCB4E87"/>
    <w:rsid w:val="2C066061"/>
    <w:rsid w:val="2D9D11C8"/>
    <w:rsid w:val="3013205B"/>
    <w:rsid w:val="30361475"/>
    <w:rsid w:val="33701023"/>
    <w:rsid w:val="337B1A67"/>
    <w:rsid w:val="33C15BE0"/>
    <w:rsid w:val="384B24CE"/>
    <w:rsid w:val="399563E3"/>
    <w:rsid w:val="3DDC7F8B"/>
    <w:rsid w:val="3E217B1B"/>
    <w:rsid w:val="40751C9F"/>
    <w:rsid w:val="407E44CB"/>
    <w:rsid w:val="42857728"/>
    <w:rsid w:val="437D2DD8"/>
    <w:rsid w:val="44F77FF8"/>
    <w:rsid w:val="46E10BF3"/>
    <w:rsid w:val="474546EB"/>
    <w:rsid w:val="4D95357E"/>
    <w:rsid w:val="4E05412E"/>
    <w:rsid w:val="4EBE0E61"/>
    <w:rsid w:val="50017CAB"/>
    <w:rsid w:val="56A85281"/>
    <w:rsid w:val="57722EBB"/>
    <w:rsid w:val="57AD1090"/>
    <w:rsid w:val="60A83866"/>
    <w:rsid w:val="65DC0272"/>
    <w:rsid w:val="6AF712BC"/>
    <w:rsid w:val="6D302958"/>
    <w:rsid w:val="6D8C4A9A"/>
    <w:rsid w:val="6DF74CFB"/>
    <w:rsid w:val="6F107FC5"/>
    <w:rsid w:val="6F797645"/>
    <w:rsid w:val="730A6DE6"/>
    <w:rsid w:val="755E70D0"/>
    <w:rsid w:val="7BB93933"/>
    <w:rsid w:val="7CDF65FA"/>
    <w:rsid w:val="7E0F0660"/>
    <w:rsid w:val="7E9843C6"/>
  </w:rsids>
  <m:mathPr>
    <m:mathFont m:val="Cambria Math"/>
    <m:brkBin m:val="before"/>
    <m:brkBinSub m:val="--"/>
    <m:smallFrac m:val="0"/>
    <m:dispDef/>
    <m:lMargin m:val="0"/>
    <m:rMargin m:val="0"/>
    <m:defJc m:val="centerGroup"/>
    <m:wrapIndent m:val="1440"/>
    <m:intLim m:val="subSup"/>
    <m:naryLim m:val="undOvr"/>
  </m:mathPr>
  <w:themeFontLang w:val="en-US" w:eastAsia="zh-CN" w:bidi="ug-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nhideWhenUsed="0" w:uiPriority="0" w:semiHidden="0" w:name="annotation reference"/>
    <w:lsdException w:uiPriority="0" w:name="line number"/>
    <w:lsdException w:uiPriority="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99" w:semiHidden="0" w:name="HTML Preformatted"/>
    <w:lsdException w:uiPriority="0" w:name="HTML Sample"/>
    <w:lsdException w:uiPriority="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3"/>
    <w:qFormat/>
    <w:uiPriority w:val="0"/>
    <w:pPr>
      <w:keepNext/>
      <w:keepLines/>
      <w:spacing w:before="340" w:after="330" w:line="578" w:lineRule="auto"/>
      <w:outlineLvl w:val="0"/>
    </w:pPr>
    <w:rPr>
      <w:b/>
      <w:bCs/>
      <w:kern w:val="44"/>
      <w:sz w:val="44"/>
      <w:szCs w:val="44"/>
    </w:rPr>
  </w:style>
  <w:style w:type="character" w:default="1" w:styleId="9">
    <w:name w:val="Default Paragraph Font"/>
    <w:semiHidden/>
    <w:unhideWhenUsed/>
    <w:uiPriority w:val="1"/>
  </w:style>
  <w:style w:type="table" w:default="1" w:styleId="12">
    <w:name w:val="Normal Table"/>
    <w:semiHidden/>
    <w:unhideWhenUsed/>
    <w:uiPriority w:val="99"/>
    <w:tblPr>
      <w:tblLayout w:type="fixed"/>
      <w:tblCellMar>
        <w:top w:w="0" w:type="dxa"/>
        <w:left w:w="108" w:type="dxa"/>
        <w:bottom w:w="0" w:type="dxa"/>
        <w:right w:w="108" w:type="dxa"/>
      </w:tblCellMar>
    </w:tblPr>
  </w:style>
  <w:style w:type="paragraph" w:styleId="3">
    <w:name w:val="annotation subject"/>
    <w:basedOn w:val="4"/>
    <w:next w:val="4"/>
    <w:link w:val="15"/>
    <w:qFormat/>
    <w:uiPriority w:val="0"/>
    <w:rPr>
      <w:b/>
      <w:bCs/>
    </w:rPr>
  </w:style>
  <w:style w:type="paragraph" w:styleId="4">
    <w:name w:val="annotation text"/>
    <w:basedOn w:val="1"/>
    <w:link w:val="14"/>
    <w:qFormat/>
    <w:uiPriority w:val="0"/>
    <w:pPr>
      <w:jc w:val="left"/>
    </w:pPr>
  </w:style>
  <w:style w:type="paragraph" w:styleId="5">
    <w:name w:val="Balloon Text"/>
    <w:basedOn w:val="1"/>
    <w:link w:val="16"/>
    <w:qFormat/>
    <w:uiPriority w:val="0"/>
    <w:rPr>
      <w:sz w:val="18"/>
      <w:szCs w:val="18"/>
    </w:rPr>
  </w:style>
  <w:style w:type="paragraph" w:styleId="6">
    <w:name w:val="footer"/>
    <w:basedOn w:val="1"/>
    <w:qFormat/>
    <w:uiPriority w:val="99"/>
    <w:pPr>
      <w:tabs>
        <w:tab w:val="center" w:pos="4153"/>
        <w:tab w:val="right" w:pos="8306"/>
      </w:tabs>
      <w:snapToGrid w:val="0"/>
      <w:jc w:val="left"/>
    </w:pPr>
    <w:rPr>
      <w:rFonts w:eastAsia="黑体"/>
      <w:snapToGrid w:val="0"/>
      <w:kern w:val="0"/>
      <w:sz w:val="18"/>
      <w:szCs w:val="18"/>
    </w:rPr>
  </w:style>
  <w:style w:type="paragraph" w:styleId="7">
    <w:name w:val="header"/>
    <w:basedOn w:val="1"/>
    <w:link w:val="19"/>
    <w:qFormat/>
    <w:uiPriority w:val="0"/>
    <w:pPr>
      <w:pBdr>
        <w:bottom w:val="single" w:color="auto" w:sz="6" w:space="1"/>
      </w:pBdr>
      <w:tabs>
        <w:tab w:val="center" w:pos="4153"/>
        <w:tab w:val="right" w:pos="8306"/>
      </w:tabs>
      <w:snapToGrid w:val="0"/>
      <w:jc w:val="center"/>
    </w:pPr>
    <w:rPr>
      <w:sz w:val="18"/>
      <w:szCs w:val="18"/>
    </w:rPr>
  </w:style>
  <w:style w:type="paragraph" w:styleId="8">
    <w:name w:val="HTML Preformatted"/>
    <w:basedOn w:val="1"/>
    <w:link w:val="20"/>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rPr>
  </w:style>
  <w:style w:type="character" w:styleId="10">
    <w:name w:val="Strong"/>
    <w:basedOn w:val="9"/>
    <w:qFormat/>
    <w:uiPriority w:val="0"/>
    <w:rPr>
      <w:b/>
      <w:bCs/>
    </w:rPr>
  </w:style>
  <w:style w:type="character" w:styleId="11">
    <w:name w:val="annotation reference"/>
    <w:basedOn w:val="9"/>
    <w:uiPriority w:val="0"/>
    <w:rPr>
      <w:sz w:val="21"/>
      <w:szCs w:val="21"/>
    </w:rPr>
  </w:style>
  <w:style w:type="table" w:styleId="13">
    <w:name w:val="Table Grid"/>
    <w:basedOn w:val="12"/>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4">
    <w:name w:val="批注文字 字符"/>
    <w:basedOn w:val="9"/>
    <w:link w:val="4"/>
    <w:uiPriority w:val="0"/>
    <w:rPr>
      <w:kern w:val="2"/>
      <w:sz w:val="21"/>
      <w:szCs w:val="24"/>
    </w:rPr>
  </w:style>
  <w:style w:type="character" w:customStyle="1" w:styleId="15">
    <w:name w:val="批注主题 字符"/>
    <w:basedOn w:val="14"/>
    <w:link w:val="3"/>
    <w:qFormat/>
    <w:uiPriority w:val="0"/>
    <w:rPr>
      <w:b/>
      <w:bCs/>
      <w:kern w:val="2"/>
      <w:sz w:val="21"/>
      <w:szCs w:val="24"/>
    </w:rPr>
  </w:style>
  <w:style w:type="character" w:customStyle="1" w:styleId="16">
    <w:name w:val="批注框文本 字符"/>
    <w:basedOn w:val="9"/>
    <w:link w:val="5"/>
    <w:qFormat/>
    <w:uiPriority w:val="0"/>
    <w:rPr>
      <w:kern w:val="2"/>
      <w:sz w:val="18"/>
      <w:szCs w:val="18"/>
    </w:rPr>
  </w:style>
  <w:style w:type="paragraph" w:customStyle="1" w:styleId="17">
    <w:name w:val="修订1"/>
    <w:hidden/>
    <w:semiHidden/>
    <w:qFormat/>
    <w:uiPriority w:val="99"/>
    <w:rPr>
      <w:rFonts w:ascii="Times New Roman" w:hAnsi="Times New Roman" w:eastAsia="宋体" w:cs="Times New Roman"/>
      <w:kern w:val="2"/>
      <w:sz w:val="21"/>
      <w:szCs w:val="24"/>
      <w:lang w:val="en-US" w:eastAsia="zh-CN" w:bidi="ar-SA"/>
    </w:rPr>
  </w:style>
  <w:style w:type="paragraph" w:styleId="18">
    <w:name w:val="List Paragraph"/>
    <w:basedOn w:val="1"/>
    <w:uiPriority w:val="99"/>
    <w:pPr>
      <w:ind w:firstLine="420" w:firstLineChars="200"/>
    </w:pPr>
  </w:style>
  <w:style w:type="character" w:customStyle="1" w:styleId="19">
    <w:name w:val="页眉 字符"/>
    <w:basedOn w:val="9"/>
    <w:link w:val="7"/>
    <w:uiPriority w:val="0"/>
    <w:rPr>
      <w:kern w:val="2"/>
      <w:sz w:val="18"/>
      <w:szCs w:val="18"/>
    </w:rPr>
  </w:style>
  <w:style w:type="character" w:customStyle="1" w:styleId="20">
    <w:name w:val="HTML 预设格式 字符"/>
    <w:basedOn w:val="9"/>
    <w:link w:val="8"/>
    <w:uiPriority w:val="99"/>
    <w:rPr>
      <w:rFonts w:ascii="宋体" w:hAnsi="宋体"/>
      <w:sz w:val="24"/>
      <w:szCs w:val="24"/>
    </w:rPr>
  </w:style>
  <w:style w:type="character" w:customStyle="1" w:styleId="21">
    <w:name w:val="name"/>
    <w:basedOn w:val="9"/>
    <w:uiPriority w:val="0"/>
  </w:style>
  <w:style w:type="table" w:customStyle="1" w:styleId="22">
    <w:name w:val="网格型1"/>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3">
    <w:name w:val="标题 1 字符"/>
    <w:basedOn w:val="9"/>
    <w:link w:val="2"/>
    <w:uiPriority w:val="0"/>
    <w:rPr>
      <w:b/>
      <w:bCs/>
      <w:kern w:val="44"/>
      <w:sz w:val="44"/>
      <w:szCs w:val="44"/>
    </w:rPr>
  </w:style>
  <w:style w:type="paragraph" w:customStyle="1" w:styleId="24">
    <w:name w:val="修订2"/>
    <w:hidden/>
    <w:semiHidden/>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00EE17-9281-424F-AD5B-06F9E514D7E3}">
  <ds:schemaRefs/>
</ds:datastoreItem>
</file>

<file path=docProps/app.xml><?xml version="1.0" encoding="utf-8"?>
<Properties xmlns="http://schemas.openxmlformats.org/officeDocument/2006/extended-properties" xmlns:vt="http://schemas.openxmlformats.org/officeDocument/2006/docPropsVTypes">
  <Template>Normal.dotm</Template>
  <Manager>海哥</Manager>
  <Company>喀什跃达共创信息技术有限责任公司</Company>
  <Pages>25</Pages>
  <Words>1347</Words>
  <Characters>7678</Characters>
  <Lines>63</Lines>
  <Paragraphs>18</Paragraphs>
  <TotalTime>2955</TotalTime>
  <ScaleCrop>false</ScaleCrop>
  <LinksUpToDate>false</LinksUpToDate>
  <CharactersWithSpaces>9007</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word文档</cp:category>
  <dcterms:created xsi:type="dcterms:W3CDTF">2024-03-27T11:20:00Z</dcterms:created>
  <dc:creator>海哥</dc:creator>
  <dc:description>2024年预算公开报告</dc:description>
  <cp:keywords>2024年预算公开报告</cp:keywords>
  <cp:lastModifiedBy>Administrator</cp:lastModifiedBy>
  <dcterms:modified xsi:type="dcterms:W3CDTF">2026-02-12T02:53:34Z</dcterms:modified>
  <dc:subject>预算公开报告</dc:subject>
  <dc:title>预算公开报告</dc:title>
  <cp:revision>32767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y fmtid="{D5CDD505-2E9C-101B-9397-08002B2CF9AE}" pid="3" name="ICV">
    <vt:lpwstr>1B91C5EB150743FC93A8AD9CE8312A8A</vt:lpwstr>
  </property>
</Properties>
</file>