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新疆维吾尔自治区喀什地区麦盖提县财政局</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一、关于新疆维吾尔自治区喀什地区麦盖提县财政局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二、关于新疆维吾尔自治区喀什地区麦盖提县财政局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三、关于新疆维吾尔自治区喀什地区麦盖提县财政局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四、关于新疆维吾尔自治区喀什地区麦盖提县财政局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五、关于新疆维吾尔自治区喀什地区麦盖提县财政局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六、关于新疆维吾尔自治区喀什地区麦盖提县财政局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七、关于新疆维吾尔自治区喀什地区麦盖提县财政局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八、关于新疆维吾尔自治区喀什地区麦盖提县财政局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九、关于新疆维吾尔自治区喀什地区麦盖提县财政局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十、关于新疆维吾尔自治区喀什地区麦盖提县财政局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麦盖提县财政局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一）根据县国民经济和社会发展战略，拟订县财政发展战略、中长期财政规划和改革方案并组织实施；分析预测宏观经济形势，参与制定宏观经济政策，提出运用财税政策实施宏观经济调控和综合平衡社会财力的建议；拟定县财政与企业的分配政策，制定调节收入分配的财税政策、完善促进社会事业发展的财税政策。</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二）承担县各项财政收支管理责任；负责编制县本级预决算草案并组织执行；负责编制县部门预决算草案并组织执行；受县人民政府委托向县人大常委会报告预算及执行情况，向县人大常委会报告决算；组织实施财政资金绩效考核工作；拟定和执行需要全县统一规定的开支标准和支出政策，负责财政预决算工作；落实县财政转移支付制度。</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（三）负责政府非税收入和政府性基金管理；监管财政票据；按规定管理彩票资金。</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四）组织制定县国库管理制度、国库集中收付制度，按规定开展县国库现金管理工作，监督管理地方国库资金缴拨使用；负责制定县政府采购制度并监督管理；研究制定政府购买服务制度和政策并组织实施；管理县财政统一发放工资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五）拟订和执行地方政府性债务管理制度和办法，负责组织县地方政府债券管理工作；按规定开展地方政府债券管理工作，防范财政风险；负责管理政府外债，组织实施外国政府、国际金融组织贷款项目和审核、申报、转贷、签订贷款协定以及资金管理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六）参与拟订县建设投资的有关政策，落实基本建设财务管理制度，负责政府性投资项目财政资金评审管理工作；制定县政府和社会资本合作（PPP）有关政策制度，承担相关规范管理工作；承担有关政策性补贴和专项储备资金财政管理工作；管理各项财政扶贫资金。</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（七）贯彻执行国家行政事业单位国有资产管理法规、制度和方针政策，按规定管理行政事业单位国有资产，履行行政事业单位国有资产购置、使用、处置监督审核职责；牵头编制县国有资产管理情况报告。</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（八）会同县有关部门管理中央、自治区、地区及县财政社会保障和就业及医疗卫生资金管理工作，落实社会保障资金（基金）政策和有关的财务管理制度，编制县社会保障预决算草案。</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（九）负责审核和汇总编制国有资本经营预决算草案，落实国有资本经营预算的制度和办法，收取县本级企业国有资本收益；组织实施企业财务制度，落实企业国有资产管理相关制度。</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（十）管理和指导县会计工作，规范会计行为；组织执行国家统一的会计制度、补充规定；组织管理会计人员的业务培训。</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十一）监督检查财税法规、政策的执行情况，反映财政收支管理中的重大问题，提出加强财政管理的政策建议；贯彻落实财政绩效管理相关政策制度，组织指导县预算绩效管理工作；组织实施专项资金绩效考核工作；研究建立财政支出绩效评价制度和评价体系并组织实施；负责县财政系统信息化建设规划并组织实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十二）根据县人民政府授权，履行县国有金融资本出资人职责，负责国有金融资本集中统一管理，对相关金融机构，依法依规享有参与重大决策、选择管理者、享有收益等出资人权利；落实国有金融资本管理规章制度；承担地方金融企业的国有资产和财务的监管工作；依法依规履行国有金融资本管理职责，负责组织实施基础管理、经营预算、绩效考核、负责人薪酬管理等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（十三）负责做好全县地方金融监督管理相关工作。研究分析金融运行情况；牵头组织防范化解地方金融风险。</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（十四）承办县委、县政府交办的其他任务。</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麦盖提县财政局</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1</w:t>
      </w:r>
      <w:r>
        <w:rPr>
          <w:rFonts w:hint="eastAsia" w:ascii="仿宋_GB2312" w:hAnsi="黑体" w:eastAsia="仿宋_GB2312" w:cs="宋体"/>
          <w:bCs/>
          <w:kern w:val="0"/>
          <w:sz w:val="32"/>
          <w:szCs w:val="32"/>
        </w:rPr>
        <w:t>2个股室，分别是：</w:t>
      </w:r>
      <w:r>
        <w:rPr>
          <w:rFonts w:hint="eastAsia" w:ascii="仿宋_GB2312" w:hAnsi="宋体" w:eastAsia="仿宋_GB2312" w:cs="宋体"/>
          <w:kern w:val="0"/>
          <w:sz w:val="32"/>
          <w:szCs w:val="32"/>
        </w:rPr>
        <w:t>办公室、综合股、预算股、国库股、预算执行管理股、财政内控监督股、企业股、国库集中支付中心、财政核算中心、乡镇财政服务中心、国有资产服务中心、金融发展服务中心。</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新疆维吾尔自治区喀什地区麦盖提县财政局实有人数</w:t>
      </w:r>
      <w:r>
        <w:rPr>
          <w:rFonts w:ascii="仿宋_GB2312" w:hAnsi="宋体" w:eastAsia="仿宋_GB2312" w:cs="宋体"/>
          <w:kern w:val="0"/>
          <w:sz w:val="32"/>
          <w:szCs w:val="32"/>
        </w:rPr>
        <w:t>97</w:t>
      </w:r>
      <w:r>
        <w:rPr>
          <w:rFonts w:hint="eastAsia" w:ascii="仿宋_GB2312" w:hAnsi="宋体" w:eastAsia="仿宋_GB2312" w:cs="宋体"/>
          <w:kern w:val="0"/>
          <w:sz w:val="32"/>
          <w:szCs w:val="32"/>
        </w:rPr>
        <w:t>人，其中：在职66人，减少</w:t>
      </w:r>
      <w:r>
        <w:rPr>
          <w:rFonts w:ascii="仿宋_GB2312" w:hAnsi="宋体" w:eastAsia="仿宋_GB2312" w:cs="宋体"/>
          <w:kern w:val="0"/>
          <w:sz w:val="32"/>
          <w:szCs w:val="32"/>
        </w:rPr>
        <w:t>8</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31</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4</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0"/>
        <w:tblW w:w="10131" w:type="dxa"/>
        <w:jc w:val="center"/>
        <w:tblLayout w:type="fixed"/>
        <w:tblCellMar>
          <w:top w:w="0" w:type="dxa"/>
          <w:left w:w="108" w:type="dxa"/>
          <w:bottom w:w="0" w:type="dxa"/>
          <w:right w:w="108" w:type="dxa"/>
        </w:tblCellMar>
      </w:tblPr>
      <w:tblGrid>
        <w:gridCol w:w="8789"/>
        <w:gridCol w:w="1342"/>
      </w:tblGrid>
      <w:tr>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编制部门：新疆维吾尔自治区喀什地区麦盖提县财政局</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1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14777.53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988.80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4839.00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4839.00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9938.53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9938.53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169.73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64.74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113.16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113.16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113.16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76.83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13309.22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14890.69</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14890.69</w:t>
            </w:r>
          </w:p>
        </w:tc>
      </w:tr>
    </w:tbl>
    <w:p>
      <w:pPr>
        <w:widowControl/>
        <w:spacing w:line="20" w:lineRule="exact"/>
        <w:jc w:val="left"/>
        <w:rPr>
          <w:rFonts w:hint="eastAsia" w:ascii="黑体" w:hAnsi="黑体" w:eastAsia="黑体"/>
          <w:b/>
          <w:kern w:val="0"/>
          <w:sz w:val="30"/>
          <w:szCs w:val="30"/>
        </w:rPr>
        <w:sectPr>
          <w:footerReference r:id="rId5" w:type="default"/>
          <w:footerReference r:id="rId6"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0"/>
        <w:tblW w:w="15026" w:type="dxa"/>
        <w:jc w:val="center"/>
        <w:tblLayout w:type="fixed"/>
        <w:tblCellMar>
          <w:top w:w="0" w:type="dxa"/>
          <w:left w:w="108" w:type="dxa"/>
          <w:bottom w:w="0" w:type="dxa"/>
          <w:right w:w="108" w:type="dxa"/>
        </w:tblCellMar>
      </w:tblPr>
      <w:tblGrid>
        <w:gridCol w:w="13608"/>
        <w:gridCol w:w="1418"/>
      </w:tblGrid>
      <w:tr>
        <w:tblPrEx>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编制部门：新疆维吾尔自治区喀什地区麦盖提县财政局</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5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988.80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988.80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988.80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财政事务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988.80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988.80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988.80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988.80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988.80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988.80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169.73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169.73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169.73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169.73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169.73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169.73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48.45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48.45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48.45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121.28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121.28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121.28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64.74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64.74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64.74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64.74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64.74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64.74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52.37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52.37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52.37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12.37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12.37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12.37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农林水支出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113.16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113.16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普惠金融发展支出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113.16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113.16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其他普惠金融发展支出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113.16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113.16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103.21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103.21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103.21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103.21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103.21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103.21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103.21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103.21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103.21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231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债务还本支出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76.83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76.83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76.83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231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地方政府一般债务还本支出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76.83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76.83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76.83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231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地方政府向外国政府借款还本支出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76.83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76.83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76.83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债务付息支出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13309.22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13309.22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3430.69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9878.53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地方政府一般债务付息支出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3430.69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3430.69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3430.69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地方政府一般债券付息支出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3430.69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3430.69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3430.69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地方政府专项债务付息支出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9878.53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9878.53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9878.53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国有土地使用权出让金债务付息支出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272.82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272.82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272.82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棚户区改造专项债券付息支出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309.92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309.92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309.92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98</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其他地方自行试点项目收益专项债券付息支出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9295.79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9295.79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9295.79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233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债务发行费用支出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65.00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233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地方政府一般债务发行费用支出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233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地方政府一般债务发行费用支出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233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地方政府专项债务发行费用支出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233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98</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其他地方自行试点项目收益专项债券发行费用支出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14890.69</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14777.53</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4839.00</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9938.53</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113.16</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编制部门：新疆维吾尔自治区喀什地区麦盖提县财政局</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988.80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988.80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财政事务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988.80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988.80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988.80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988.80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169.73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169.73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169.73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169.73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48.45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48.45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121.28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121.28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64.74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64.74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64.74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64.74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52.37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52.37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12.37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12.37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农林水支出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113.16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普惠金融发展支出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113.16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其他普惠金融发展支出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113.16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103.21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103.21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103.21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103.21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103.21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103.21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债务还本支出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76.83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76.83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地方政府一般债务还本支出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76.83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76.83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地方政府向外国政府借款还本支出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76.83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76.83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债务付息支出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13309.22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13309.22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地方政府一般债务付息支出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3430.69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3430.69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地方政府一般债券付息支出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3430.69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3430.69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地方政府专项债务付息支出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9878.53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9878.53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国有土地使用权出让金债务付息支出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272.82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棚户区改造专项债券付息支出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309.92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其他地方自行试点项目收益专项债券付息支出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9295.79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9295.79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债务发行费用支出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65.00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地方政府一般债务发行费用支出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地方政府一般债务发行费用支出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地方政府专项债务发行费用支出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其他地方自行试点项目收益专项债券发行费用支出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14890.69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1326.48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13564.21</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编制部门：新疆维吾尔自治区喀什地区麦盖提县财政局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0"/>
        <w:tblW w:w="103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1250"/>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blHeader/>
          <w:jc w:val="center"/>
        </w:trPr>
        <w:tc>
          <w:tcPr>
            <w:tcW w:w="337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blHeader/>
          <w:jc w:val="center"/>
        </w:trPr>
        <w:tc>
          <w:tcPr>
            <w:tcW w:w="212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250"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250"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14777.53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988.80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988.80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250"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4839.00</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250"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9938.53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250"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169.73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169.73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64.74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64.74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103.21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103.21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76.83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76.83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13309.22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3430.69</w:t>
            </w:r>
          </w:p>
        </w:tc>
        <w:tc>
          <w:tcPr>
            <w:tcW w:w="992"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9878.53</w:t>
            </w: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65.00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5.00</w:t>
            </w:r>
          </w:p>
        </w:tc>
        <w:tc>
          <w:tcPr>
            <w:tcW w:w="992"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60.00</w:t>
            </w: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212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250"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14777.53</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14777.53</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4839.00</w:t>
            </w:r>
          </w:p>
        </w:tc>
        <w:tc>
          <w:tcPr>
            <w:tcW w:w="992"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9938.53</w:t>
            </w: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0"/>
        <w:tblW w:w="9923" w:type="dxa"/>
        <w:jc w:val="center"/>
        <w:tblLayout w:type="fixed"/>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编制部门：新疆维吾尔自治区喀什地区麦盖提县财政局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988.80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988.80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06</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财政事务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988.80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988.80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06</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988.80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988.80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169.73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169.73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169.73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169.73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48.45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48.45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121.28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121.28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64.74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64.74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64.74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64.74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52.37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52.37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103.21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103.21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103.21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103.21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103.21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103.21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231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债务还本支出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76.83</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76.83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231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地方政府一般债务还本支出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76.83</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76.83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231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地方政府向外国政府借款还本支出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76.83</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76.83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232</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债务付息支出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3430.69</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3430.69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232</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地方政府一般债务付息支出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3430.69</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3430.69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232</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地方政府一般债券付息支出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3430.69</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3430.69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233</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债务发行费用支出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233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地方政府一般债务发行费用支出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233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地方政府一般债务发行费用支出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4839.00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1326.48</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3512.52</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0"/>
        <w:tblW w:w="9923" w:type="dxa"/>
        <w:jc w:val="center"/>
        <w:tblLayout w:type="fixed"/>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编制部门：新疆维吾尔自治区喀什地区麦盖提县财政局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1231.04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1231.04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291.73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291.73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360.96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360.96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194.65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194.65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31.28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31.28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121.28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121.28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52.37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52.37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103.21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103.21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60.98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47.69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9.66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7.21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公务接待费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47.75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47.75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46.29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46.29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1326.48</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1278.79</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47.69</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0"/>
        <w:tblW w:w="14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编制部门：新疆维吾尔自治区喀什地区麦盖提县财政局</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0"/>
        <w:tblW w:w="14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231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债务还本支出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76.83</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76.83</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231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地方政府一般债务还本支出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76.83</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76.83</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231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地方政府向外国政府借款还本支出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其他项目一</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76.83</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76.83</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债务付息支出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3430.69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3430.69</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地方政府一般债务付息支出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3430.69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3430.69</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地方政府一般债券付息支出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年一般债券付息项目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3430.69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3430.69</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233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债务发行费用支出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5.00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233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地方政府一般债务发行费用支出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5.00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233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地方政府一般债务发行费用支出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年一般债券发行登记费项目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5.00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3512.52</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3512.52</w:t>
            </w: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编制部门：新疆维吾尔自治区喀什地区麦盖提县财政局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709" w:type="dxa"/>
            <w:vAlign w:val="center"/>
          </w:tcPr>
          <w:p>
            <w:pPr>
              <w:widowControl/>
              <w:jc w:val="center"/>
              <w:rPr>
                <w:rFonts w:hint="eastAsia" w:ascii="仿宋_GB2312" w:eastAsia="仿宋_GB2312" w:cs="宋体" w:hAnsiTheme="minorEastAsia"/>
                <w:kern w:val="0"/>
                <w:sz w:val="18"/>
                <w:szCs w:val="18"/>
              </w:rPr>
            </w:pP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债务付息支出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9878.53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9878.53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04</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地方政府专项债务付息支出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9878.53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9878.53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04</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w:t>
            </w: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国有土地使用权出让金债务付息支出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272.82</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272.82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04</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w:t>
            </w: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棚户区改造专项债券付息支出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309.92</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309.92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04</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98</w:t>
            </w: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其他地方自行试点项目收益专项债券付息支出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9295.79</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9295.79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709" w:type="dxa"/>
            <w:vAlign w:val="center"/>
          </w:tcPr>
          <w:p>
            <w:pPr>
              <w:widowControl/>
              <w:jc w:val="center"/>
              <w:rPr>
                <w:rFonts w:hint="eastAsia" w:ascii="仿宋_GB2312" w:eastAsia="仿宋_GB2312" w:cs="宋体" w:hAnsiTheme="minorEastAsia"/>
                <w:kern w:val="0"/>
                <w:sz w:val="18"/>
                <w:szCs w:val="18"/>
              </w:rPr>
            </w:pP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债务发行费用支出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04</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地方政府专项债务发行费用支出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04</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98</w:t>
            </w: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其他地方自行试点项目收益专项债券发行费用支出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9938.53</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9938.53</w:t>
            </w: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编制部门：新疆维吾尔自治区喀什地区麦盖提县财政局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备注：新疆维吾尔自治区喀什地区麦盖提县财政局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0"/>
        <w:tblW w:w="9923" w:type="dxa"/>
        <w:jc w:val="center"/>
        <w:tblLayout w:type="fixed"/>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编制部门：新疆维吾尔自治区喀什地区麦盖提县财政局</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10.48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10.48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0.50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0.50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0"/>
        <w:tblW w:w="10065" w:type="dxa"/>
        <w:jc w:val="center"/>
        <w:tblLayout w:type="fixed"/>
        <w:tblCellMar>
          <w:top w:w="0" w:type="dxa"/>
          <w:left w:w="108" w:type="dxa"/>
          <w:bottom w:w="0" w:type="dxa"/>
          <w:right w:w="108" w:type="dxa"/>
        </w:tblCellMar>
      </w:tblPr>
      <w:tblGrid>
        <w:gridCol w:w="8222"/>
        <w:gridCol w:w="1843"/>
      </w:tblGrid>
      <w:tr>
        <w:tblPrEx>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编制部门：新疆维吾尔自治区喀什地区麦盖提县财政局</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3"/>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年中央财政普惠金融发展示范区奖补资金</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47.00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47.00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47.00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年中央财政普惠金融发展专项资金</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66.16</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66.16</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66.16</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113.16</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113.16</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一、关于新疆维吾尔自治区喀什地区麦盖提县财政局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按照全口径预算的原则，新疆维吾尔自治区喀什地区麦盖提县财政局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年所有收入和支出均纳入部门预算管理。收支总预算14890.69万元。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收入预算包括：一般公共预算、政府性基金预算、财政拨款结转结余。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支出预算包括：一般公共服务支出、社会保障和就业支出、卫生健康支出、农林水支出、住房保障支出、债务还本支出、债务付息支出、债务发行费用支出。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二、关于新疆维吾尔自治区喀什地区麦盖提县财政局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新疆维吾尔自治区喀什地区麦盖提县财政局收入预算14890.69万元，其中：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一般公共预算4839万元，占32.5%,比上年预算减少10556.94万元，下降68.57%，主要原因是：本年债务还本金额减少，预算数减少。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9938.53万元，占66.74%,比上年预算增加3336.01万元，增长50.53%，主要原因是：本年度债务付息金额增加。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财政拨款结转113.16万元，占0.76%,比上年预算增加113.16万元，增长100%，主要原因是：本年度增加中央财政普惠金融发展示范区奖补资金的结转项目，预算数增加。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三、关于新疆维吾尔自治区喀什地区麦盖提县财政局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新疆维吾尔自治区喀什地区麦盖提县财政局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14890.69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1326.48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8.91</w:t>
      </w:r>
      <w:r>
        <w:rPr>
          <w:rFonts w:hint="eastAsia" w:ascii="仿宋_GB2312" w:hAnsi="宋体" w:eastAsia="仿宋_GB2312" w:cs="宋体"/>
          <w:kern w:val="0"/>
          <w:sz w:val="32"/>
          <w:szCs w:val="32"/>
        </w:rPr>
        <w:t>%，比上年预算减少</w:t>
      </w:r>
      <w:r>
        <w:rPr>
          <w:rFonts w:ascii="仿宋_GB2312" w:hAnsi="宋体" w:eastAsia="仿宋_GB2312" w:cs="宋体"/>
          <w:kern w:val="0"/>
          <w:sz w:val="32"/>
          <w:szCs w:val="32"/>
        </w:rPr>
        <w:t>30.81</w:t>
      </w:r>
      <w:r>
        <w:rPr>
          <w:rFonts w:hint="eastAsia" w:ascii="仿宋_GB2312" w:hAnsi="宋体" w:eastAsia="仿宋_GB2312" w:cs="宋体"/>
          <w:kern w:val="0"/>
          <w:sz w:val="32"/>
          <w:szCs w:val="32"/>
        </w:rPr>
        <w:t>万元，下降</w:t>
      </w:r>
      <w:r>
        <w:rPr>
          <w:rFonts w:ascii="仿宋_GB2312" w:hAnsi="宋体" w:eastAsia="仿宋_GB2312" w:cs="宋体"/>
          <w:kern w:val="0"/>
          <w:sz w:val="32"/>
          <w:szCs w:val="32"/>
        </w:rPr>
        <w:t>2.27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本年度干部职工职务变动较大，基本支出金额减少。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13564.21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91.09</w:t>
      </w:r>
      <w:r>
        <w:rPr>
          <w:rFonts w:hint="eastAsia" w:ascii="仿宋_GB2312" w:hAnsi="宋体" w:eastAsia="仿宋_GB2312" w:cs="宋体"/>
          <w:kern w:val="0"/>
          <w:sz w:val="32"/>
          <w:szCs w:val="32"/>
        </w:rPr>
        <w:t>%，比上年预算减少7120.16万元，下降34.42%，主要原因是：</w:t>
      </w:r>
      <w:r>
        <w:rPr>
          <w:rFonts w:ascii="仿宋_GB2312" w:hAnsi="宋体" w:eastAsia="仿宋_GB2312" w:cs="宋体"/>
          <w:kern w:val="0"/>
          <w:sz w:val="32"/>
          <w:szCs w:val="32"/>
        </w:rPr>
        <w:t>本年度债务还本支出减少，项目支出减少。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四、关于新疆维吾尔自治区喀什地区麦盖提县财政局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年财政拨款收支总预算14777.53万元。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收入预算包括：一般公共预算拨款4839万元，政府性基金预算拨款9938.53万元，国有资本经营预算拨款0万元。</w:t>
      </w:r>
      <w:r>
        <w:rPr>
          <w:rFonts w:hint="eastAsia" w:ascii="仿宋_GB2312" w:hAnsi="MS Gothic" w:eastAsia="仿宋_GB2312" w:cs="MS Gothic"/>
          <w:kern w:val="0"/>
          <w:sz w:val="32"/>
          <w:szCs w:val="32"/>
          <w:cs/>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988.80万元，主要用于：支付单位干部基本工资；社会保障和就业支出169.73万元，主要用于：支付行政事业单位养老支出；卫生健康支出64.74万元，主要用于：行政事业单位医疗、公务员医疗补助支出；住房保障支出103.21万元，主要用于：行政事业单位住房公积金支出；债务还本支出76.83万元，主要用于：债务还本支出；债务付息支出3430.69万元，主要用于：债务付息支出；债务发行费用支出5.00万元，主要用于：债务发行登记费支出。</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政府性基金预算支出包括：债务付息支出</w:t>
      </w:r>
      <w:r>
        <w:rPr>
          <w:rFonts w:ascii="仿宋_GB2312" w:hAnsi="宋体" w:eastAsia="仿宋_GB2312" w:cs="宋体"/>
          <w:kern w:val="0"/>
          <w:sz w:val="32"/>
          <w:szCs w:val="32"/>
        </w:rPr>
        <w:t>9878.53</w:t>
      </w:r>
      <w:r>
        <w:rPr>
          <w:rFonts w:hint="eastAsia" w:ascii="仿宋_GB2312" w:hAnsi="宋体" w:eastAsia="仿宋_GB2312" w:cs="宋体"/>
          <w:kern w:val="0"/>
          <w:sz w:val="32"/>
          <w:szCs w:val="32"/>
        </w:rPr>
        <w:t>万元，主要用于：债务付息；债务发行费用支出60.00万元，主要用于：债务发行费用。</w:t>
      </w:r>
    </w:p>
    <w:p>
      <w:pPr>
        <w:rPr>
          <w:rFonts w:hint="eastAsia"/>
        </w:rPr>
      </w:pPr>
      <w:r>
        <w:rPr>
          <w:rFonts w:hint="eastAsia"/>
        </w:rPr>
        <w:t xml:space="preserve">      </w:t>
      </w:r>
      <w:r>
        <w:rPr>
          <w:rFonts w:hint="eastAsia" w:ascii="仿宋_GB2312" w:hAnsi="宋体" w:eastAsia="仿宋_GB2312" w:cs="宋体"/>
          <w:kern w:val="0"/>
          <w:sz w:val="32"/>
          <w:szCs w:val="32"/>
        </w:rPr>
        <w:t>国有资本经营预算支出包括：0.00万元。</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五、关于新疆维吾尔自治区喀什地区麦盖提县财政局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新疆维吾尔自治区喀什地区麦盖提县财政局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4839</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1326.48</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30.81</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r>
        <w:rPr>
          <w:rFonts w:ascii="仿宋_GB2312" w:hAnsi="宋体" w:eastAsia="仿宋_GB2312" w:cs="宋体"/>
          <w:kern w:val="0"/>
          <w:sz w:val="32"/>
          <w:szCs w:val="32"/>
        </w:rPr>
        <w:t>2.27</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本年度因为干部职工职务变动，基本支出金额减少。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3512.52</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10569.33</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bookmarkEnd w:id="3"/>
      <w:r>
        <w:rPr>
          <w:rFonts w:ascii="仿宋_GB2312" w:hAnsi="宋体" w:eastAsia="仿宋_GB2312" w:cs="宋体"/>
          <w:kern w:val="0"/>
          <w:sz w:val="32"/>
          <w:szCs w:val="32"/>
        </w:rPr>
        <w:t>75.06</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本年度债务还本支出减少，项目支出预算减少。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.一般公共服务支出（类）988.80万元，占20.43%</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.社会保障和就业支出（类）169.73万元，占3.51%</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.卫生健康支出（类）64.74万元，占1.34%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.住房保障支出（类）103.21万元，占2.13%</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w:t>
      </w:r>
      <w:r>
        <w:rPr>
          <w:rFonts w:ascii="仿宋_GB2312" w:hAnsi="宋体" w:eastAsia="仿宋_GB2312" w:cs="宋体"/>
          <w:kern w:val="0"/>
          <w:sz w:val="32"/>
          <w:szCs w:val="32"/>
        </w:rPr>
        <w:t>.债务还本支出（类）76.83万元，占1.59%</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w:t>
      </w:r>
      <w:r>
        <w:rPr>
          <w:rFonts w:ascii="仿宋_GB2312" w:hAnsi="宋体" w:eastAsia="仿宋_GB2312" w:cs="宋体"/>
          <w:kern w:val="0"/>
          <w:sz w:val="32"/>
          <w:szCs w:val="32"/>
        </w:rPr>
        <w:t>.债务付息支出（类）3430.69万元，占70.90%</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w:t>
      </w:r>
      <w:r>
        <w:rPr>
          <w:rFonts w:ascii="仿宋_GB2312" w:hAnsi="宋体" w:eastAsia="仿宋_GB2312" w:cs="宋体"/>
          <w:kern w:val="0"/>
          <w:sz w:val="32"/>
          <w:szCs w:val="32"/>
        </w:rPr>
        <w:t>.债务发行费用支出（类）5.00万元，占0.10%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1.一般公共服务支出（类）财政事务（款）行政运行（项）：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年预算数为988.80万元，比上年预算减少42.35万元，</w:t>
      </w:r>
      <w:bookmarkStart w:id="4" w:name="_Hlk157617573"/>
      <w:r>
        <w:rPr>
          <w:rFonts w:hint="eastAsia" w:ascii="仿宋_GB2312" w:hAnsi="宋体" w:eastAsia="仿宋_GB2312" w:cs="宋体"/>
          <w:kern w:val="0"/>
          <w:sz w:val="32"/>
          <w:szCs w:val="32"/>
        </w:rPr>
        <w:t>下降4.11%，主要原因是：本年度因为干部职工职务变动，基本支出金额减少。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年预算数为48.45万元，比上年预算增加9.56万元，增长24.58%，主要原因是：本年度退休人员增加，同时增加退休人员奖励性绩效，预算数增加。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年预算数为121.28万元，比上年预算减少0.77万元，下降0.63%，主要原因是：本年度因为干部职工职务变动，机关事业单位基本养老保险缴费支出减少。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年预算数为52.37万元，比上年预算增加0.51万元，增长0.98%，主要原因是：本年度因为干部职工职务变动，行政单位医疗支出增加。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年预算数为12.37万元，比上年预算减少0.36万元，下降2.83%，主要原因是：本年度因为干部职工职务变动，公务员医疗补助减少。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年预算数为103.21万元，比上年预算增加2.60万元，增长2.58%，主要原因是：本年度因为干部职工职务变动，住房公积金支出增加。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7.债务还本支出（类）地方政府一般债务还本支出（款）地方政府向外国政府借款还本支出（项）：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年预算数为76.83万元，比上年预算增加0.08万元，增长0.10%，主要原因是：汇率变动，债务还本支出增加。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8.债务付息支出（类）地方政府一般债务付息支出（款）地方政府一般债券付息支出（项）：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年预算数为3430.69万元，比上年预算减少109.21万元，下降3.09%，主要原因是：本年度地方政府一般债券付息减少。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9.债务发行费用支出（类）地方政府一般债务发行费用支出（款）地方政府一般债务发行费用支出（项）：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年预算数为5.00万元，比上年预算减少7.00万元，下降58.33%，主要原因是：发行登记费减少，预算数相应减少。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10.一般公共服务支出（类）财政事务（款）其他财政事务支出（项）：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年预算数为0.00万元，比上年预算减少43.20万元，下降100.00%，主要原因是：我部门本年该科目未安排预算。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11.债务还本支出（类）地方政府一般债务还本支出（款）地方政府一般债券还本支出（项）：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年预算数为0.00万元，比上年预算减少10410.00万元，下降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六、关于新疆维吾尔自治区喀什地区麦盖提县财政局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新疆维吾尔自治区喀什地区麦盖提县财政局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1326.48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1278.79万元，主要包括：基本工资、津贴补贴、奖金、绩效工资、机关事业单位基本养老保险缴费、职工基本医疗保险缴费、公务员医疗补助缴费、其他社会保障缴费、住房公积金、其他工资福利支出、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公用经费47.69万元，主要包括：办公费、水费、电费、邮电费、取暖费、差旅费、公务接待费、公务用车运行维护费、其他商品和服务支出。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七、关于新疆维吾尔自治区喀什地区麦盖提县财政局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（1）项目名称：其他项目一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预算安排规模：76.83万元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年一般债券付息项目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预算安排规模：3430.69万元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项目承担单位：新疆维吾尔自治区喀什地区麦盖提县财政局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资金分配情况：用于本年度一般债券付息项目支出，共计3430.69万元。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年一般债券发行登记费项目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项目承担单位：新疆维吾尔自治区喀什地区麦盖提县财政局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资金分配情况：用于本年度一般债券发行登记费，共计5万元。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八、关于新疆维吾尔自治区喀什地区麦盖提县财政局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新疆维吾尔自治区喀什地区麦盖提县财政局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年政府性基金支出预算支出9938.53万元，与上年预算相比增加3336.01万元,增长50.53%。主要原因是：本年度政府债务发债数量增加，本年度政府性基金支出预算支出增加。其中：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1.债务付息支出（类）地方政府专项债务付息支出（款）国有土地使用权出让金债务付息支出（项）272.82万元，与上年预算相比</w:t>
      </w:r>
      <w:bookmarkStart w:id="5" w:name="_Hlk157958158"/>
      <w:r>
        <w:rPr>
          <w:rFonts w:hint="eastAsia" w:ascii="仿宋_GB2312" w:hAnsi="宋体" w:eastAsia="仿宋_GB2312" w:cs="宋体"/>
          <w:kern w:val="0"/>
          <w:sz w:val="32"/>
          <w:szCs w:val="32"/>
        </w:rPr>
        <w:t>增加0.00万元，增长0.00%，主要原因是：该类型专项债券本年没有变动。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2.债务付息支出（类）地方政府专项债务付息支出（款）棚户区改造专项债券付息支出（项）309.92万元，与上年预算相比增加92.01万元，增长42.22%，主要原因是：本年度新增该类型专项债券。</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3.债务付息支出（类）地方政府专项债务付息支出（款）其他地方自行试点项目收益专项债券付息支出（项）9295.79万元，与上年预算相比增加3234.00万元，增长53.35%，主要原因是：本年度新增该类型专项债券。</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4.债务发行费用支出（类）地方政府专项债务发行费用支出（款）其他地方自行试点项目收益专项债券发行费用支出（项）60.00万元，与上年预算相比增加</w:t>
      </w:r>
      <w:bookmarkEnd w:id="5"/>
      <w:r>
        <w:rPr>
          <w:rFonts w:hint="eastAsia" w:ascii="仿宋_GB2312" w:hAnsi="宋体" w:eastAsia="仿宋_GB2312" w:cs="宋体"/>
          <w:kern w:val="0"/>
          <w:sz w:val="32"/>
          <w:szCs w:val="32"/>
        </w:rPr>
        <w:t>10.00万元，增长20.00%，主要原因是：债券票面利率增加，预算数增加。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九、关于新疆维吾尔自治区喀什地区麦盖提县财政局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新疆维吾尔自治区喀什地区麦盖提县财政局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十、关于新疆维吾尔自治区喀什地区麦盖提县财政局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新疆维吾尔自治区喀什地区麦盖提县财政局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年财政拨款“三公”经费数为10.48万元，其中：因公出国（境）费0万元，公务用车购置费0万元，公务用车运行费9.98万元，公务接待费0.5万元。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年财政拨款“三公”经费比上年预算增加0.5万元，增长5.01%，其中：因公出国（境）费增加0万元，增长0%，主要原因是：我部门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0.5万元，增长100%，主要原因是：本年度有公务接待业务，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十一、关于新疆维吾尔自治区喀什地区麦盖提县财政局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麦盖提县财政局</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年上年结转结余113.16万元，包括：财政拨款113.16万元，非财政拨款0万元，其中：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年中央财政普惠金融发展示范区奖补资金47.00</w:t>
      </w:r>
      <w:r>
        <w:rPr>
          <w:rFonts w:hint="eastAsia" w:ascii="仿宋_GB2312" w:hAnsi="仿宋_GB2312" w:eastAsia="仿宋_GB2312" w:cs="仿宋_GB2312"/>
          <w:kern w:val="0"/>
          <w:sz w:val="32"/>
          <w:szCs w:val="32"/>
        </w:rPr>
        <w:t>万元，主要用于：中央财政普惠金融发展示范区奖补资金。</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年中央财政普惠金融发展专项资金66.16</w:t>
      </w:r>
      <w:r>
        <w:rPr>
          <w:rFonts w:hint="eastAsia" w:ascii="仿宋_GB2312" w:hAnsi="仿宋_GB2312" w:eastAsia="仿宋_GB2312" w:cs="仿宋_GB2312"/>
          <w:kern w:val="0"/>
          <w:sz w:val="32"/>
          <w:szCs w:val="32"/>
        </w:rPr>
        <w:t>万元，主要用于：中央财政普惠金融发展示范区奖补资金。</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新疆维吾尔自治区喀什地区麦盖提县财政局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年的机关运行经费财政拨款预算47.69万元，比上年预算减少1.93万元，下降3.89%。主要原因是：本年度因为干部职工职务变动，办公费减少，机关运行经费相应减少。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年，新疆维吾尔自治区喀什地区麦盖提县财政局政府采购预算14.71万元，其中：政府采购货物预算7.35万元，政府采购工程预算0.00万元，政府采购服务预算7.36万元。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年，新疆维吾尔自治区喀什地区麦盖提县财政局面向中小企业预留政府采购项目预算金额14.71万元，小微企业预留政府采购项目预算金额14.71万元。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年底，新疆维吾尔自治区喀什地区麦盖提县财政局及下属各预算单位占用使用国有资产总体情况为：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1.房屋6477.00平方米，价值1070.58万元。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2.车辆3辆，价值47.21万元；其中：一般公务用车3辆，价值47.21万元；执法执勤用车0辆，价值0.00万元；其他车辆0辆，价值0.00万元。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3.办公家具价值122.78万元。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年，本部门预算绩效管理整体预算绩效目标1个，涉及预算金额14890.69万元；当年预算安排项目共7个，其中：财政拨款项目涉及预算金额13451.05万元；非财政拨款项目涉及预算金额0万元。具体情况见下表：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0"/>
        <w:tblW w:w="10065" w:type="dxa"/>
        <w:jc w:val="center"/>
        <w:tblLayout w:type="fixed"/>
        <w:tblCellMar>
          <w:top w:w="0" w:type="dxa"/>
          <w:left w:w="108" w:type="dxa"/>
          <w:bottom w:w="0" w:type="dxa"/>
          <w:right w:w="108" w:type="dxa"/>
        </w:tblCellMar>
      </w:tblPr>
      <w:tblGrid>
        <w:gridCol w:w="1276"/>
        <w:gridCol w:w="1276"/>
        <w:gridCol w:w="2977"/>
        <w:gridCol w:w="1417"/>
        <w:gridCol w:w="1701"/>
        <w:gridCol w:w="1418"/>
      </w:tblGrid>
      <w:tr>
        <w:tblPrEx>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麦盖提县财政局</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曹金伟</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18290890049</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承担县各项财政收支管理责任；负责编制县本级预决算草案并组织执行；负责编制县部门预决算草案并组织执行；受县人民政府委托向县人大常委会报告预算及执行情况，向县人大常委会报告决算；组织实施财政资金绩效考核工作；拟定和执行需要全县统一规定的开支标准和支出政策，负责财政预决算工作；落实县财政转移支付制度；2.按规定开展县国库现金管理工作，监督管理地方国库资金缴拨使用；负责制定县政府采购制度并监督管理；研究制定政府购买服务制度和政策并组织实施；管理县财政统一发放工资工作；政府非税收入和政府性基金管理；监管财政票据；按规定管理彩票资金；管理和指导本县会计人员工作，规范会计行为；组织执行国家统一的会计制度、补充规定；组织管理会计人员的业务培训；3.拟订和执行地方政府性债务管理制度和办法，负责组织县地方政府债券管理工作；按规定开展地方政府债券管理工作，防范财政风险；4.贯彻执行国家行政事业单位国有资产管理法规、制度和方针政策，按规定管理行政事业单位国有资产，履行行政事业单位国有资产购置、使用、处置监督审核职责；牵头编制县国有资产管理情况报告；5.承办县委、政府交办的其他任务。</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113.16</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14777.53</w:t>
            </w:r>
          </w:p>
        </w:tc>
      </w:tr>
      <w:tr>
        <w:tblPrEx>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时效指标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发放在职统发人员工资时限</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&lt;=10日前每月</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全县一般公共预算收入</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&gt;=2.99亿元</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社会效益</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融资担保公司年审检查覆盖率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社会效益</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全县预算、决算公开率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社会效益</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民生支出占一般公共预算支出比重</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0"/>
        <w:tblW w:w="1006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麦盖提县财政局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年一般债券付息项目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曹金伟</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3430.69</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3430.69</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本项目总投资3430.69万元，主要用于支付麦盖提2016年到</w:t>
            </w:r>
            <w:r>
              <w:rPr>
                <w:rFonts w:hint="eastAsia" w:asciiTheme="majorEastAsia" w:hAnsiTheme="majorEastAsia" w:eastAsiaTheme="majorEastAsia"/>
                <w:sz w:val="18"/>
                <w:szCs w:val="18"/>
                <w:lang w:eastAsia="zh-CN"/>
              </w:rPr>
              <w:t>2025</w:t>
            </w:r>
            <w:r>
              <w:rPr>
                <w:rFonts w:asciiTheme="majorEastAsia" w:hAnsiTheme="majorEastAsia" w:eastAsiaTheme="majorEastAsia"/>
                <w:sz w:val="18"/>
                <w:szCs w:val="18"/>
              </w:rPr>
              <w:t>年合计24批次一般债券资金项目的利息支出，项目的实施有利于防范化解偿债风险，维护政府信用，保障财政的可持续性，利于宏观经济的稳定。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还息涉及项目批次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&gt;=24批次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22批次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足额还款率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债务逾期率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还息完成时限</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年11月21日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一般债券付息费用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&lt;=142.95万元/批次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157.63万元/批次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效益指标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防范化解偿债风险</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有效防范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防范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保障财政的可持续性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保障</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0"/>
        <w:tblW w:w="1006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麦盖提县财政局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年一般债券发行登记费项目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曹金伟</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本项目总投资5万元，主要用于支付麦盖提25年1批次一般债券资金项目的发行登记费支出，项目的实施有利于防范化解偿债风险，维护政府信用，保障财政的可持续性，利于宏观经济的稳定。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发行、登记涉及项目批次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&gt;=1批次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1批次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足额还款率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一般债券发行、登记及时率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债务逾期率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发行、登记完成时限</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年11月21日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一般债券发行、登记费用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防范化解偿债风险</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有效防范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防范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0"/>
        <w:tblW w:w="1006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麦盖提县财政局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年专项债券发行登记费项目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曹金伟</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60.00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60.00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本项目总投资60万元，主要用于支付</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年1批次专项债券的发行登记费支出，项目的实施有利于防范化解偿债风险，维护政府信用，保障财政的可持续性，利于宏观经济的稳定。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发行、登记涉及项目批次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&gt;=1批次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1批次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足额还款率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专项债券发行、登记及时率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债务逾期率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发行、登记完成时限</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年12月30日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专项债券发行、登记费用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&lt;=60万元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防范化解偿债风险</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有效防范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防范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0"/>
        <w:tblW w:w="1006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1023"/>
        <w:gridCol w:w="993"/>
        <w:gridCol w:w="113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0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麦盖提县财政局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2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年其他自行试点专项债券付息项目</w:t>
            </w:r>
            <w:r>
              <w:rPr>
                <w:rFonts w:asciiTheme="majorEastAsia" w:hAnsiTheme="majorEastAsia" w:eastAsiaTheme="majorEastAsia"/>
                <w:sz w:val="18"/>
                <w:szCs w:val="18"/>
                <w:cs/>
              </w:rPr>
              <w:t>‎</w:t>
            </w:r>
          </w:p>
        </w:tc>
        <w:tc>
          <w:tcPr>
            <w:tcW w:w="1842"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127"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曹金伟</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60"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9295.79</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9295.79</w:t>
            </w:r>
            <w:r>
              <w:rPr>
                <w:rFonts w:asciiTheme="majorEastAsia" w:hAnsiTheme="majorEastAsia" w:eastAsiaTheme="majorEastAsia"/>
                <w:sz w:val="18"/>
                <w:szCs w:val="18"/>
                <w:cs/>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127"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041"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本项目总投资9295.79万元，主要用于支付2019到</w:t>
            </w:r>
            <w:r>
              <w:rPr>
                <w:rFonts w:hint="eastAsia" w:asciiTheme="majorEastAsia" w:hAnsiTheme="majorEastAsia" w:eastAsiaTheme="majorEastAsia"/>
                <w:sz w:val="18"/>
                <w:szCs w:val="18"/>
                <w:lang w:eastAsia="zh-CN"/>
              </w:rPr>
              <w:t>2025</w:t>
            </w:r>
            <w:r>
              <w:rPr>
                <w:rFonts w:asciiTheme="majorEastAsia" w:hAnsiTheme="majorEastAsia" w:eastAsiaTheme="majorEastAsia"/>
                <w:sz w:val="18"/>
                <w:szCs w:val="18"/>
              </w:rPr>
              <w:t>年期间合计39批次专项债券资金项目的利息支出，项目的实施有利于防范化解偿债风险，维护政府信用，保障财政的可持续性，利于宏观经济的稳定。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99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还息涉及项目批次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&gt;=39批次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30批次</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99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134"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足额还款率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99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134"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债务逾期率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99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134"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还息完成时限</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年12月28日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年12月30日</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99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134"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28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专项债券付息费用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&lt;=238.35万元/批次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256.63万元/批次</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99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134"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33" w:hRule="atLeast"/>
          <w:jc w:val="center"/>
        </w:trPr>
        <w:tc>
          <w:tcPr>
            <w:tcW w:w="1131" w:type="dxa"/>
            <w:vMerge w:val="restart"/>
            <w:tcBorders>
              <w:left w:val="single" w:color="000000" w:sz="2" w:space="0"/>
              <w:right w:val="single" w:color="000000" w:sz="2" w:space="0"/>
            </w:tcBorders>
            <w:vAlign w:val="center"/>
          </w:tcPr>
          <w:p>
            <w:pPr>
              <w:jc w:val="center"/>
            </w:pPr>
            <w:r>
              <w:t>效益指标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保障财政的可持续性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保障</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99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134"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02"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防范化解偿债风险</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有效防范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防范</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99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134"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0"/>
        <w:tblW w:w="1006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麦盖提县财政局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年普通专项债券付息项目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曹金伟</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272.82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272.82</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本项目总投资272.82万元，主要用于支付2019到</w:t>
            </w:r>
            <w:r>
              <w:rPr>
                <w:rFonts w:hint="eastAsia" w:asciiTheme="majorEastAsia" w:hAnsiTheme="majorEastAsia" w:eastAsiaTheme="majorEastAsia"/>
                <w:sz w:val="18"/>
                <w:szCs w:val="18"/>
                <w:lang w:eastAsia="zh-CN"/>
              </w:rPr>
              <w:t>2025</w:t>
            </w:r>
            <w:r>
              <w:rPr>
                <w:rFonts w:asciiTheme="majorEastAsia" w:hAnsiTheme="majorEastAsia" w:eastAsiaTheme="majorEastAsia"/>
                <w:sz w:val="18"/>
                <w:szCs w:val="18"/>
              </w:rPr>
              <w:t>年期间合计1批次专项债券资金项目的利息及</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年专项债券的发行登记费支出，项目的实施有利于防范化解偿债风险，维护政府信用，保障财政的可持续性，利于宏观经济的稳定。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还息涉及项目批次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&gt;=1批次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2批次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足额还款率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债务逾期率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还息完成时限</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年10月30日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年12月30日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专项债券付息费用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&lt;=272.82万元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6552.52万元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效益指标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保障财政的可持续性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保障</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防范化解偿债风险</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有效防范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防范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0"/>
        <w:tblW w:w="1006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麦盖提县财政局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年棚户区改造专项债券付息项目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曹金伟</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309.92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309.92</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本项目总投资309.92万元，主要用于支付2019到</w:t>
            </w:r>
            <w:r>
              <w:rPr>
                <w:rFonts w:hint="eastAsia" w:asciiTheme="majorEastAsia" w:hAnsiTheme="majorEastAsia" w:eastAsiaTheme="majorEastAsia"/>
                <w:sz w:val="18"/>
                <w:szCs w:val="18"/>
                <w:lang w:eastAsia="zh-CN"/>
              </w:rPr>
              <w:t>2025</w:t>
            </w:r>
            <w:r>
              <w:rPr>
                <w:rFonts w:asciiTheme="majorEastAsia" w:hAnsiTheme="majorEastAsia" w:eastAsiaTheme="majorEastAsia"/>
                <w:sz w:val="18"/>
                <w:szCs w:val="18"/>
              </w:rPr>
              <w:t>年期间合计5批次专项债券资金项目的利息支出，项目的实施有利于防范化解偿债风险，维护政府信用，保障财政的可持续性，利于宏观经济的稳定。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还息涉及项目批次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&gt;=5批次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2批次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足额还款率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债务逾期率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还息完成时限</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年10月30日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年12月30日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专项债券平均付息费用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&lt;=61.98万元/批次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60万元/批次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效益指标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防范化解偿债风险</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有效防范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防范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保障财政的可持续性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保障</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1.本次未公开项目支出绩效目标表共有1个，全部为sm项目，涉及资金76.83万元，不予公开。</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bookmarkStart w:id="6" w:name="_GoBack"/>
      <w:bookmarkEnd w:id="6"/>
    </w:p>
    <w:sectPr>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0DCE"/>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3670"/>
    <w:rsid w:val="0007440C"/>
    <w:rsid w:val="000749F3"/>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1EAB"/>
    <w:rsid w:val="00132A27"/>
    <w:rsid w:val="001337F0"/>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1CD8"/>
    <w:rsid w:val="001D4B49"/>
    <w:rsid w:val="001D63BF"/>
    <w:rsid w:val="001D7E4D"/>
    <w:rsid w:val="001E1727"/>
    <w:rsid w:val="001E300F"/>
    <w:rsid w:val="001E3BB8"/>
    <w:rsid w:val="001E43BE"/>
    <w:rsid w:val="001E5BA0"/>
    <w:rsid w:val="001E648C"/>
    <w:rsid w:val="001F10B6"/>
    <w:rsid w:val="001F125B"/>
    <w:rsid w:val="001F149F"/>
    <w:rsid w:val="001F2054"/>
    <w:rsid w:val="001F26DC"/>
    <w:rsid w:val="001F334A"/>
    <w:rsid w:val="001F3506"/>
    <w:rsid w:val="001F5B5A"/>
    <w:rsid w:val="001F5D0C"/>
    <w:rsid w:val="001F5FAA"/>
    <w:rsid w:val="001F686C"/>
    <w:rsid w:val="00200922"/>
    <w:rsid w:val="00202ADA"/>
    <w:rsid w:val="00202FEC"/>
    <w:rsid w:val="00203D94"/>
    <w:rsid w:val="00204BC0"/>
    <w:rsid w:val="00205D66"/>
    <w:rsid w:val="00207587"/>
    <w:rsid w:val="00207634"/>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04C"/>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1AB5"/>
    <w:rsid w:val="002A2135"/>
    <w:rsid w:val="002A5644"/>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D7BD4"/>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43"/>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62F"/>
    <w:rsid w:val="00392E94"/>
    <w:rsid w:val="003939CE"/>
    <w:rsid w:val="00393D32"/>
    <w:rsid w:val="00393DAD"/>
    <w:rsid w:val="0039548A"/>
    <w:rsid w:val="003A037E"/>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21"/>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3EC5"/>
    <w:rsid w:val="0044495B"/>
    <w:rsid w:val="004479A2"/>
    <w:rsid w:val="00453F7A"/>
    <w:rsid w:val="00454A7D"/>
    <w:rsid w:val="0045551F"/>
    <w:rsid w:val="00455F16"/>
    <w:rsid w:val="00457430"/>
    <w:rsid w:val="00460248"/>
    <w:rsid w:val="00461B03"/>
    <w:rsid w:val="004623A7"/>
    <w:rsid w:val="00462501"/>
    <w:rsid w:val="00462E49"/>
    <w:rsid w:val="0046659F"/>
    <w:rsid w:val="00467478"/>
    <w:rsid w:val="00476866"/>
    <w:rsid w:val="0047689E"/>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2AE"/>
    <w:rsid w:val="00493838"/>
    <w:rsid w:val="00493F0C"/>
    <w:rsid w:val="00494B21"/>
    <w:rsid w:val="00496F91"/>
    <w:rsid w:val="004A04D1"/>
    <w:rsid w:val="004A2590"/>
    <w:rsid w:val="004A2BA3"/>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14A8"/>
    <w:rsid w:val="00544AC4"/>
    <w:rsid w:val="00544C7D"/>
    <w:rsid w:val="0054586F"/>
    <w:rsid w:val="005474F1"/>
    <w:rsid w:val="00547B4F"/>
    <w:rsid w:val="005513B3"/>
    <w:rsid w:val="00551D2B"/>
    <w:rsid w:val="00553588"/>
    <w:rsid w:val="00553FFF"/>
    <w:rsid w:val="00554786"/>
    <w:rsid w:val="00556697"/>
    <w:rsid w:val="0056203D"/>
    <w:rsid w:val="005654E4"/>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065B"/>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0A79"/>
    <w:rsid w:val="00691D40"/>
    <w:rsid w:val="006943D5"/>
    <w:rsid w:val="006943FD"/>
    <w:rsid w:val="00696F26"/>
    <w:rsid w:val="006970A9"/>
    <w:rsid w:val="00697937"/>
    <w:rsid w:val="006A05B6"/>
    <w:rsid w:val="006A17B4"/>
    <w:rsid w:val="006A3AAB"/>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27FC4"/>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65E"/>
    <w:rsid w:val="007717D7"/>
    <w:rsid w:val="007718F3"/>
    <w:rsid w:val="007719EA"/>
    <w:rsid w:val="0077213F"/>
    <w:rsid w:val="0077362E"/>
    <w:rsid w:val="007754D0"/>
    <w:rsid w:val="00780703"/>
    <w:rsid w:val="00782979"/>
    <w:rsid w:val="00783BA9"/>
    <w:rsid w:val="0078551D"/>
    <w:rsid w:val="00785583"/>
    <w:rsid w:val="00785951"/>
    <w:rsid w:val="007870B3"/>
    <w:rsid w:val="00787AF4"/>
    <w:rsid w:val="0079091C"/>
    <w:rsid w:val="007909DC"/>
    <w:rsid w:val="00791841"/>
    <w:rsid w:val="00791B16"/>
    <w:rsid w:val="00793B18"/>
    <w:rsid w:val="00793E17"/>
    <w:rsid w:val="00796F18"/>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8AE"/>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0F4B"/>
    <w:rsid w:val="007D29DB"/>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42E"/>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4617"/>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73"/>
    <w:rsid w:val="00B250D5"/>
    <w:rsid w:val="00B25D8E"/>
    <w:rsid w:val="00B2721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3A72"/>
    <w:rsid w:val="00B5421E"/>
    <w:rsid w:val="00B56B55"/>
    <w:rsid w:val="00B60D99"/>
    <w:rsid w:val="00B6176B"/>
    <w:rsid w:val="00B62AFA"/>
    <w:rsid w:val="00B6495A"/>
    <w:rsid w:val="00B66BA4"/>
    <w:rsid w:val="00B67AB1"/>
    <w:rsid w:val="00B70E49"/>
    <w:rsid w:val="00B71577"/>
    <w:rsid w:val="00B73384"/>
    <w:rsid w:val="00B73FD7"/>
    <w:rsid w:val="00B74DED"/>
    <w:rsid w:val="00B75D34"/>
    <w:rsid w:val="00B75FF3"/>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C7A"/>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2D2F"/>
    <w:rsid w:val="00C53274"/>
    <w:rsid w:val="00C5363A"/>
    <w:rsid w:val="00C549C2"/>
    <w:rsid w:val="00C55002"/>
    <w:rsid w:val="00C55B17"/>
    <w:rsid w:val="00C64809"/>
    <w:rsid w:val="00C64946"/>
    <w:rsid w:val="00C6541D"/>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34A9"/>
    <w:rsid w:val="00CB4AD6"/>
    <w:rsid w:val="00CB4EB6"/>
    <w:rsid w:val="00CB4F93"/>
    <w:rsid w:val="00CB4FD8"/>
    <w:rsid w:val="00CB508C"/>
    <w:rsid w:val="00CB774F"/>
    <w:rsid w:val="00CC2F8A"/>
    <w:rsid w:val="00CC3645"/>
    <w:rsid w:val="00CC40BA"/>
    <w:rsid w:val="00CC7C12"/>
    <w:rsid w:val="00CD1226"/>
    <w:rsid w:val="00CD18A2"/>
    <w:rsid w:val="00CD1CC5"/>
    <w:rsid w:val="00CD2F1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184C"/>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0A0"/>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1697"/>
    <w:rsid w:val="00D63335"/>
    <w:rsid w:val="00D63D95"/>
    <w:rsid w:val="00D70018"/>
    <w:rsid w:val="00D71547"/>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1100"/>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187"/>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212"/>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3AC0"/>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29C3"/>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23B7"/>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092"/>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782542B"/>
    <w:rsid w:val="197E2E13"/>
    <w:rsid w:val="1C160F5D"/>
    <w:rsid w:val="1EB23894"/>
    <w:rsid w:val="24257BFD"/>
    <w:rsid w:val="27156329"/>
    <w:rsid w:val="2A3F6DCB"/>
    <w:rsid w:val="2BCB4E87"/>
    <w:rsid w:val="2C066061"/>
    <w:rsid w:val="2D9D11C8"/>
    <w:rsid w:val="3013205B"/>
    <w:rsid w:val="30361475"/>
    <w:rsid w:val="33701023"/>
    <w:rsid w:val="337B1A67"/>
    <w:rsid w:val="33C15BE0"/>
    <w:rsid w:val="358669B6"/>
    <w:rsid w:val="384B24CE"/>
    <w:rsid w:val="399563E3"/>
    <w:rsid w:val="3DDC7F8B"/>
    <w:rsid w:val="3E217B1B"/>
    <w:rsid w:val="40751C9F"/>
    <w:rsid w:val="407E44CB"/>
    <w:rsid w:val="41C636A9"/>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0"/>
    <w:pPr>
      <w:keepNext/>
      <w:keepLines/>
      <w:spacing w:before="340" w:after="330" w:line="578" w:lineRule="auto"/>
      <w:outlineLvl w:val="0"/>
    </w:pPr>
    <w:rPr>
      <w:b/>
      <w:bCs/>
      <w:kern w:val="44"/>
      <w:sz w:val="44"/>
      <w:szCs w:val="44"/>
    </w:rPr>
  </w:style>
  <w:style w:type="paragraph" w:styleId="2">
    <w:name w:val="heading 3"/>
    <w:basedOn w:val="1"/>
    <w:next w:val="1"/>
    <w:semiHidden/>
    <w:unhideWhenUsed/>
    <w:qFormat/>
    <w:uiPriority w:val="0"/>
    <w:pPr>
      <w:keepNext/>
      <w:keepLines/>
      <w:spacing w:before="260" w:after="260" w:line="413" w:lineRule="auto"/>
      <w:outlineLvl w:val="2"/>
    </w:pPr>
    <w:rPr>
      <w:b/>
      <w:sz w:val="32"/>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15"/>
    <w:qFormat/>
    <w:uiPriority w:val="0"/>
    <w:pPr>
      <w:jc w:val="left"/>
    </w:pPr>
  </w:style>
  <w:style w:type="paragraph" w:styleId="5">
    <w:name w:val="Balloon Text"/>
    <w:basedOn w:val="1"/>
    <w:link w:val="17"/>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20"/>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9">
    <w:name w:val="annotation subject"/>
    <w:basedOn w:val="4"/>
    <w:next w:val="4"/>
    <w:link w:val="16"/>
    <w:qFormat/>
    <w:uiPriority w:val="0"/>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bCs/>
    </w:rPr>
  </w:style>
  <w:style w:type="character" w:styleId="14">
    <w:name w:val="annotation reference"/>
    <w:basedOn w:val="12"/>
    <w:qFormat/>
    <w:uiPriority w:val="0"/>
    <w:rPr>
      <w:sz w:val="21"/>
      <w:szCs w:val="21"/>
    </w:rPr>
  </w:style>
  <w:style w:type="character" w:customStyle="1" w:styleId="15">
    <w:name w:val="批注文字 字符"/>
    <w:basedOn w:val="12"/>
    <w:link w:val="4"/>
    <w:qFormat/>
    <w:uiPriority w:val="0"/>
    <w:rPr>
      <w:kern w:val="2"/>
      <w:sz w:val="21"/>
      <w:szCs w:val="24"/>
    </w:rPr>
  </w:style>
  <w:style w:type="character" w:customStyle="1" w:styleId="16">
    <w:name w:val="批注主题 字符"/>
    <w:basedOn w:val="15"/>
    <w:link w:val="9"/>
    <w:qFormat/>
    <w:uiPriority w:val="0"/>
    <w:rPr>
      <w:b/>
      <w:bCs/>
      <w:kern w:val="2"/>
      <w:sz w:val="21"/>
      <w:szCs w:val="24"/>
    </w:rPr>
  </w:style>
  <w:style w:type="character" w:customStyle="1" w:styleId="17">
    <w:name w:val="批注框文本 字符"/>
    <w:basedOn w:val="12"/>
    <w:link w:val="5"/>
    <w:qFormat/>
    <w:uiPriority w:val="0"/>
    <w:rPr>
      <w:kern w:val="2"/>
      <w:sz w:val="18"/>
      <w:szCs w:val="18"/>
    </w:rPr>
  </w:style>
  <w:style w:type="paragraph" w:customStyle="1" w:styleId="18">
    <w:name w:val="修订1"/>
    <w:hidden/>
    <w:semiHidden/>
    <w:qFormat/>
    <w:uiPriority w:val="99"/>
    <w:pPr>
      <w:spacing w:after="160" w:line="278" w:lineRule="auto"/>
    </w:pPr>
    <w:rPr>
      <w:rFonts w:ascii="Times New Roman" w:hAnsi="Times New Roman" w:eastAsia="宋体" w:cs="Times New Roman"/>
      <w:kern w:val="2"/>
      <w:sz w:val="21"/>
      <w:szCs w:val="24"/>
      <w:lang w:val="en-US" w:eastAsia="zh-CN" w:bidi="ar-SA"/>
    </w:rPr>
  </w:style>
  <w:style w:type="paragraph" w:styleId="19">
    <w:name w:val="List Paragraph"/>
    <w:basedOn w:val="1"/>
    <w:qFormat/>
    <w:uiPriority w:val="99"/>
    <w:pPr>
      <w:ind w:firstLine="420" w:firstLineChars="200"/>
    </w:pPr>
  </w:style>
  <w:style w:type="character" w:customStyle="1" w:styleId="20">
    <w:name w:val="页眉 字符"/>
    <w:basedOn w:val="12"/>
    <w:link w:val="7"/>
    <w:qFormat/>
    <w:uiPriority w:val="0"/>
    <w:rPr>
      <w:kern w:val="2"/>
      <w:sz w:val="18"/>
      <w:szCs w:val="18"/>
    </w:rPr>
  </w:style>
  <w:style w:type="character" w:customStyle="1" w:styleId="21">
    <w:name w:val="HTML 预设格式 字符"/>
    <w:basedOn w:val="12"/>
    <w:link w:val="8"/>
    <w:qFormat/>
    <w:uiPriority w:val="99"/>
    <w:rPr>
      <w:rFonts w:ascii="宋体" w:hAnsi="宋体"/>
      <w:sz w:val="24"/>
      <w:szCs w:val="24"/>
    </w:rPr>
  </w:style>
  <w:style w:type="character" w:customStyle="1" w:styleId="22">
    <w:name w:val="name"/>
    <w:basedOn w:val="12"/>
    <w:qFormat/>
    <w:uiPriority w:val="0"/>
  </w:style>
  <w:style w:type="table" w:customStyle="1" w:styleId="23">
    <w:name w:val="网格型1"/>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
    <w:name w:val="标题 1 字符"/>
    <w:basedOn w:val="12"/>
    <w:link w:val="3"/>
    <w:qFormat/>
    <w:uiPriority w:val="0"/>
    <w:rPr>
      <w:b/>
      <w:bCs/>
      <w:kern w:val="44"/>
      <w:sz w:val="44"/>
      <w:szCs w:val="44"/>
    </w:rPr>
  </w:style>
  <w:style w:type="paragraph" w:customStyle="1" w:styleId="25">
    <w:name w:val="修订2"/>
    <w:hidden/>
    <w:semiHidden/>
    <w:qFormat/>
    <w:uiPriority w:val="99"/>
    <w:pPr>
      <w:spacing w:after="160" w:line="278"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62</Pages>
  <Words>3369</Words>
  <Characters>19208</Characters>
  <Lines>160</Lines>
  <Paragraphs>45</Paragraphs>
  <TotalTime>2982</TotalTime>
  <ScaleCrop>false</ScaleCrop>
  <LinksUpToDate>false</LinksUpToDate>
  <CharactersWithSpaces>22532</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2026-02-11T09:36:14Z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1B91C5EB150743FC93A8AD9CE8312A8A</vt:lpwstr>
  </property>
</Properties>
</file>