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新疆维吾尔自治区喀什地区麦盖提工业园区管理委员会</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一、关于新疆维吾尔自治区喀什地区麦盖提工业园区管理委员会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二、关于新疆维吾尔自治区喀什地区麦盖提工业园区管理委员会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三、关于新疆维吾尔自治区喀什地区麦盖提工业园区管理委员会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四、关于新疆维吾尔自治区喀什地区麦盖提工业园区管理委员会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五、关于新疆维吾尔自治区喀什地区麦盖提工业园区管理委员会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六、关于新疆维吾尔自治区喀什地区麦盖提工业园区管理委员会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七、关于新疆维吾尔自治区喀什地区麦盖提工业园区管理委员会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八、关于新疆维吾尔自治区喀什地区麦盖提工业园区管理委员会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九、关于新疆维吾尔自治区喀什地区麦盖提工业园区管理委员会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十、关于新疆维吾尔自治区喀什地区麦盖提工业园区管理委员会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麦盖提工业园区管理委员会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1、贯彻执行党的路线、方针、政策和县委、县政府的各项决定、决议，并结合实际开展工作。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2、编制园区经济、社会发展规划和年度计划，制定园区管理办法与促进经济发展的具体政策、措施，经批准后组织实施。</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3、按照规定权限负责园区招商引资工作，研究拟订园区招商引资优惠政策，做好招商引资项目的跟踪服务工作。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4、负责组织编制园区总体规划，组织实施园区内各项基础设施和公共设施的建设和管理。</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5、根据园区总体规划和土地利用总体规划，依法进行园区内土地的规划、开发和土地利用管理。</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6、负责园区公共事务管理、社会综合执法监督、安全生产监督和社会治安工作。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7、按照国家规定办理园区的涉外事务，管理园区的进出口业务。</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8、负责园区内党的建设和党员干部队伍建设及管理。</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9、负责园区内企事业单位的统计工作，及时、准确、全面地汇总上报统计数据。</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10、承办县委、县政府交办的其他事项。</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麦盖提工业园区管理委员会</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5</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综合（党建）办公室、财务中心、政务服务中心、招商发展中心、就业服务中心。</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新疆维吾尔自治区喀什地区麦盖提工业园区管理委员会</w:t>
      </w:r>
      <w:bookmarkStart w:id="6" w:name="_GoBack"/>
      <w:bookmarkEnd w:id="6"/>
      <w:r>
        <w:rPr>
          <w:rFonts w:hint="eastAsia" w:ascii="仿宋_GB2312" w:hAnsi="宋体" w:eastAsia="仿宋_GB2312" w:cs="宋体"/>
          <w:kern w:val="0"/>
          <w:sz w:val="32"/>
          <w:szCs w:val="32"/>
        </w:rPr>
        <w:t>实有人数</w:t>
      </w:r>
      <w:r>
        <w:rPr>
          <w:rFonts w:ascii="仿宋_GB2312" w:hAnsi="宋体" w:eastAsia="仿宋_GB2312" w:cs="宋体"/>
          <w:kern w:val="0"/>
          <w:sz w:val="32"/>
          <w:szCs w:val="32"/>
        </w:rPr>
        <w:t>17</w:t>
      </w:r>
      <w:r>
        <w:rPr>
          <w:rFonts w:hint="eastAsia" w:ascii="仿宋_GB2312" w:hAnsi="宋体" w:eastAsia="仿宋_GB2312" w:cs="宋体"/>
          <w:kern w:val="0"/>
          <w:sz w:val="32"/>
          <w:szCs w:val="32"/>
        </w:rPr>
        <w:t>人，其中：在职16人，增加</w:t>
      </w:r>
      <w:r>
        <w:rPr>
          <w:rFonts w:ascii="仿宋_GB2312" w:hAnsi="宋体" w:eastAsia="仿宋_GB2312" w:cs="宋体"/>
          <w:kern w:val="0"/>
          <w:sz w:val="32"/>
          <w:szCs w:val="32"/>
        </w:rPr>
        <w:t>3</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1</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0"/>
        <w:tblW w:w="10131" w:type="dxa"/>
        <w:jc w:val="center"/>
        <w:tblLayout w:type="fixed"/>
        <w:tblCellMar>
          <w:top w:w="0" w:type="dxa"/>
          <w:left w:w="108" w:type="dxa"/>
          <w:bottom w:w="0" w:type="dxa"/>
          <w:right w:w="108" w:type="dxa"/>
        </w:tblCellMar>
      </w:tblPr>
      <w:tblGrid>
        <w:gridCol w:w="8789"/>
        <w:gridCol w:w="1342"/>
      </w:tblGrid>
      <w:tr>
        <w:tblPrEx>
          <w:tblCellMar>
            <w:top w:w="0" w:type="dxa"/>
            <w:left w:w="108" w:type="dxa"/>
            <w:bottom w:w="0" w:type="dxa"/>
            <w:right w:w="108" w:type="dxa"/>
          </w:tblCellMar>
        </w:tblPrEx>
        <w:trPr>
          <w:trHeight w:val="170" w:hRule="atLeast"/>
          <w:jc w:val="center"/>
        </w:trPr>
        <w:tc>
          <w:tcPr>
            <w:tcW w:w="8789" w:type="dxa"/>
            <w:noWrap/>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编制部门：新疆维吾尔自治区喀什地区麦盖提工业园区管理委员会</w:t>
            </w:r>
            <w:r>
              <w:rPr>
                <w:rFonts w:ascii="仿宋_GB2312" w:hAnsi="宋体" w:eastAsia="仿宋_GB2312" w:cs="宋体"/>
                <w:kern w:val="0"/>
                <w:sz w:val="24"/>
              </w:rPr>
              <w:t xml:space="preserve"> </w:t>
            </w:r>
          </w:p>
        </w:tc>
        <w:tc>
          <w:tcPr>
            <w:tcW w:w="1342" w:type="dxa"/>
            <w:noWrap/>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101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noWrap/>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noWrap/>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exact"/>
          <w:jc w:val="center"/>
        </w:trPr>
        <w:tc>
          <w:tcPr>
            <w:tcW w:w="3114"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451.99</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382.43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451.99</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451.99</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12.85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808.89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79808.89</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79808.89</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808.89</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25.27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79000.00</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79000.00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80260.88</w:t>
            </w:r>
          </w:p>
        </w:tc>
        <w:tc>
          <w:tcPr>
            <w:tcW w:w="2755" w:type="dxa"/>
            <w:noWrap/>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80260.88</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0"/>
        <w:tblW w:w="15026" w:type="dxa"/>
        <w:jc w:val="center"/>
        <w:tblLayout w:type="fixed"/>
        <w:tblCellMar>
          <w:top w:w="0" w:type="dxa"/>
          <w:left w:w="108" w:type="dxa"/>
          <w:bottom w:w="0" w:type="dxa"/>
          <w:right w:w="108" w:type="dxa"/>
        </w:tblCellMar>
      </w:tblPr>
      <w:tblGrid>
        <w:gridCol w:w="13608"/>
        <w:gridCol w:w="1418"/>
      </w:tblGrid>
      <w:tr>
        <w:tblPrEx>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编制部门：新疆维吾尔自治区喀什地区麦盖提工业园区管理委员会</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150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一般公共服务支出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382.43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382.43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382.43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商贸事务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382.43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382.43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382.43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50</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事业运行</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232.43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232.43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232.43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其他商贸事务支出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150.00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150.00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31.44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31.44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31.44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31.44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31.44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31.44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事业单位离退休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29.81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29.81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29.81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12.85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12.85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12.85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12.85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12.85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12.85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12.85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12.85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12.85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资源勘探工业信息等支出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808.89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808.89</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制造业</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808.89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808.89</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04</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纺织业</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808.89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808.89</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住房保障支出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25.27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25.27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25.27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住房改革支出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25.27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25.27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25.27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住房公积金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25.27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25.27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25.27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229</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79000.00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79000.00</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229</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04</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其他政府性基金及对应专项债务收入安排的支出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79000.00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79000.00</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229</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04</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其他地方自行试点项目收益专项债券收入安排的支出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79000.00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79000.00</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80260.88</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451.99</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451.99</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79808.89</w:t>
            </w: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0"/>
        <w:tblW w:w="10065" w:type="dxa"/>
        <w:jc w:val="center"/>
        <w:tblLayout w:type="fixed"/>
        <w:tblCellMar>
          <w:top w:w="0" w:type="dxa"/>
          <w:left w:w="108" w:type="dxa"/>
          <w:bottom w:w="0" w:type="dxa"/>
          <w:right w:w="108" w:type="dxa"/>
        </w:tblCellMar>
      </w:tblPr>
      <w:tblGrid>
        <w:gridCol w:w="8647"/>
        <w:gridCol w:w="1418"/>
      </w:tblGrid>
      <w:tr>
        <w:tblPrEx>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编制部门：新疆维吾尔自治区喀什地区麦盖提工业园区管理委员会</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0"/>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一般公共服务支出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382.43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232.43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商贸事务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382.43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232.43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50</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事业运行</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232.43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232.43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其他商贸事务支出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150.00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31.44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31.44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31.44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31.44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事业单位离退休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29.81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29.81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12.85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12.85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12.85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12.85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12.85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12.85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资源勘探工业信息等支出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808.89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808.89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制造业</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808.89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808.89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04</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纺织业</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808.89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808.89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住房保障支出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25.27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25.27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住房改革支出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25.27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25.27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住房公积金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25.27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25.27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229</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79000.00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79000.00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229</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04</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其他政府性基金及对应专项债务收入安排的支出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79000.00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79000.00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229</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04</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其他地方自行试点项目收益专项债券收入安排的支出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79000.00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79000.00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80260.88</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301.99</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79958.89</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0"/>
        <w:tblW w:w="10065" w:type="dxa"/>
        <w:jc w:val="center"/>
        <w:tblLayout w:type="fixed"/>
        <w:tblCellMar>
          <w:top w:w="0" w:type="dxa"/>
          <w:left w:w="108" w:type="dxa"/>
          <w:bottom w:w="0" w:type="dxa"/>
          <w:right w:w="108" w:type="dxa"/>
        </w:tblCellMar>
      </w:tblPr>
      <w:tblGrid>
        <w:gridCol w:w="8647"/>
        <w:gridCol w:w="1418"/>
      </w:tblGrid>
      <w:tr>
        <w:tblPrEx>
          <w:tblCellMar>
            <w:top w:w="0" w:type="dxa"/>
            <w:left w:w="108" w:type="dxa"/>
            <w:bottom w:w="0" w:type="dxa"/>
            <w:right w:w="108" w:type="dxa"/>
          </w:tblCellMar>
        </w:tblPrEx>
        <w:trPr>
          <w:trHeight w:val="170" w:hRule="atLeast"/>
          <w:jc w:val="center"/>
        </w:trPr>
        <w:tc>
          <w:tcPr>
            <w:tcW w:w="8647" w:type="dxa"/>
            <w:noWrap/>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编制部门：新疆维吾尔自治区喀什地区麦盖提工业园区管理委员会</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0"/>
        <w:tblW w:w="100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966"/>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blHeader/>
          <w:jc w:val="center"/>
        </w:trPr>
        <w:tc>
          <w:tcPr>
            <w:tcW w:w="3088" w:type="dxa"/>
            <w:gridSpan w:val="2"/>
            <w:tcBorders>
              <w:top w:val="single" w:color="auto" w:sz="4" w:space="0"/>
            </w:tcBorders>
            <w:noWrap/>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noWrap/>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96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451.99</w:t>
            </w: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382.43</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382.43</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451.99</w:t>
            </w: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31.44</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31.44</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12.85</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12.85</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25.27</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25.27</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exact"/>
          <w:jc w:val="center"/>
        </w:trPr>
        <w:tc>
          <w:tcPr>
            <w:tcW w:w="2122"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96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451.99</w:t>
            </w:r>
          </w:p>
        </w:tc>
        <w:tc>
          <w:tcPr>
            <w:tcW w:w="2719"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451.99</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451.99</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0"/>
        <w:tblW w:w="9923" w:type="dxa"/>
        <w:jc w:val="center"/>
        <w:tblLayout w:type="fixed"/>
        <w:tblCellMar>
          <w:top w:w="0" w:type="dxa"/>
          <w:left w:w="108" w:type="dxa"/>
          <w:bottom w:w="0" w:type="dxa"/>
          <w:right w:w="108" w:type="dxa"/>
        </w:tblCellMar>
      </w:tblPr>
      <w:tblGrid>
        <w:gridCol w:w="8505"/>
        <w:gridCol w:w="1418"/>
      </w:tblGrid>
      <w:tr>
        <w:tblPrEx>
          <w:tblCellMar>
            <w:top w:w="0" w:type="dxa"/>
            <w:left w:w="108" w:type="dxa"/>
            <w:bottom w:w="0" w:type="dxa"/>
            <w:right w:w="108" w:type="dxa"/>
          </w:tblCellMar>
        </w:tblPrEx>
        <w:trPr>
          <w:trHeight w:val="170" w:hRule="atLeast"/>
          <w:jc w:val="center"/>
        </w:trPr>
        <w:tc>
          <w:tcPr>
            <w:tcW w:w="8505" w:type="dxa"/>
            <w:noWrap/>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编制部门：新疆维吾尔自治区喀什地区麦盖提工业园区管理委员会</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0"/>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一般公共服务支出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382.43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232.43</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13</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商贸事务</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382.43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232.43</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13</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50</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事业运行</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232.43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232.43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13</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99</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其他商贸事务支出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150.00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31.44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31.44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31.44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31.44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事业单位离退休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29.81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29.81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12.85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12.85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12.85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12.85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12.85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12.85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住房保障支出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25.27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25.27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住房改革支出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25.27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25.27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25.27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25.27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451.99</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301.99</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150.00</w:t>
            </w: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0"/>
        <w:tblW w:w="9923" w:type="dxa"/>
        <w:jc w:val="center"/>
        <w:tblLayout w:type="autofit"/>
        <w:tblCellMar>
          <w:top w:w="0" w:type="dxa"/>
          <w:left w:w="108" w:type="dxa"/>
          <w:bottom w:w="0" w:type="dxa"/>
          <w:right w:w="108" w:type="dxa"/>
        </w:tblCellMar>
      </w:tblPr>
      <w:tblGrid>
        <w:gridCol w:w="8505"/>
        <w:gridCol w:w="1418"/>
      </w:tblGrid>
      <w:tr>
        <w:tblPrEx>
          <w:tblCellMar>
            <w:top w:w="0" w:type="dxa"/>
            <w:left w:w="108" w:type="dxa"/>
            <w:bottom w:w="0" w:type="dxa"/>
            <w:right w:w="108" w:type="dxa"/>
          </w:tblCellMar>
        </w:tblPrEx>
        <w:trPr>
          <w:trHeight w:val="170" w:hRule="atLeast"/>
          <w:jc w:val="center"/>
        </w:trPr>
        <w:tc>
          <w:tcPr>
            <w:tcW w:w="8505" w:type="dxa"/>
            <w:noWrap/>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编制部门：新疆维吾尔自治区喀什地区麦盖提工业园区管理委员会</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283.66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283.66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74.10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74.10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46.62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46.62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45.64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45.64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48.07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48.07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29.81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29.81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12.85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12.85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25.27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25.27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16.76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办公费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06</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邮电费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0.90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取暖费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3.74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差旅费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公务接待费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公务用车运行维护费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6.65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0.20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301.99</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285.23</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16.76</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0"/>
        <w:tblW w:w="148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5" w:hRule="atLeast"/>
          <w:jc w:val="center"/>
        </w:trPr>
        <w:tc>
          <w:tcPr>
            <w:tcW w:w="13467" w:type="dxa"/>
            <w:tcBorders>
              <w:top w:val="nil"/>
              <w:left w:val="nil"/>
              <w:bottom w:val="nil"/>
              <w:right w:val="nil"/>
            </w:tcBorders>
            <w:noWrap/>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编制部门：新疆维吾尔自治区喀什地区麦盖提工业园区管理委员会</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0"/>
        <w:tblW w:w="148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noWrap/>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noWrap/>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noWrap/>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blHeader/>
          <w:jc w:val="center"/>
        </w:trPr>
        <w:tc>
          <w:tcPr>
            <w:tcW w:w="704" w:type="dxa"/>
            <w:noWrap/>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noWrap/>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noWrap/>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一般公共服务支出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150.00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150.00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商贸事务</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150.00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150.00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其他商贸事务支出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工业园区历年专项债项目前期费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150.00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150.00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150.00</w:t>
            </w: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150.00</w:t>
            </w: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0"/>
        <w:tblW w:w="10065" w:type="dxa"/>
        <w:jc w:val="center"/>
        <w:tblLayout w:type="autofit"/>
        <w:tblCellMar>
          <w:top w:w="0" w:type="dxa"/>
          <w:left w:w="108" w:type="dxa"/>
          <w:bottom w:w="0" w:type="dxa"/>
          <w:right w:w="108" w:type="dxa"/>
        </w:tblCellMar>
      </w:tblPr>
      <w:tblGrid>
        <w:gridCol w:w="8647"/>
        <w:gridCol w:w="1418"/>
      </w:tblGrid>
      <w:tr>
        <w:tblPrEx>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编制部门：新疆维吾尔自治区喀什地区麦盖提工业园区管理委员会</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blHeader/>
          <w:jc w:val="center"/>
        </w:trPr>
        <w:tc>
          <w:tcPr>
            <w:tcW w:w="704"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704" w:type="dxa"/>
            <w:noWrap/>
            <w:vAlign w:val="center"/>
          </w:tcPr>
          <w:p>
            <w:pPr>
              <w:widowControl/>
              <w:jc w:val="center"/>
              <w:rPr>
                <w:rFonts w:hint="eastAsia" w:ascii="仿宋_GB2312" w:eastAsia="仿宋_GB2312" w:cs="宋体" w:hAnsiTheme="minorEastAsia"/>
                <w:b/>
                <w:bCs/>
                <w:kern w:val="0"/>
                <w:sz w:val="20"/>
                <w:szCs w:val="20"/>
              </w:rPr>
            </w:pPr>
          </w:p>
        </w:tc>
        <w:tc>
          <w:tcPr>
            <w:tcW w:w="709" w:type="dxa"/>
            <w:noWrap/>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备注：新疆维吾尔自治区喀什地区麦盖提工业园区管理委员会</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0"/>
        <w:tblW w:w="10065" w:type="dxa"/>
        <w:jc w:val="center"/>
        <w:tblLayout w:type="autofit"/>
        <w:tblCellMar>
          <w:top w:w="0" w:type="dxa"/>
          <w:left w:w="108" w:type="dxa"/>
          <w:bottom w:w="0" w:type="dxa"/>
          <w:right w:w="108" w:type="dxa"/>
        </w:tblCellMar>
      </w:tblPr>
      <w:tblGrid>
        <w:gridCol w:w="8647"/>
        <w:gridCol w:w="1418"/>
      </w:tblGrid>
      <w:tr>
        <w:tblPrEx>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编制部门：新疆维吾尔自治区喀什地区麦盖提工业园区管理委员会</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blHeader/>
          <w:jc w:val="center"/>
        </w:trPr>
        <w:tc>
          <w:tcPr>
            <w:tcW w:w="704"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noWrap/>
            <w:vAlign w:val="center"/>
          </w:tcPr>
          <w:p>
            <w:pPr>
              <w:widowControl/>
              <w:jc w:val="center"/>
              <w:rPr>
                <w:rFonts w:hint="eastAsia" w:ascii="仿宋_GB2312" w:eastAsia="仿宋_GB2312" w:cs="宋体" w:hAnsiTheme="minorEastAsia"/>
                <w:b/>
                <w:bCs/>
                <w:kern w:val="0"/>
                <w:sz w:val="20"/>
                <w:szCs w:val="20"/>
              </w:rPr>
            </w:pPr>
          </w:p>
        </w:tc>
        <w:tc>
          <w:tcPr>
            <w:tcW w:w="709" w:type="dxa"/>
            <w:noWrap/>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备注：新疆维吾尔自治区喀什地区麦盖提工业园区管理委员会</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0"/>
        <w:tblW w:w="9923" w:type="dxa"/>
        <w:jc w:val="center"/>
        <w:tblLayout w:type="autofit"/>
        <w:tblCellMar>
          <w:top w:w="0" w:type="dxa"/>
          <w:left w:w="108" w:type="dxa"/>
          <w:bottom w:w="0" w:type="dxa"/>
          <w:right w:w="108" w:type="dxa"/>
        </w:tblCellMar>
      </w:tblPr>
      <w:tblGrid>
        <w:gridCol w:w="8505"/>
        <w:gridCol w:w="1418"/>
      </w:tblGrid>
      <w:tr>
        <w:tblPrEx>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编制部门：新疆维吾尔自治区喀什地区麦盖提工业园区管理委员会</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7.65</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7.65</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1.00</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1.00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6.65</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6.65</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6.65</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6.65</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0"/>
        <w:tblW w:w="10065" w:type="dxa"/>
        <w:jc w:val="center"/>
        <w:tblLayout w:type="autofit"/>
        <w:tblCellMar>
          <w:top w:w="0" w:type="dxa"/>
          <w:left w:w="108" w:type="dxa"/>
          <w:bottom w:w="0" w:type="dxa"/>
          <w:right w:w="108" w:type="dxa"/>
        </w:tblCellMar>
      </w:tblPr>
      <w:tblGrid>
        <w:gridCol w:w="8222"/>
        <w:gridCol w:w="1843"/>
      </w:tblGrid>
      <w:tr>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编制部门：新疆维吾尔自治区喀什地区麦盖提工业园区管理委员会</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3"/>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rPr>
              <w:t>喀什地区麦盖提县纺织服装产业园基础设施建设项目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808.89</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808.89</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808.89</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rPr>
              <w:t>喀什地区麦盖提工业园区标准厂房及基础设施建设项目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6000.00</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6000.00</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6000.00</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rPr>
              <w:t>喀什地区麦盖提县产业园标准厂房建设项目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8000.00</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8000.00</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8000.00</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rPr>
              <w:t>喀什地区麦盖提县纺织服装产业园标准厂房建设项目（二期）</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20000.00</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20000.00</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20000.00</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rPr>
              <w:t>麦盖提县工业园区劳动密集型标准厂房建设项目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3000.00</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3000.00</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3000.00</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rPr>
              <w:t>麦盖提工业园区标准厂房建设项目（三期）</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32000.00</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32000.00</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32000.00</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rPr>
              <w:t>喀什地区麦盖提工业园区纺织标准厂房建设项目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10000.00</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10000.00</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10000.00</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79808.89</w:t>
            </w: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79808.89</w:t>
            </w: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一、关于新疆维吾尔自治区喀什地区麦盖提工业园区管理委员会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按照全口径预算的原则，新疆维吾尔自治区喀什地区麦盖提工业园区管理委员会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年所有收入和支出均纳入部门预算管理。收支总预算80260.88万元。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收入预算包括：一般公共预算、财政拨款结转结余。</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支出预算包括：一般公共服务支出、社会保障和就业支出、卫生健康支出、资源勘探工业信息等支出、住房保障支出、其他支出。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二、关于新疆维吾尔自治区喀什地区麦盖提工业园区管理委员会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新疆维吾尔自治区喀什地区麦盖提工业园区管理委员会收入预算80260.88万元，其中：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451.99万元，占0.56%,比上年预算增加181.03万元，增长66.81%，主要原因是：当年新增工业园区历年专项债项目前期费1，在职人员职务职级晋升、绩效改革、工资调整等相关政策发生变化等致使人员经费增加、对个人和家庭补助支出增加，预算数相应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财政拨款结转79808.89万元，占99.44%,比上年预算增加79199.72万元，增长13001.25%，主要原因是：本年预算结转喀什地区麦盖提工业园区标准厂房及基础设施建设项目，喀什地区麦盖提工业园区纺织标准厂房建设项目，喀什地区麦盖提县产业园标准厂房建设项目，喀什地区麦盖提县纺织服装产业园标准厂房建设项目（二期），喀什地区麦盖提县纺织服装产业园基础设施建设项目，麦盖提工业园区标准厂房建设项目（三期），麦盖提县工业园区劳动密集型标准厂房建设项目。</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三、关于新疆维吾尔自治区喀什地区麦盖提工业园区管理委员会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新疆维吾尔自治区喀什地区麦盖提工业园区管理委员会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80260.88</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301.99</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0.38</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31.03</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11.45</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在职人员职务职级晋升、绩效改革、工资调整等相关政策发生变化等致使人员经费增加、对个人和家庭补助支出增加，预算数相应增加。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79958.89</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99.62</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79349.72</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13025.87</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预算结转喀什地区麦盖提工业园区标准厂房及基础设施建设项目，喀什地区麦盖提工业园区纺织标准厂房建设项目，喀什地区麦盖提县产业园标准厂房建设项目，喀什地区麦盖提县纺织服装产业园标准厂房建设项目（二期），喀什地区麦盖提县纺织服装产业园基础设施建设项目，麦盖提工业园区标准厂房建设项目（三期），麦盖提县工业园区劳动密集型标准厂房建设项目。</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四、关于新疆维吾尔自治区喀什地区麦盖提工业园区管理委员会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年财政拨款收支总预算451.99万元。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收入预算包括：一般公共预算拨款451.99万元。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一般公共服务支出382.43万元，主要用于：保障在职、退休人员工资、津贴、奖金、社保、医保、公积金及项目支出；社会保障和就业支出31.44万元，主要用于：保障在职、退休人员养老保险、工伤保险、失业保险缴费支出；卫生健康支出12.85万元，主要用于：保障在职人员医疗保险、大病支出；住房保障支出25.27万元，主要用于：保障在职人员住房公积金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五、关于新疆维吾尔自治区喀什地区麦盖提工业园区管理委员会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新疆维吾尔自治区喀什地区麦盖提工业园区管理委员会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451.99</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301.99</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31.03</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11.45</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在职人员职务职级晋升、绩效改革、工资调整等相关政策发生变化等致使人员经费增加、对个人和家庭补助支出增加，预算数相应增加。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150</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150</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100</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当年新增园区历年专项债券项目前期费。</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.一般公共服务支出（类）382.43万元，占84.61%</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.社会保障和就业支出（类）31.44万元，占6.96%</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ascii="仿宋_GB2312" w:hAnsi="宋体" w:eastAsia="仿宋_GB2312" w:cs="宋体"/>
          <w:kern w:val="0"/>
          <w:sz w:val="32"/>
          <w:szCs w:val="32"/>
        </w:rPr>
        <w:t>.卫生健康支出（类）12.85万元，占2.84%</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w:t>
      </w:r>
      <w:r>
        <w:rPr>
          <w:rFonts w:ascii="仿宋_GB2312" w:hAnsi="宋体" w:eastAsia="仿宋_GB2312" w:cs="宋体"/>
          <w:kern w:val="0"/>
          <w:sz w:val="32"/>
          <w:szCs w:val="32"/>
        </w:rPr>
        <w:t>.住房保障支出（类）25.27万元，占5.59%</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1.一般公共服务支出（类）商贸事务（款）事业运行（项）：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年预算数为232.43万元，比上年预算增加21.70万元，增长10.30%，主要原因是：在职人员职务职级晋升、绩效改革、工资调整等相关政策发生变化等致使人员经费增加、对个人和家庭补助支出增加，预算数相应增加。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2.一般公共服务支出（类）商贸事务（款）其他商贸事务支出（项）：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年预算数为150.00万元，比上年预算增加150.00万元，增长100.00%，主要原因是：当年新增园区历年专项债券项目前期费。</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3.社会保障和就业支出（类）行政事业单位养老支出（款）事业单位离退休（项）：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年预算数为1.63万元，比上年预算增加0.20万元，增长13.99%，主要原因是：本年预算增加退休人员奖励性绩效增资部分。</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年预算数为29.81万元，比上年预算增加3.60万元，增长13.74%，主要原因是：工资普调，社保缴费基数增长，基本养老保险缴费支出增加，预算数相应增加。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5.卫生健康支出（类）行政事业单位医疗（款）事业单位医疗（项）：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年预算数为12.85万元，比上年预算增加1.71万元，增长15.35%，主要原因是：工资普调，社保缴费基数增长，基本医疗保险缴费支出增加，预算数相应增加。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6.住房保障支出（类）住房改革支出（款）住房公积金（项）：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年预算数为25.27万元，比上年预算增加3.82万元，</w:t>
      </w:r>
      <w:bookmarkStart w:id="4" w:name="_Hlk157617573"/>
      <w:r>
        <w:rPr>
          <w:rFonts w:hint="eastAsia" w:ascii="仿宋_GB2312" w:hAnsi="宋体" w:eastAsia="仿宋_GB2312" w:cs="宋体"/>
          <w:kern w:val="0"/>
          <w:sz w:val="32"/>
          <w:szCs w:val="32"/>
        </w:rPr>
        <w:t>增长</w:t>
      </w:r>
      <w:bookmarkEnd w:id="4"/>
      <w:r>
        <w:rPr>
          <w:rFonts w:hint="eastAsia" w:ascii="仿宋_GB2312" w:hAnsi="宋体" w:eastAsia="仿宋_GB2312" w:cs="宋体"/>
          <w:kern w:val="0"/>
          <w:sz w:val="32"/>
          <w:szCs w:val="32"/>
        </w:rPr>
        <w:t>17.81%，主要原因是：工资普调，社保缴费基数增长，住房公积金支出增加，预算数相应增加。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六、关于新疆维吾尔自治区喀什地区麦盖提工业园区管理委员会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新疆维吾尔自治区喀什地区麦盖提工业园区管理委员会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301.99</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人员经费285.23万元，主要包括：基本工资、津贴补贴、奖金、绩效工资、机关事业单位基本养老保险缴费、职工基本医疗保险缴费、其他社会保障缴费、住房公积金、退休费。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公用经费16.76万元，主要包括：办公费、水费、电费、邮电费、取暖费、差旅费、公务接待费、公务用车运行维护费、其他商品和服务支出。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七、关于新疆维吾尔自治区喀什地区麦盖提工业园区管理委员会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（1）项目名称：工业园区历年专项债项目前期费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预算安排规模：150.00万元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项目承担单位：新疆维吾尔自治区喀什地区麦盖提工业园区管理委员会</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资金分配情况：全部用于支付债券项目前期费150万元。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八、关于新疆维吾尔自治区喀什地区麦盖提工业园区管理委员会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麦盖提工业园区管理委员会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九、关于新疆维吾尔自治区喀什地区麦盖提工业园区管理委员会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新疆维吾尔自治区喀什地区麦盖提工业园区管理委员会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十、关于新疆维吾尔自治区喀什地区麦盖提工业园区管理委员会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新疆维吾尔自治区喀什地区麦盖提工业园区管理委员会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年财政拨款“三公”经费数为7.65万元，其中：因公出国（境）费0万元，公务用车购置费0万元，公务用车运行费6.65万元，公务接待费1万元。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年财政拨款“三公”经费比上年预算增加1万元，增长15.04%，其中：因公出国（境）费增加0万元，增长0%，主要原因是：我部门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相较于上年度，我部门公务用车运行费无增减变动；公务接待费增加1万元，增长100%，主要原因是：新增园区招商引资考察项目推介活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十一、关于新疆维吾尔自治区喀什地区麦盖提工业园区管理委员会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麦盖提工业园区管理委员会</w:t>
      </w:r>
      <w:r>
        <w:rPr>
          <w:rFonts w:hint="eastAsia" w:ascii="仿宋_GB2312" w:hAnsi="仿宋_GB2312" w:eastAsia="仿宋_GB2312" w:cs="仿宋_GB2312"/>
          <w:kern w:val="0"/>
          <w:sz w:val="32"/>
          <w:szCs w:val="32"/>
          <w:lang w:eastAsia="zh-CN"/>
        </w:rPr>
        <w:t>2026</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年上年结转结余79808.89万元，包括：财政拨款79808.89万元，非财政拨款0万元，其中：</w:t>
      </w:r>
      <w:r>
        <w:rPr>
          <w:rFonts w:hint="eastAsia" w:ascii="MS Gothic" w:hAnsi="MS Gothic" w:eastAsia="MS Gothic" w:cs="MS Gothic"/>
          <w:kern w:val="0"/>
          <w:sz w:val="32"/>
          <w:szCs w:val="32"/>
          <w:cs/>
        </w:rPr>
        <w:t>‎</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1.喀什地区麦盖提县纺织服装产业园基础设施建设项目808.89</w:t>
      </w:r>
      <w:r>
        <w:rPr>
          <w:rFonts w:hint="eastAsia" w:ascii="仿宋_GB2312" w:hAnsi="仿宋_GB2312" w:eastAsia="仿宋_GB2312" w:cs="仿宋_GB2312"/>
          <w:kern w:val="0"/>
          <w:sz w:val="32"/>
          <w:szCs w:val="32"/>
        </w:rPr>
        <w:t>万元，主要用于：项目已建成，结转资金用于支付项目尾款。</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2.喀什地区麦盖提工业园区标准厂房及基础设施建设项目6000.00</w:t>
      </w:r>
      <w:r>
        <w:rPr>
          <w:rFonts w:hint="eastAsia" w:ascii="仿宋_GB2312" w:hAnsi="仿宋_GB2312" w:eastAsia="仿宋_GB2312" w:cs="仿宋_GB2312"/>
          <w:kern w:val="0"/>
          <w:sz w:val="32"/>
          <w:szCs w:val="32"/>
        </w:rPr>
        <w:t>万元，主要用于：支付项目工程款。</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3.喀什地区麦盖提县产业园标准厂房建设项目8000.00</w:t>
      </w:r>
      <w:r>
        <w:rPr>
          <w:rFonts w:hint="eastAsia" w:ascii="仿宋_GB2312" w:hAnsi="仿宋_GB2312" w:eastAsia="仿宋_GB2312" w:cs="仿宋_GB2312"/>
          <w:kern w:val="0"/>
          <w:sz w:val="32"/>
          <w:szCs w:val="32"/>
        </w:rPr>
        <w:t>万元，主要用于：支付项目工程款。</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4.喀什地区麦盖提县纺织服装产业园标准厂房建设项目（二期）20000.00</w:t>
      </w:r>
      <w:r>
        <w:rPr>
          <w:rFonts w:hint="eastAsia" w:ascii="仿宋_GB2312" w:hAnsi="仿宋_GB2312" w:eastAsia="仿宋_GB2312" w:cs="仿宋_GB2312"/>
          <w:kern w:val="0"/>
          <w:sz w:val="32"/>
          <w:szCs w:val="32"/>
        </w:rPr>
        <w:t>万元，主要用于：支付项目工程款。</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5.麦盖提县工业园区劳动密集型标准厂房建设项目3000.00</w:t>
      </w:r>
      <w:r>
        <w:rPr>
          <w:rFonts w:hint="eastAsia" w:ascii="仿宋_GB2312" w:hAnsi="仿宋_GB2312" w:eastAsia="仿宋_GB2312" w:cs="仿宋_GB2312"/>
          <w:kern w:val="0"/>
          <w:sz w:val="32"/>
          <w:szCs w:val="32"/>
        </w:rPr>
        <w:t>万元，主要用于：支付项目工程款。</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6.麦盖提工业园区标准厂房建设项目（三期）32000.00</w:t>
      </w:r>
      <w:r>
        <w:rPr>
          <w:rFonts w:hint="eastAsia" w:ascii="仿宋_GB2312" w:hAnsi="仿宋_GB2312" w:eastAsia="仿宋_GB2312" w:cs="仿宋_GB2312"/>
          <w:kern w:val="0"/>
          <w:sz w:val="32"/>
          <w:szCs w:val="32"/>
        </w:rPr>
        <w:t>万元，主要用于：支付项目工程款。</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7.喀什地区麦盖提工业园区纺织标准厂房建设项目10000.00</w:t>
      </w:r>
      <w:r>
        <w:rPr>
          <w:rFonts w:hint="eastAsia" w:ascii="仿宋_GB2312" w:hAnsi="仿宋_GB2312" w:eastAsia="仿宋_GB2312" w:cs="仿宋_GB2312"/>
          <w:kern w:val="0"/>
          <w:sz w:val="32"/>
          <w:szCs w:val="32"/>
        </w:rPr>
        <w:t>万元，主要用于：支付项目工程款。</w:t>
      </w:r>
      <w:r>
        <w:rPr>
          <w:rFonts w:hint="eastAsia" w:ascii="MS Gothic" w:hAnsi="MS Gothic" w:eastAsia="MS Gothic" w:cs="MS Gothic"/>
          <w:kern w:val="0"/>
          <w:sz w:val="32"/>
          <w:szCs w:val="32"/>
          <w:cs/>
        </w:rPr>
        <w:t xml:space="preserve"> ‎</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新疆维吾尔自治区喀什地区麦盖提工业园区管理委员会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年的事业单位运行经费财政拨款预算16.76万元，比上年预算增加1.31万元，增长8.48%。主要原因是：在职党员教育活动费增加，预算数相应增加。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年，新疆维吾尔自治区喀什地区麦盖提工业园区管理委员会政府采购预算4.45万元，其中：政府采购货物预算1.46万元，政府采购工程预算0.00万元，政府采购服务预算2.99万元。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年，新疆维吾尔自治区喀什地区麦盖提工业园区管理委员会面向中小企业预留政府采购项目预算金额4.45万元，小微企业预留政府采购项目预算金额4.45万元。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年底，新疆维吾尔自治区喀什地区麦盖提工业园区管理委员会及下属各预算单位占用使用国有资产总体情况为：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1.房屋114079.54平方米，价值17714.24万元。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2.车辆3辆，价值120.10万元；其中：一般公务用车2辆，价值24.10万元；执法执勤用车0辆，价值0.00万元；其他车辆1辆，价值96.00万元。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年，本部门预算绩效管理整体预算绩效目标1个，涉及预算金额80260.88万元；当年预算安排项目共1个，其中：财政拨款项目涉及预算金额150万元；非财政拨款项目涉及预算金额0万元。具体情况见下表：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widowControl/>
        <w:jc w:val="center"/>
        <w:outlineLvl w:val="4"/>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tbl>
      <w:tblPr>
        <w:tblStyle w:val="10"/>
        <w:tblW w:w="10065" w:type="dxa"/>
        <w:jc w:val="center"/>
        <w:tblLayout w:type="fixed"/>
        <w:tblCellMar>
          <w:top w:w="0" w:type="dxa"/>
          <w:left w:w="108" w:type="dxa"/>
          <w:bottom w:w="0" w:type="dxa"/>
          <w:right w:w="108" w:type="dxa"/>
        </w:tblCellMar>
      </w:tblPr>
      <w:tblGrid>
        <w:gridCol w:w="1276"/>
        <w:gridCol w:w="1276"/>
        <w:gridCol w:w="2977"/>
        <w:gridCol w:w="1417"/>
        <w:gridCol w:w="1701"/>
        <w:gridCol w:w="1418"/>
      </w:tblGrid>
      <w:tr>
        <w:tblPrEx>
          <w:tblCellMar>
            <w:top w:w="0" w:type="dxa"/>
            <w:left w:w="108" w:type="dxa"/>
            <w:bottom w:w="0" w:type="dxa"/>
            <w:right w:w="108" w:type="dxa"/>
          </w:tblCellMar>
        </w:tblPrEx>
        <w:trPr>
          <w:trHeight w:val="516" w:hRule="atLeast"/>
          <w:jc w:val="center"/>
        </w:trPr>
        <w:tc>
          <w:tcPr>
            <w:tcW w:w="10065" w:type="dxa"/>
            <w:gridSpan w:val="6"/>
            <w:tcBorders>
              <w:top w:val="nil"/>
              <w:left w:val="nil"/>
              <w:bottom w:val="nil"/>
              <w:right w:val="nil"/>
            </w:tcBorders>
            <w:vAlign w:val="center"/>
          </w:tcPr>
          <w:p>
            <w:pPr>
              <w:widowControl/>
              <w:jc w:val="center"/>
              <w:textAlignment w:val="center"/>
              <w:rPr>
                <w:rFonts w:hint="eastAsia" w:cs="仿宋_GB2312" w:asciiTheme="majorEastAsia" w:hAnsiTheme="majorEastAsia" w:eastAsiaTheme="majorEastAsia"/>
                <w:b/>
                <w:color w:val="000000"/>
                <w:kern w:val="0"/>
                <w:sz w:val="24"/>
                <w:lang w:bidi="ar"/>
              </w:rPr>
            </w:pPr>
            <w:r>
              <w:rPr>
                <w:rFonts w:hint="eastAsia" w:cs="仿宋_GB2312" w:asciiTheme="majorEastAsia" w:hAnsiTheme="majorEastAsia" w:eastAsiaTheme="majorEastAsia"/>
                <w:b/>
                <w:color w:val="000000"/>
                <w:kern w:val="0"/>
                <w:sz w:val="24"/>
                <w:lang w:bidi="ar"/>
              </w:rPr>
              <w:t>（</w:t>
            </w:r>
            <w:r>
              <w:rPr>
                <w:rFonts w:hint="eastAsia" w:cs="仿宋_GB2312" w:asciiTheme="majorEastAsia" w:hAnsiTheme="majorEastAsia" w:eastAsiaTheme="majorEastAsia"/>
                <w:b/>
                <w:color w:val="000000"/>
                <w:kern w:val="0"/>
                <w:sz w:val="24"/>
                <w:lang w:eastAsia="zh-CN" w:bidi="ar"/>
              </w:rPr>
              <w:t>2026</w:t>
            </w:r>
            <w:r>
              <w:rPr>
                <w:rFonts w:hint="eastAsia" w:cs="仿宋_GB2312" w:asciiTheme="majorEastAsia" w:hAnsiTheme="majorEastAsia" w:eastAsiaTheme="majorEastAsia"/>
                <w:b/>
                <w:color w:val="000000"/>
                <w:kern w:val="0"/>
                <w:sz w:val="24"/>
                <w:lang w:bidi="ar"/>
              </w:rPr>
              <w:t>年）</w:t>
            </w:r>
          </w:p>
        </w:tc>
      </w:tr>
      <w:tr>
        <w:tblPrEx>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部门名称（盖章）</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hint="eastAsia" w:cs="宋体" w:asciiTheme="majorEastAsia" w:hAnsiTheme="majorEastAsia" w:eastAsiaTheme="majorEastAsia"/>
                <w:color w:val="000000"/>
                <w:sz w:val="20"/>
                <w:szCs w:val="20"/>
              </w:rPr>
              <w:t>新疆维吾尔自治区喀什地区</w:t>
            </w:r>
            <w:r>
              <w:rPr>
                <w:rFonts w:cs="宋体" w:asciiTheme="majorEastAsia" w:hAnsiTheme="majorEastAsia" w:eastAsiaTheme="majorEastAsia"/>
                <w:color w:val="000000"/>
                <w:sz w:val="20"/>
                <w:szCs w:val="20"/>
              </w:rPr>
              <w:t>麦盖提工业园区管理委员会</w:t>
            </w:r>
            <w:r>
              <w:rPr>
                <w:rFonts w:hint="eastAsia" w:cs="MS Gothic" w:asciiTheme="majorEastAsia" w:hAnsiTheme="majorEastAsia" w:eastAsiaTheme="majorEastAsia"/>
                <w:color w:val="000000"/>
                <w:sz w:val="20"/>
                <w:szCs w:val="20"/>
                <w:cs/>
              </w:rPr>
              <w:t>‎</w:t>
            </w:r>
          </w:p>
        </w:tc>
      </w:tr>
      <w:tr>
        <w:tblPrEx>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部门联系人</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白丽萍</w:t>
            </w:r>
            <w:r>
              <w:rPr>
                <w:rFonts w:hint="eastAsia" w:cs="MS Gothic" w:asciiTheme="majorEastAsia" w:hAnsiTheme="majorEastAsia" w:eastAsiaTheme="majorEastAsia"/>
                <w:color w:val="000000"/>
                <w:sz w:val="20"/>
                <w:szCs w:val="20"/>
                <w:cs/>
              </w:rPr>
              <w:t>‎</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联系电话：</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15909985166</w:t>
            </w:r>
            <w:r>
              <w:rPr>
                <w:rFonts w:hint="eastAsia" w:cs="MS Gothic" w:asciiTheme="majorEastAsia" w:hAnsiTheme="majorEastAsia" w:eastAsiaTheme="majorEastAsia"/>
                <w:color w:val="000000"/>
                <w:sz w:val="20"/>
                <w:szCs w:val="20"/>
                <w:cs/>
              </w:rPr>
              <w:t>‎</w:t>
            </w:r>
          </w:p>
        </w:tc>
      </w:tr>
      <w:tr>
        <w:tblPrEx>
          <w:tblCellMar>
            <w:top w:w="0" w:type="dxa"/>
            <w:left w:w="108" w:type="dxa"/>
            <w:bottom w:w="0" w:type="dxa"/>
            <w:right w:w="108" w:type="dxa"/>
          </w:tblCellMar>
        </w:tblPrEx>
        <w:trPr>
          <w:trHeight w:val="1344"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年度绩效目标</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工业企业新增20家达到122家，同比增长19.6%；力争园区规上企业达到28家以上，同比增长27.27%；规上工业总产值23.5亿元以上，同比增长30%以上；规上工业增加值2.59亿元以上，同比增长30%以上；高新技术企业新增2家，达到7家，同比增长40%；“专精特新”企业达到1家，同比增长100%；飞地园区厂房使用率达到50%以上，解决就业人次4000人次以上，工业企业产值达到300000万元以上，企业诉求响应及时率100%。目标一：非税收入缴纳目标15万元。通过加大对单位资产的管理力度，对符合要求的厂房、门面房及各类设备及时招租，促进国有资产保值增值，提高资产变现能力。主要收入来源：红枣设备租赁收益、电信铁塔场地租赁收益、红枣四期餐厅租赁费、广告牌租赁收益。目标二：专项债券收益缴纳目标4023万元。通过逐项梳理专项债券项目运营、收益情况，制定切实、可行的项目运营和收益缴库计划，特别是用好2万吨红枣交割库库容，提升债券收益偿还能力。主要收入来源：红枣冷链期货交割库仓储费收益、标准厂房租赁收益（果业三条线）、红枣厂租赁收益（四条线）、万方福田生物肥生产线租赁收益，同时做好新落地专项债券项目收益收缴。目标三：新疆中麦公司营利性服务业收入目标4000万元，同比增长30%。重点聚焦提升园区公司运营管理能力，提升期货库专业运营管理能力，力争交割库营业创收800万元以上，普通仓储库创收240万元以上发挥好园区平台公司投融资职能、国有资产经营管理职能、园区开发建设职能和服务企业职能，使公司化运营成为园区发展新动力。目标四：规上工业总产值23.5亿元以上，同比增长30%以上；规上工业增加值2.59亿元以上，同比增长30%以上。一是持续深入开展园区企业领导干部包联全覆盖，按照包联任务每周对园内规上企业生产经营状况、就业情况、产值增值、增长率等做到动态监测，及时对产值下降较为明显的企业采取针对性措施，确保企业产值增速不下降。二是做好拟升规企业的培养、培植工作，从企业困难诉求化解、企业用工监测等生产要素入手，紧盯疆彩智能包装、恒达纺织、欧泰纺织、汉诚果业、鑫疆红果业等9家企业，力争达到投产及升规。三是积极搭建高效政银企对接平台，常态化开展好“政银企”融资对接活动，深入开展融资需求及信贷政策双向推送等工作，全力协调解决企业融资需求，精细精准落实各项惠企政策，不断提振企业发展信心。目标五：“高新技术企业”新增2家，达到7家，专精特新企业达到1家以上。实施优质企业梯度培育工程，支持传统产业龙头企业做大做强，扶持产业基础好的企业提高市场核心竞争力，培育技术壁垒高的企业加速产学研深度融合，鼓励发展潜力大的企业申报“创新型”中小企业和高新技术企业，促进市场主体量质齐升。高新技术企业目标：新疆绚彩纺织有限公司、新疆中健医疗用品有限公司、麦盖提县飘香油脂有限公司、麦盖提万方福田农业生物科技有限公司。“专精特新”中小企业目标：麦盖提县天运塑料制品有限公司、麦盖提利泰丝路纺织有限公司、麦盖提顺鑫工艺品有限公司。</w:t>
            </w:r>
            <w:r>
              <w:rPr>
                <w:rFonts w:hint="eastAsia" w:cs="MS Gothic" w:asciiTheme="majorEastAsia" w:hAnsiTheme="majorEastAsia" w:eastAsiaTheme="majorEastAsia"/>
                <w:color w:val="000000"/>
                <w:sz w:val="20"/>
                <w:szCs w:val="20"/>
                <w:cs/>
              </w:rPr>
              <w:t>‎</w:t>
            </w:r>
          </w:p>
        </w:tc>
      </w:tr>
      <w:tr>
        <w:tblPrEx>
          <w:tblCellMar>
            <w:top w:w="0" w:type="dxa"/>
            <w:left w:w="108" w:type="dxa"/>
            <w:bottom w:w="0" w:type="dxa"/>
            <w:right w:w="108" w:type="dxa"/>
          </w:tblCellMar>
        </w:tblPrEx>
        <w:trPr>
          <w:trHeight w:val="676" w:hRule="atLeast"/>
          <w:jc w:val="center"/>
        </w:trPr>
        <w:tc>
          <w:tcPr>
            <w:tcW w:w="255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kern w:val="0"/>
                <w:sz w:val="20"/>
                <w:szCs w:val="20"/>
                <w:lang w:bidi="ar"/>
              </w:rPr>
            </w:pPr>
            <w:r>
              <w:rPr>
                <w:rFonts w:hint="eastAsia" w:cs="宋体" w:asciiTheme="majorEastAsia" w:hAnsiTheme="majorEastAsia" w:eastAsiaTheme="majorEastAsia"/>
                <w:b/>
                <w:bCs/>
                <w:color w:val="000000"/>
                <w:kern w:val="0"/>
                <w:sz w:val="20"/>
                <w:szCs w:val="20"/>
                <w:lang w:bidi="ar"/>
              </w:rPr>
              <w:t>年度预算</w:t>
            </w:r>
          </w:p>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（万元）</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资金来源</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资金总额（万元）</w:t>
            </w:r>
          </w:p>
        </w:tc>
      </w:tr>
      <w:tr>
        <w:tblPrEx>
          <w:tblCellMar>
            <w:top w:w="0" w:type="dxa"/>
            <w:left w:w="108" w:type="dxa"/>
            <w:bottom w:w="0" w:type="dxa"/>
            <w:right w:w="108" w:type="dxa"/>
          </w:tblCellMar>
        </w:tblPrEx>
        <w:trPr>
          <w:trHeight w:val="684"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财政资金（万元）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上级安排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79808.89</w:t>
            </w:r>
            <w:r>
              <w:rPr>
                <w:rFonts w:hint="eastAsia" w:cs="MS Gothic" w:asciiTheme="majorEastAsia" w:hAnsiTheme="majorEastAsia" w:eastAsiaTheme="majorEastAsia"/>
                <w:color w:val="000000"/>
                <w:sz w:val="20"/>
                <w:szCs w:val="20"/>
                <w:cs/>
              </w:rPr>
              <w:t>‎</w:t>
            </w:r>
          </w:p>
        </w:tc>
      </w:tr>
      <w:tr>
        <w:tblPrEx>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本级安排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451.99</w:t>
            </w:r>
          </w:p>
        </w:tc>
      </w:tr>
      <w:tr>
        <w:tblPrEx>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CellMar>
            <w:top w:w="0" w:type="dxa"/>
            <w:left w:w="108" w:type="dxa"/>
            <w:bottom w:w="0" w:type="dxa"/>
            <w:right w:w="108" w:type="dxa"/>
          </w:tblCellMar>
        </w:tblPrEx>
        <w:trPr>
          <w:trHeight w:val="1064"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二级指标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三级指标</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指标值</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指标设定依据</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分值权重</w:t>
            </w:r>
          </w:p>
        </w:tc>
      </w:tr>
      <w:tr>
        <w:tblPrEx>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新增落户企业数量</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&gt;=20家</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升规入统企业数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&gt;=9家</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解决就业人次</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&gt;=4000人次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w:t>
            </w:r>
          </w:p>
        </w:tc>
      </w:tr>
      <w:tr>
        <w:tblPrEx>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规上工业增加值</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&gt;=25900万元</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招引亿元以上项目</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&gt;=5个</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w:t>
            </w:r>
          </w:p>
        </w:tc>
      </w:tr>
      <w:tr>
        <w:tblPrEx>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工业企业产值</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&gt;=300000万元</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时效指标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企业诉求响应及时率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w:t>
            </w:r>
          </w:p>
        </w:tc>
      </w:tr>
    </w:tbl>
    <w:p>
      <w:pPr>
        <w:spacing w:line="20" w:lineRule="exact"/>
        <w:jc w:val="center"/>
        <w:rPr>
          <w:rFonts w:hint="eastAsia" w:ascii="宋体" w:hAnsi="宋体" w:cs="宋体"/>
          <w:kern w:val="0"/>
          <w:sz w:val="2"/>
          <w:szCs w:val="2"/>
        </w:rPr>
      </w:pPr>
    </w:p>
    <w:p>
      <w:r>
        <w:br w:type="page"/>
      </w:r>
    </w:p>
    <w:p>
      <w:pPr>
        <w:spacing w:line="20" w:lineRule="exact"/>
        <w:jc w:val="center"/>
        <w:rPr>
          <w:rFonts w:hint="eastAsia" w:ascii="宋体" w:hAnsi="宋体" w:cs="宋体"/>
          <w:kern w:val="0"/>
          <w:sz w:val="2"/>
          <w:szCs w:val="2"/>
        </w:rP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0"/>
        <w:tblW w:w="1006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麦盖提工业园区管理委员会</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工业园区历年专项债项目前期费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张利学</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150.00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150.00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资金150万元，主要用于完成支付前期费项目个数5个，麦盖提县工业园区劳动密集型标准厂房建设项目森林植被恢复费、喀什地区麦盖提工业园区纺织标准厂房建设项目森林植被恢复费和喀什地区麦盖提县工业园区标准厂房建设项目森林植被恢复费。确保专项债券项目按时实施完成前期各类手续的申报审批及其他手续，达到较好效果。保障园区专项债券项目规范实施，完成项目前期手续。</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支付项目前期费数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&gt;=5个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5个</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项目前期工作完成率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支付专项债券项目森林植被恢复费成本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&lt;=71.8万元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支付专项债券项目基础设施建设项目成本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&lt;=78.198万元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提高政府公信力</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有效提高</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施工企业满意度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因单位名称变更，资产均录入在喀什地区麦盖提工业园区管理委员会办公室名下。</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06D80"/>
    <w:rsid w:val="00010579"/>
    <w:rsid w:val="00011008"/>
    <w:rsid w:val="00011952"/>
    <w:rsid w:val="000149FC"/>
    <w:rsid w:val="00014B3A"/>
    <w:rsid w:val="0001600E"/>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2716"/>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7737D"/>
    <w:rsid w:val="0008004F"/>
    <w:rsid w:val="0008375E"/>
    <w:rsid w:val="00083F77"/>
    <w:rsid w:val="00084B5C"/>
    <w:rsid w:val="00084C79"/>
    <w:rsid w:val="00086554"/>
    <w:rsid w:val="00086B79"/>
    <w:rsid w:val="0008753E"/>
    <w:rsid w:val="00087AEF"/>
    <w:rsid w:val="0009059F"/>
    <w:rsid w:val="00091B7C"/>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6D16"/>
    <w:rsid w:val="00156D1B"/>
    <w:rsid w:val="00157526"/>
    <w:rsid w:val="00161F31"/>
    <w:rsid w:val="001621AC"/>
    <w:rsid w:val="00163342"/>
    <w:rsid w:val="001656FB"/>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227F"/>
    <w:rsid w:val="001A3107"/>
    <w:rsid w:val="001A3875"/>
    <w:rsid w:val="001A4352"/>
    <w:rsid w:val="001A612D"/>
    <w:rsid w:val="001A6236"/>
    <w:rsid w:val="001A7864"/>
    <w:rsid w:val="001B31E1"/>
    <w:rsid w:val="001B3EFB"/>
    <w:rsid w:val="001B6327"/>
    <w:rsid w:val="001B6B54"/>
    <w:rsid w:val="001B7428"/>
    <w:rsid w:val="001B7A92"/>
    <w:rsid w:val="001B7DD9"/>
    <w:rsid w:val="001C02B1"/>
    <w:rsid w:val="001C281D"/>
    <w:rsid w:val="001C2D0D"/>
    <w:rsid w:val="001C48D7"/>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3690"/>
    <w:rsid w:val="001F410A"/>
    <w:rsid w:val="001F5B5A"/>
    <w:rsid w:val="001F5D0C"/>
    <w:rsid w:val="001F5FAA"/>
    <w:rsid w:val="00200922"/>
    <w:rsid w:val="00202ADA"/>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AF5"/>
    <w:rsid w:val="00311C86"/>
    <w:rsid w:val="00315DD1"/>
    <w:rsid w:val="003177D8"/>
    <w:rsid w:val="00321675"/>
    <w:rsid w:val="003225DD"/>
    <w:rsid w:val="0032532B"/>
    <w:rsid w:val="00326288"/>
    <w:rsid w:val="00326CE9"/>
    <w:rsid w:val="003309DB"/>
    <w:rsid w:val="00332225"/>
    <w:rsid w:val="00332FD2"/>
    <w:rsid w:val="00333FFF"/>
    <w:rsid w:val="00340222"/>
    <w:rsid w:val="00340257"/>
    <w:rsid w:val="00340E69"/>
    <w:rsid w:val="00341B43"/>
    <w:rsid w:val="00341BAE"/>
    <w:rsid w:val="00341E7D"/>
    <w:rsid w:val="003433EE"/>
    <w:rsid w:val="00343F03"/>
    <w:rsid w:val="00344E41"/>
    <w:rsid w:val="00345E58"/>
    <w:rsid w:val="0034677D"/>
    <w:rsid w:val="0034747D"/>
    <w:rsid w:val="00347DE8"/>
    <w:rsid w:val="00350F5B"/>
    <w:rsid w:val="0035182E"/>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487"/>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2EA"/>
    <w:rsid w:val="003939CE"/>
    <w:rsid w:val="00393D32"/>
    <w:rsid w:val="00393DAD"/>
    <w:rsid w:val="0039548A"/>
    <w:rsid w:val="003A037E"/>
    <w:rsid w:val="003A1559"/>
    <w:rsid w:val="003A3261"/>
    <w:rsid w:val="003A33D9"/>
    <w:rsid w:val="003A44ED"/>
    <w:rsid w:val="003B05BA"/>
    <w:rsid w:val="003B0DA2"/>
    <w:rsid w:val="003B48BE"/>
    <w:rsid w:val="003B5C7E"/>
    <w:rsid w:val="003B76CB"/>
    <w:rsid w:val="003B7A83"/>
    <w:rsid w:val="003C0D15"/>
    <w:rsid w:val="003C23E0"/>
    <w:rsid w:val="003D0E59"/>
    <w:rsid w:val="003D4B84"/>
    <w:rsid w:val="003D608A"/>
    <w:rsid w:val="003D64AF"/>
    <w:rsid w:val="003E0AF5"/>
    <w:rsid w:val="003E0F98"/>
    <w:rsid w:val="003E2195"/>
    <w:rsid w:val="003E2D15"/>
    <w:rsid w:val="003E472D"/>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B85"/>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49DC"/>
    <w:rsid w:val="00544AC4"/>
    <w:rsid w:val="00544C7D"/>
    <w:rsid w:val="0054586F"/>
    <w:rsid w:val="005474F1"/>
    <w:rsid w:val="00547B4F"/>
    <w:rsid w:val="005513B3"/>
    <w:rsid w:val="00551D2B"/>
    <w:rsid w:val="00553588"/>
    <w:rsid w:val="00554786"/>
    <w:rsid w:val="00556697"/>
    <w:rsid w:val="00560B65"/>
    <w:rsid w:val="0056203D"/>
    <w:rsid w:val="00565C5B"/>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0FEC"/>
    <w:rsid w:val="005C1A7A"/>
    <w:rsid w:val="005C2577"/>
    <w:rsid w:val="005C50D9"/>
    <w:rsid w:val="005C53AC"/>
    <w:rsid w:val="005C5B15"/>
    <w:rsid w:val="005C6DCD"/>
    <w:rsid w:val="005D098D"/>
    <w:rsid w:val="005D48F3"/>
    <w:rsid w:val="005D52FF"/>
    <w:rsid w:val="005D5331"/>
    <w:rsid w:val="005D57CA"/>
    <w:rsid w:val="005D6305"/>
    <w:rsid w:val="005D6D1E"/>
    <w:rsid w:val="005D7689"/>
    <w:rsid w:val="005E00E7"/>
    <w:rsid w:val="005E00FE"/>
    <w:rsid w:val="005E2094"/>
    <w:rsid w:val="005E2399"/>
    <w:rsid w:val="005E4BB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3A7F"/>
    <w:rsid w:val="00633F5B"/>
    <w:rsid w:val="00634719"/>
    <w:rsid w:val="00634803"/>
    <w:rsid w:val="0063560B"/>
    <w:rsid w:val="00636FE3"/>
    <w:rsid w:val="00640E06"/>
    <w:rsid w:val="00641010"/>
    <w:rsid w:val="006412F1"/>
    <w:rsid w:val="00642854"/>
    <w:rsid w:val="0064715A"/>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87D39"/>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806"/>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537C"/>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46B"/>
    <w:rsid w:val="0077362E"/>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5D77"/>
    <w:rsid w:val="007E7B12"/>
    <w:rsid w:val="007F00D1"/>
    <w:rsid w:val="007F064A"/>
    <w:rsid w:val="007F2147"/>
    <w:rsid w:val="007F2242"/>
    <w:rsid w:val="007F2ACF"/>
    <w:rsid w:val="007F39EC"/>
    <w:rsid w:val="007F3FD4"/>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1D68"/>
    <w:rsid w:val="00822F8A"/>
    <w:rsid w:val="00823248"/>
    <w:rsid w:val="008235FE"/>
    <w:rsid w:val="00823E71"/>
    <w:rsid w:val="00825B3F"/>
    <w:rsid w:val="00825FE2"/>
    <w:rsid w:val="00832AC9"/>
    <w:rsid w:val="00833ED3"/>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528"/>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24ED"/>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388D"/>
    <w:rsid w:val="00964DE0"/>
    <w:rsid w:val="0096639F"/>
    <w:rsid w:val="00970C23"/>
    <w:rsid w:val="009717AB"/>
    <w:rsid w:val="009724B6"/>
    <w:rsid w:val="0097401B"/>
    <w:rsid w:val="009740D0"/>
    <w:rsid w:val="009751E4"/>
    <w:rsid w:val="00976F95"/>
    <w:rsid w:val="00977343"/>
    <w:rsid w:val="0098180D"/>
    <w:rsid w:val="00981932"/>
    <w:rsid w:val="009834C6"/>
    <w:rsid w:val="00984D5F"/>
    <w:rsid w:val="00985A14"/>
    <w:rsid w:val="009870C6"/>
    <w:rsid w:val="009878A2"/>
    <w:rsid w:val="00987E19"/>
    <w:rsid w:val="009906E7"/>
    <w:rsid w:val="009918DF"/>
    <w:rsid w:val="00992F67"/>
    <w:rsid w:val="00994304"/>
    <w:rsid w:val="009944D1"/>
    <w:rsid w:val="00994B60"/>
    <w:rsid w:val="0099537F"/>
    <w:rsid w:val="009972BE"/>
    <w:rsid w:val="009A1242"/>
    <w:rsid w:val="009A1DE3"/>
    <w:rsid w:val="009A37B2"/>
    <w:rsid w:val="009A4E23"/>
    <w:rsid w:val="009A632C"/>
    <w:rsid w:val="009A6437"/>
    <w:rsid w:val="009A6642"/>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0D9A"/>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47EFC"/>
    <w:rsid w:val="00A51026"/>
    <w:rsid w:val="00A51ECF"/>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5AB"/>
    <w:rsid w:val="00AA7BA9"/>
    <w:rsid w:val="00AA7FEC"/>
    <w:rsid w:val="00AB1FA6"/>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2BBF"/>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26332"/>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10E5"/>
    <w:rsid w:val="00B6176B"/>
    <w:rsid w:val="00B62AFA"/>
    <w:rsid w:val="00B6495A"/>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64CA"/>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0A0"/>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230F"/>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1D9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3949"/>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2916"/>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1D5B"/>
    <w:rsid w:val="00E4490C"/>
    <w:rsid w:val="00E45580"/>
    <w:rsid w:val="00E4772C"/>
    <w:rsid w:val="00E5014A"/>
    <w:rsid w:val="00E50391"/>
    <w:rsid w:val="00E5147F"/>
    <w:rsid w:val="00E51792"/>
    <w:rsid w:val="00E53865"/>
    <w:rsid w:val="00E540F3"/>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4DCB"/>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1C3"/>
    <w:rsid w:val="00F21586"/>
    <w:rsid w:val="00F2591B"/>
    <w:rsid w:val="00F25DB3"/>
    <w:rsid w:val="00F31C66"/>
    <w:rsid w:val="00F321DD"/>
    <w:rsid w:val="00F32D66"/>
    <w:rsid w:val="00F33D16"/>
    <w:rsid w:val="00F3589E"/>
    <w:rsid w:val="00F3627D"/>
    <w:rsid w:val="00F42D66"/>
    <w:rsid w:val="00F45205"/>
    <w:rsid w:val="00F45A48"/>
    <w:rsid w:val="00F4640B"/>
    <w:rsid w:val="00F46CAF"/>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0C"/>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14C4EBD"/>
    <w:rsid w:val="730A6DE6"/>
    <w:rsid w:val="755E70D0"/>
    <w:rsid w:val="7BB93933"/>
    <w:rsid w:val="7CDF65FA"/>
    <w:rsid w:val="7E0F0660"/>
    <w:rsid w:val="7E9843C6"/>
    <w:rsid w:val="7F4B2B69"/>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4"/>
    <w:qFormat/>
    <w:uiPriority w:val="0"/>
    <w:pPr>
      <w:keepNext/>
      <w:keepLines/>
      <w:spacing w:before="340" w:after="330" w:line="578" w:lineRule="auto"/>
      <w:outlineLvl w:val="0"/>
    </w:pPr>
    <w:rPr>
      <w:b/>
      <w:bCs/>
      <w:kern w:val="44"/>
      <w:sz w:val="44"/>
      <w:szCs w:val="44"/>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unhideWhenUsed/>
    <w:uiPriority w:val="0"/>
    <w:pPr>
      <w:spacing w:after="120" w:afterLines="0" w:afterAutospacing="0"/>
    </w:pPr>
  </w:style>
  <w:style w:type="paragraph" w:styleId="4">
    <w:name w:val="annotation text"/>
    <w:basedOn w:val="1"/>
    <w:link w:val="15"/>
    <w:qFormat/>
    <w:uiPriority w:val="0"/>
    <w:pPr>
      <w:jc w:val="left"/>
    </w:pPr>
  </w:style>
  <w:style w:type="paragraph" w:styleId="5">
    <w:name w:val="Balloon Text"/>
    <w:basedOn w:val="1"/>
    <w:link w:val="17"/>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1"/>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styleId="9">
    <w:name w:val="annotation subject"/>
    <w:basedOn w:val="4"/>
    <w:next w:val="4"/>
    <w:link w:val="16"/>
    <w:qFormat/>
    <w:uiPriority w:val="0"/>
    <w:rPr>
      <w:b/>
      <w:bCs/>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bCs/>
    </w:rPr>
  </w:style>
  <w:style w:type="character" w:styleId="14">
    <w:name w:val="annotation reference"/>
    <w:basedOn w:val="12"/>
    <w:qFormat/>
    <w:uiPriority w:val="0"/>
    <w:rPr>
      <w:sz w:val="21"/>
      <w:szCs w:val="21"/>
    </w:rPr>
  </w:style>
  <w:style w:type="character" w:customStyle="1" w:styleId="15">
    <w:name w:val="批注文字 字符"/>
    <w:basedOn w:val="12"/>
    <w:link w:val="4"/>
    <w:qFormat/>
    <w:uiPriority w:val="0"/>
    <w:rPr>
      <w:kern w:val="2"/>
      <w:sz w:val="21"/>
      <w:szCs w:val="24"/>
    </w:rPr>
  </w:style>
  <w:style w:type="character" w:customStyle="1" w:styleId="16">
    <w:name w:val="批注主题 字符"/>
    <w:basedOn w:val="15"/>
    <w:link w:val="9"/>
    <w:qFormat/>
    <w:uiPriority w:val="0"/>
    <w:rPr>
      <w:b/>
      <w:bCs/>
      <w:kern w:val="2"/>
      <w:sz w:val="21"/>
      <w:szCs w:val="24"/>
    </w:rPr>
  </w:style>
  <w:style w:type="character" w:customStyle="1" w:styleId="17">
    <w:name w:val="批注框文本 字符"/>
    <w:basedOn w:val="12"/>
    <w:link w:val="5"/>
    <w:qFormat/>
    <w:uiPriority w:val="0"/>
    <w:rPr>
      <w:kern w:val="2"/>
      <w:sz w:val="18"/>
      <w:szCs w:val="18"/>
    </w:rPr>
  </w:style>
  <w:style w:type="paragraph" w:customStyle="1" w:styleId="18">
    <w:name w:val="修订1"/>
    <w:hidden/>
    <w:semiHidden/>
    <w:qFormat/>
    <w:uiPriority w:val="99"/>
    <w:rPr>
      <w:rFonts w:ascii="Times New Roman" w:hAnsi="Times New Roman" w:eastAsia="宋体" w:cs="Times New Roman"/>
      <w:kern w:val="2"/>
      <w:sz w:val="21"/>
      <w:szCs w:val="24"/>
      <w:lang w:val="en-US" w:eastAsia="zh-CN" w:bidi="ar-SA"/>
    </w:rPr>
  </w:style>
  <w:style w:type="paragraph" w:styleId="19">
    <w:name w:val="List Paragraph"/>
    <w:basedOn w:val="1"/>
    <w:qFormat/>
    <w:uiPriority w:val="99"/>
    <w:pPr>
      <w:ind w:firstLine="420" w:firstLineChars="200"/>
    </w:pPr>
  </w:style>
  <w:style w:type="character" w:customStyle="1" w:styleId="20">
    <w:name w:val="页眉 字符"/>
    <w:basedOn w:val="12"/>
    <w:link w:val="7"/>
    <w:qFormat/>
    <w:uiPriority w:val="0"/>
    <w:rPr>
      <w:kern w:val="2"/>
      <w:sz w:val="18"/>
      <w:szCs w:val="18"/>
    </w:rPr>
  </w:style>
  <w:style w:type="character" w:customStyle="1" w:styleId="21">
    <w:name w:val="HTML 预设格式 字符"/>
    <w:basedOn w:val="12"/>
    <w:link w:val="8"/>
    <w:qFormat/>
    <w:uiPriority w:val="99"/>
    <w:rPr>
      <w:rFonts w:ascii="宋体" w:hAnsi="宋体"/>
      <w:sz w:val="24"/>
      <w:szCs w:val="24"/>
    </w:rPr>
  </w:style>
  <w:style w:type="character" w:customStyle="1" w:styleId="22">
    <w:name w:val="name"/>
    <w:basedOn w:val="12"/>
    <w:qFormat/>
    <w:uiPriority w:val="0"/>
  </w:style>
  <w:style w:type="table" w:customStyle="1" w:styleId="23">
    <w:name w:val="网格型1"/>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
    <w:name w:val="标题 1 字符"/>
    <w:basedOn w:val="12"/>
    <w:link w:val="3"/>
    <w:qFormat/>
    <w:uiPriority w:val="0"/>
    <w:rPr>
      <w:b/>
      <w:bCs/>
      <w:kern w:val="44"/>
      <w:sz w:val="44"/>
      <w:szCs w:val="44"/>
    </w:rPr>
  </w:style>
  <w:style w:type="paragraph" w:customStyle="1" w:styleId="25">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3</Pages>
  <Words>2418</Words>
  <Characters>13784</Characters>
  <Lines>114</Lines>
  <Paragraphs>32</Paragraphs>
  <TotalTime>2956</TotalTime>
  <ScaleCrop>false</ScaleCrop>
  <LinksUpToDate>false</LinksUpToDate>
  <CharactersWithSpaces>16170</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2026-02-11T09:21:11Z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1B91C5EB150743FC93A8AD9CE8312A8A</vt:lpwstr>
  </property>
</Properties>
</file>