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50C92">
      <w:pPr>
        <w:jc w:val="center"/>
        <w:rPr>
          <w:rFonts w:ascii="微软雅黑" w:eastAsia="微软雅黑"/>
          <w:sz w:val="44"/>
          <w:szCs w:val="44"/>
        </w:rPr>
      </w:pPr>
    </w:p>
    <w:p w14:paraId="293FCFEA">
      <w:pPr>
        <w:jc w:val="center"/>
        <w:rPr>
          <w:rFonts w:ascii="微软雅黑" w:eastAsia="微软雅黑"/>
          <w:sz w:val="44"/>
          <w:szCs w:val="44"/>
        </w:rPr>
      </w:pPr>
    </w:p>
    <w:p w14:paraId="73781F00">
      <w:pPr>
        <w:jc w:val="center"/>
        <w:rPr>
          <w:rFonts w:hint="eastAsia" w:ascii="微软雅黑" w:eastAsia="微软雅黑"/>
          <w:sz w:val="44"/>
          <w:szCs w:val="44"/>
        </w:rPr>
      </w:pPr>
      <w:r>
        <w:rPr>
          <w:rFonts w:hint="eastAsia" w:ascii="微软雅黑" w:eastAsia="微软雅黑"/>
          <w:sz w:val="44"/>
          <w:szCs w:val="44"/>
          <w:lang w:eastAsia="zh-CN"/>
        </w:rPr>
        <w:t>麦盖提</w:t>
      </w:r>
      <w:r>
        <w:rPr>
          <w:rFonts w:hint="eastAsia" w:ascii="微软雅黑" w:eastAsia="微软雅黑"/>
          <w:sz w:val="44"/>
          <w:szCs w:val="44"/>
        </w:rPr>
        <w:t>县</w:t>
      </w:r>
      <w:r>
        <w:rPr>
          <w:rFonts w:hint="default" w:ascii="微软雅黑" w:eastAsia="微软雅黑"/>
          <w:sz w:val="44"/>
          <w:szCs w:val="44"/>
          <w:lang w:val="en-US"/>
        </w:rPr>
        <w:t>202</w:t>
      </w:r>
      <w:r>
        <w:rPr>
          <w:rFonts w:hint="eastAsia" w:ascii="微软雅黑" w:eastAsia="微软雅黑"/>
          <w:sz w:val="44"/>
          <w:szCs w:val="44"/>
          <w:lang w:val="en-US" w:eastAsia="zh-CN"/>
        </w:rPr>
        <w:t>5</w:t>
      </w:r>
      <w:r>
        <w:rPr>
          <w:rFonts w:hint="eastAsia" w:ascii="微软雅黑" w:eastAsia="微软雅黑"/>
          <w:sz w:val="44"/>
          <w:szCs w:val="44"/>
        </w:rPr>
        <w:t>年度</w:t>
      </w:r>
      <w:r>
        <w:rPr>
          <w:rFonts w:hint="eastAsia" w:ascii="微软雅黑" w:eastAsia="微软雅黑"/>
          <w:sz w:val="44"/>
          <w:szCs w:val="44"/>
          <w:lang w:eastAsia="zh-CN"/>
        </w:rPr>
        <w:t>巩固拓展脱贫攻坚成果和乡村振兴项目</w:t>
      </w:r>
      <w:r>
        <w:rPr>
          <w:rFonts w:hint="eastAsia" w:ascii="微软雅黑" w:eastAsia="微软雅黑"/>
          <w:sz w:val="44"/>
          <w:szCs w:val="44"/>
        </w:rPr>
        <w:t>实施方案</w:t>
      </w:r>
    </w:p>
    <w:p w14:paraId="3B8E9D1B">
      <w:pPr>
        <w:rPr>
          <w:rFonts w:ascii="微软雅黑" w:eastAsia="微软雅黑"/>
          <w:sz w:val="44"/>
          <w:szCs w:val="44"/>
        </w:rPr>
      </w:pPr>
    </w:p>
    <w:p w14:paraId="367234FC">
      <w:pPr>
        <w:rPr>
          <w:rFonts w:ascii="微软雅黑" w:eastAsia="微软雅黑"/>
          <w:sz w:val="44"/>
          <w:szCs w:val="44"/>
        </w:rPr>
      </w:pPr>
    </w:p>
    <w:p w14:paraId="451EDFF7">
      <w:pPr>
        <w:rPr>
          <w:rFonts w:ascii="微软雅黑" w:eastAsia="微软雅黑"/>
          <w:sz w:val="44"/>
          <w:szCs w:val="44"/>
        </w:rPr>
      </w:pPr>
    </w:p>
    <w:p w14:paraId="2A3E8AFC">
      <w:pPr>
        <w:rPr>
          <w:rFonts w:ascii="微软雅黑" w:eastAsia="微软雅黑"/>
          <w:sz w:val="44"/>
          <w:szCs w:val="44"/>
        </w:rPr>
      </w:pPr>
    </w:p>
    <w:p w14:paraId="67ADF75C">
      <w:pPr>
        <w:rPr>
          <w:rFonts w:ascii="微软雅黑" w:eastAsia="微软雅黑"/>
          <w:sz w:val="44"/>
          <w:szCs w:val="44"/>
        </w:rPr>
      </w:pPr>
    </w:p>
    <w:p w14:paraId="45AE61AF">
      <w:pPr>
        <w:rPr>
          <w:rFonts w:ascii="微软雅黑" w:eastAsia="微软雅黑"/>
          <w:sz w:val="44"/>
          <w:szCs w:val="44"/>
        </w:rPr>
      </w:pPr>
    </w:p>
    <w:p w14:paraId="3F192B8A">
      <w:pPr>
        <w:rPr>
          <w:rFonts w:ascii="微软雅黑" w:eastAsia="微软雅黑"/>
          <w:sz w:val="44"/>
          <w:szCs w:val="44"/>
        </w:rPr>
      </w:pPr>
    </w:p>
    <w:p w14:paraId="373B88A3">
      <w:pPr>
        <w:rPr>
          <w:rFonts w:ascii="微软雅黑" w:eastAsia="微软雅黑"/>
          <w:sz w:val="44"/>
          <w:szCs w:val="44"/>
        </w:rPr>
      </w:pPr>
    </w:p>
    <w:p w14:paraId="0FBD4245">
      <w:pPr>
        <w:spacing w:line="560" w:lineRule="exact"/>
        <w:ind w:left="1277" w:leftChars="608"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pacing w:val="-11"/>
          <w:sz w:val="32"/>
          <w:szCs w:val="32"/>
          <w:lang w:eastAsia="zh-CN"/>
        </w:rPr>
        <w:t>麦盖提县乡村振兴配套农畜基础设施建设项目（</w:t>
      </w:r>
      <w:r>
        <w:rPr>
          <w:rFonts w:hint="eastAsia" w:ascii="方正仿宋_GBK" w:hAnsi="方正仿宋_GBK" w:eastAsia="方正仿宋_GBK" w:cs="方正仿宋_GBK"/>
          <w:spacing w:val="-11"/>
          <w:sz w:val="32"/>
          <w:szCs w:val="32"/>
          <w:lang w:val="en-US" w:eastAsia="zh-CN"/>
        </w:rPr>
        <w:t>二期</w:t>
      </w:r>
      <w:r>
        <w:rPr>
          <w:rFonts w:hint="eastAsia" w:ascii="方正仿宋_GBK" w:hAnsi="方正仿宋_GBK" w:eastAsia="方正仿宋_GBK" w:cs="方正仿宋_GBK"/>
          <w:spacing w:val="-11"/>
          <w:sz w:val="32"/>
          <w:szCs w:val="32"/>
          <w:lang w:eastAsia="zh-CN"/>
        </w:rPr>
        <w:t>）</w:t>
      </w:r>
    </w:p>
    <w:p w14:paraId="71F56397">
      <w:pPr>
        <w:spacing w:line="560" w:lineRule="exact"/>
        <w:ind w:firstLine="1280" w:firstLine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项目主管单位：麦盖提县农业农村局  </w:t>
      </w:r>
      <w:r>
        <w:rPr>
          <w:rFonts w:hint="eastAsia" w:ascii="方正仿宋_GBK" w:hAnsi="方正仿宋_GBK" w:eastAsia="方正仿宋_GBK" w:cs="方正仿宋_GBK"/>
          <w:sz w:val="32"/>
          <w:szCs w:val="32"/>
          <w:lang w:val="en-US" w:eastAsia="zh-CN"/>
        </w:rPr>
        <w:t>陈  珉</w:t>
      </w:r>
    </w:p>
    <w:p w14:paraId="0BC487E1">
      <w:pPr>
        <w:spacing w:line="560" w:lineRule="exact"/>
        <w:ind w:firstLine="1280" w:firstLineChars="4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项目实施单位：麦盖提县农业农村局  </w:t>
      </w:r>
      <w:r>
        <w:rPr>
          <w:rFonts w:hint="eastAsia" w:ascii="方正仿宋_GBK" w:hAnsi="方正仿宋_GBK" w:eastAsia="方正仿宋_GBK" w:cs="方正仿宋_GBK"/>
          <w:sz w:val="32"/>
          <w:szCs w:val="32"/>
          <w:lang w:val="en-US" w:eastAsia="zh-CN"/>
        </w:rPr>
        <w:t>赵龙</w:t>
      </w:r>
    </w:p>
    <w:p w14:paraId="0FF1A702">
      <w:pPr>
        <w:spacing w:line="560" w:lineRule="exact"/>
        <w:ind w:firstLine="1280" w:firstLine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编制时间：</w:t>
      </w: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月</w:t>
      </w:r>
    </w:p>
    <w:p w14:paraId="468104B6">
      <w:pPr>
        <w:spacing w:line="560" w:lineRule="exact"/>
        <w:ind w:firstLine="1280" w:firstLineChars="400"/>
        <w:rPr>
          <w:rFonts w:ascii="微软雅黑" w:hAnsi="微软雅黑" w:eastAsia="微软雅黑"/>
          <w:sz w:val="32"/>
          <w:szCs w:val="32"/>
        </w:rPr>
      </w:pPr>
    </w:p>
    <w:p w14:paraId="3FE2797E">
      <w:pPr>
        <w:spacing w:after="240" w:afterLines="100" w:line="500" w:lineRule="exact"/>
        <w:jc w:val="both"/>
        <w:rPr>
          <w:rFonts w:hint="eastAsia" w:ascii="微软雅黑" w:eastAsia="微软雅黑"/>
          <w:sz w:val="36"/>
          <w:szCs w:val="36"/>
        </w:rPr>
      </w:pPr>
    </w:p>
    <w:p w14:paraId="079EE107">
      <w:pPr>
        <w:keepNext w:val="0"/>
        <w:keepLines w:val="0"/>
        <w:pageBreakBefore w:val="0"/>
        <w:kinsoku/>
        <w:wordWrap/>
        <w:overflowPunct/>
        <w:topLinePunct w:val="0"/>
        <w:autoSpaceDE/>
        <w:autoSpaceDN/>
        <w:bidi w:val="0"/>
        <w:adjustRightInd/>
        <w:snapToGrid/>
        <w:spacing w:after="240" w:afterLines="100" w:line="57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eastAsia="zh-CN"/>
        </w:rPr>
        <w:t>麦盖提县乡村振兴配套农畜基础设施建设项目（二期）</w:t>
      </w:r>
      <w:r>
        <w:rPr>
          <w:rFonts w:hint="eastAsia" w:ascii="方正小标宋_GBK" w:hAnsi="方正小标宋_GBK" w:eastAsia="方正小标宋_GBK" w:cs="方正小标宋_GBK"/>
          <w:sz w:val="40"/>
          <w:szCs w:val="40"/>
        </w:rPr>
        <w:t>实施方案</w:t>
      </w:r>
    </w:p>
    <w:p w14:paraId="1CAA9EB4">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1.基本情况</w:t>
      </w:r>
    </w:p>
    <w:p w14:paraId="48BC33C1">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1.1项目库编号</w:t>
      </w:r>
    </w:p>
    <w:p w14:paraId="68B43D50">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MGT-2025-007</w:t>
      </w:r>
    </w:p>
    <w:p w14:paraId="1E9FED7E">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1.2项目名称</w:t>
      </w:r>
    </w:p>
    <w:p w14:paraId="63A81D64">
      <w:pPr>
        <w:pStyle w:val="13"/>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麦盖提县乡村振兴配套农畜基础设施建设项目（二期）</w:t>
      </w:r>
    </w:p>
    <w:p w14:paraId="13B57011">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1.3项目主管单位</w:t>
      </w:r>
    </w:p>
    <w:p w14:paraId="17EBFAF6">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麦盖提县农业农村局  陈  珉</w:t>
      </w:r>
    </w:p>
    <w:p w14:paraId="707A546E">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1.4项目实施单位</w:t>
      </w:r>
    </w:p>
    <w:p w14:paraId="1E1495E0">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麦盖提县农业农村局  赵龙</w:t>
      </w:r>
    </w:p>
    <w:p w14:paraId="25BB0F15">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1.5项目建设性质</w:t>
      </w:r>
    </w:p>
    <w:p w14:paraId="7F6957FA">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新建</w:t>
      </w:r>
    </w:p>
    <w:p w14:paraId="7A62288C">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1.6项目类别</w:t>
      </w:r>
    </w:p>
    <w:p w14:paraId="448D7551">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产业发展</w:t>
      </w:r>
    </w:p>
    <w:p w14:paraId="07612770">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1.7 项目建设内容</w:t>
      </w:r>
    </w:p>
    <w:p w14:paraId="61D85198">
      <w:pPr>
        <w:pStyle w:val="13"/>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实施麦盖提县乡村振兴配套农畜基础设施建设项目（二期），投资5000万元。本项目计划新建农畜基础设施0.95万平方米，其中农业基础设施0.73万平方米，主要包含餐饮区2座、附属用房2座；畜牧基础设施0.22万平方米，主要包含附属用房2座、牛羊牲畜区7座；完善场区相关附属设施。</w:t>
      </w:r>
    </w:p>
    <w:p w14:paraId="79A8221C">
      <w:pPr>
        <w:pStyle w:val="13"/>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1.8项目建设期限</w:t>
      </w:r>
    </w:p>
    <w:p w14:paraId="01BC2C39">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2025年5月—2025年11月</w:t>
      </w:r>
    </w:p>
    <w:p w14:paraId="76344614">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1.9项目建设地点及基本情况</w:t>
      </w:r>
    </w:p>
    <w:p w14:paraId="7C8BA9A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val="en-US" w:eastAsia="zh-CN"/>
        </w:rPr>
        <w:t>9</w:t>
      </w:r>
      <w:r>
        <w:rPr>
          <w:rFonts w:hint="eastAsia" w:ascii="方正仿宋_GBK" w:hAnsi="方正仿宋_GBK" w:eastAsia="方正仿宋_GBK" w:cs="方正仿宋_GBK"/>
          <w:b/>
          <w:bCs/>
          <w:sz w:val="32"/>
          <w:szCs w:val="32"/>
        </w:rPr>
        <w:t>.1项目建设地点</w:t>
      </w:r>
    </w:p>
    <w:p w14:paraId="4069FE2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麦盖提县尕孜库勒乡吐普硝村</w:t>
      </w:r>
    </w:p>
    <w:p w14:paraId="0A4FBA9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val="en-US" w:eastAsia="zh-CN"/>
        </w:rPr>
        <w:t>9</w:t>
      </w:r>
      <w:r>
        <w:rPr>
          <w:rFonts w:hint="eastAsia" w:ascii="方正仿宋_GBK" w:hAnsi="方正仿宋_GBK" w:eastAsia="方正仿宋_GBK" w:cs="方正仿宋_GBK"/>
          <w:b/>
          <w:bCs/>
          <w:sz w:val="32"/>
          <w:szCs w:val="32"/>
        </w:rPr>
        <w:t>.2基本情况</w:t>
      </w:r>
    </w:p>
    <w:p w14:paraId="6E7F3EF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麦盖提县位于新疆维吾尔自治区西南部、喀喇昆仑山的北麓、叶尔羌河和提孜那甫河的中下游、塔克拉玛干大沙漠西南边缘，南邻叶城、西接莎车、岳普湖、北接巴楚、东到皮山县，南北宽136公里，东西长160公里，总面积15200平方公里，其中农林区划面积1152.89平方公里，沙漠面积14047.11平方公里。麦盖提县城距首府乌鲁木齐市1410公里，距喀什市178公里，与邻近县交通便利。</w:t>
      </w:r>
    </w:p>
    <w:p w14:paraId="5BA2C9C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麦盖提县是一个以农业为主，农林牧渔结合的绿洲灌溉农业区，县辖八乡二镇，两个国有林场，140个村民委员会。近年以来，全县大力发展设施农业，通过发展蔬菜特色产业，已初步形成农民群众多元化增收的格局，蔬菜产业发展前景广阔。目前全县现有日光温室1964座、大田拱棚7865座、庭院拱棚22972座，2024年种植蔬菜面积5万亩，其中露地蔬菜面积3万亩，保护地设施蔬菜面积2万亩。全县牲畜存栏43.84万头只，其中：存栏牛7.68万头、羊35.14万只；全县牲畜出栏38.8万头只，其中：出栏牛3.25万头、羊33.53万只；存栏家禽142.75万只（羽），出栏家禽 379.57万只（羽）。肉类总产量达1.61万吨；奶产量0.6920万吨；蛋产量0.34万吨。2024年在尕孜库勒乡6村、克孜勒阿瓦提乡21村建设了两个农畜交易市场。通过建设配套农畜产业基础设施，加强了我县一体化产业链的建设，促进麦盖提县农业现代化，保障食品安全，促进农民增收，提高农畜竞争力，推动区域经济发展。</w:t>
      </w:r>
    </w:p>
    <w:p w14:paraId="2CC311DD">
      <w:pPr>
        <w:pStyle w:val="13"/>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2.项目立项情况</w:t>
      </w:r>
    </w:p>
    <w:p w14:paraId="7F66EA2B">
      <w:pPr>
        <w:pStyle w:val="13"/>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2.1项目建设依据</w:t>
      </w:r>
    </w:p>
    <w:p w14:paraId="7BB7F5C7">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习近平总书记在中央政治局常委会会议专题研究“三农”工作时指出，应对各种风险挑战，必须着眼国家战略需要，稳住农业基本盘、做好“三农”工作，措施要硬，执行力要强，确保稳产保供，确保农业农村稳定发展。保障好初级产品供给是一个重大战略性问题，要真正落实“菜篮子”市长负责制，确保蔬菜等农副产品供给安全。乡村振兴的前提是巩固拓展脱贫攻坚成果，要持续抓紧抓好，让脱贫群众生活更上一层楼。要持续推动同乡村振兴战略有机衔接，确保不发生规模性返贫，切实维护和巩固脱贫攻坚战的伟大成就。《中共中央、国务院关于实现巩固拓展脱贫攻坚成果同乡村振兴有效衔接的意见》（中发〔2020〕30号）指出，打赢脱贫攻坚战、全面建成小康社会后，要进一步巩固拓展脱贫攻坚成果，接续推动脱贫地区发展和乡村全面振兴，支持脱贫地区乡村特色产业发展壮大，注重产业后续长期培育，尊重市场规律和产业发展规律，提高产业市场竞争力和抗风险能力；要延续脱贫攻坚期间各项人才智力支持政策，建立健全引导各类人才服务乡村振兴长效机制；现代农业产业园、科技园、产业融合发展示范园继续优先支持脱贫县。《全国乡村产业发展规划（2020—2025年）》指出，要注重产业融合，发展二三产业，延伸产业链条，促进主体融合、业态融合和利益融合，提升农产品加工业，完善产业结构，优化空间布局，促进产业升级。</w:t>
      </w:r>
    </w:p>
    <w:p w14:paraId="19838DAF">
      <w:pPr>
        <w:pStyle w:val="13"/>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2.2立项批复的建设内容及规模</w:t>
      </w:r>
    </w:p>
    <w:p w14:paraId="077DD207">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本项目计划新建农畜基础设施0.95万平方米，其中农业基础设施0.73万平方米，主要包含餐饮区2座、附属用房2座；畜牧基础设施0.22万平方米，主要包含附属用房2座、牛羊牲畜区7座；完善场区相关附属设施。</w:t>
      </w:r>
    </w:p>
    <w:p w14:paraId="7A0FD0D9">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2.3项目建设的必要性和可行性</w:t>
      </w:r>
    </w:p>
    <w:p w14:paraId="781485D3">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2.</w:t>
      </w:r>
      <w:r>
        <w:rPr>
          <w:rFonts w:hint="eastAsia" w:ascii="方正仿宋_GBK" w:hAnsi="方正仿宋_GBK" w:eastAsia="方正仿宋_GBK" w:cs="方正仿宋_GBK"/>
          <w:b/>
          <w:bCs/>
          <w:sz w:val="32"/>
          <w:szCs w:val="32"/>
          <w:highlight w:val="none"/>
          <w:lang w:val="en-US" w:eastAsia="zh-CN"/>
        </w:rPr>
        <w:t>3</w:t>
      </w:r>
      <w:r>
        <w:rPr>
          <w:rFonts w:hint="eastAsia" w:ascii="方正仿宋_GBK" w:hAnsi="方正仿宋_GBK" w:eastAsia="方正仿宋_GBK" w:cs="方正仿宋_GBK"/>
          <w:b/>
          <w:bCs/>
          <w:sz w:val="32"/>
          <w:szCs w:val="32"/>
          <w:highlight w:val="none"/>
        </w:rPr>
        <w:t>.1 项目建设是畜牧业发展规划的需要</w:t>
      </w:r>
    </w:p>
    <w:p w14:paraId="1C565B1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全国农产品批发市场发展规划纲要》《农产品批发市场建设与管理指南》提出的战略目标，支持重点农产品批发市场建设和升级改造，建设大市场，联结大网络，搞活大流通；加大对大宗农产品仓储设施建设力度，完善鲜活农产品冷链物流体系，支持大型涉农企业投资建设农产品物流设施；也对市场公平交易、科学监管提出了具体规范和要求，这为农产品交易市场的建设和发展提供了政策导向。</w:t>
      </w:r>
    </w:p>
    <w:p w14:paraId="10B4416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lang w:val="en-US" w:eastAsia="zh-CN"/>
        </w:rPr>
        <w:t>提出围绕新疆实施经济社会跨越式发展和长治久安战略赋予畜牧业工作的新内涵、新使命，以持续快速增加农牧民收入为核心，以市场为导向，以转变发展方式和结构调整为主线，坚持统筹规划、科学布局、突出重点、分类指导，依靠科技进步和体制机制创新，构建以主要农畜产品优势产业带为基础，全面提升第一产业的综合生产能力、抵御风险能力和市场竞争能力。针对不同产区的生态条件和生产实际</w:t>
      </w:r>
      <w:r>
        <w:rPr>
          <w:rFonts w:hint="eastAsia" w:ascii="方正仿宋_GBK" w:hAnsi="方正仿宋_GBK" w:eastAsia="方正仿宋_GBK" w:cs="方正仿宋_GBK"/>
          <w:b w:val="0"/>
          <w:bCs w:val="0"/>
          <w:sz w:val="32"/>
          <w:szCs w:val="32"/>
          <w:highlight w:val="none"/>
          <w:lang w:eastAsia="zh-CN"/>
        </w:rPr>
        <w:t>，加强生产实用技术的组装配套，增强第一产业生产技术的适用性、整装性和先进性。有针对性地培训和推广工作，扩大第一产业先进实用技术的应用覆盖面，提高从业者的劳动就业技能和科技素质。因此，项目的提出是麦盖提县发展现代农业的必然要求。</w:t>
      </w:r>
    </w:p>
    <w:p w14:paraId="01E3563E">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w:t>
      </w:r>
      <w:r>
        <w:rPr>
          <w:rFonts w:hint="eastAsia" w:ascii="方正仿宋_GBK" w:hAnsi="方正仿宋_GBK" w:eastAsia="方正仿宋_GBK" w:cs="方正仿宋_GBK"/>
          <w:b/>
          <w:bCs/>
          <w:sz w:val="32"/>
          <w:szCs w:val="32"/>
          <w:highlight w:val="none"/>
          <w:lang w:val="en-US" w:eastAsia="zh-CN"/>
        </w:rPr>
        <w:t>3</w:t>
      </w:r>
      <w:r>
        <w:rPr>
          <w:rFonts w:hint="eastAsia" w:ascii="方正仿宋_GBK" w:hAnsi="方正仿宋_GBK" w:eastAsia="方正仿宋_GBK" w:cs="方正仿宋_GBK"/>
          <w:b/>
          <w:bCs/>
          <w:sz w:val="32"/>
          <w:szCs w:val="32"/>
          <w:highlight w:val="none"/>
        </w:rPr>
        <w:t>.2 项目建设是推进产业化的需要</w:t>
      </w:r>
    </w:p>
    <w:p w14:paraId="3F5F0AF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项目建设是调整农业和农村经济结构，促进农业增效和农民增收的需要。尤其是把完善农贸交易市场建设作为健全农产品市场体系、切实解决农产品及农资买卖难的问题、促进农民增收、带动农民致富的重要措施来抓。项目建设充分发挥资源优势和产业优势，进一步落实产业政策是推动当地经济持续健康发展的迫切需要。</w:t>
      </w:r>
    </w:p>
    <w:p w14:paraId="67DA83F1">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w:t>
      </w:r>
      <w:r>
        <w:rPr>
          <w:rFonts w:hint="eastAsia" w:ascii="方正仿宋_GBK" w:hAnsi="方正仿宋_GBK" w:eastAsia="方正仿宋_GBK" w:cs="方正仿宋_GBK"/>
          <w:b/>
          <w:bCs/>
          <w:sz w:val="32"/>
          <w:szCs w:val="32"/>
          <w:highlight w:val="none"/>
          <w:lang w:val="en-US" w:eastAsia="zh-CN"/>
        </w:rPr>
        <w:t>3</w:t>
      </w:r>
      <w:r>
        <w:rPr>
          <w:rFonts w:hint="eastAsia" w:ascii="方正仿宋_GBK" w:hAnsi="方正仿宋_GBK" w:eastAsia="方正仿宋_GBK" w:cs="方正仿宋_GBK"/>
          <w:b/>
          <w:bCs/>
          <w:sz w:val="32"/>
          <w:szCs w:val="32"/>
          <w:highlight w:val="none"/>
        </w:rPr>
        <w:t xml:space="preserve">.3 项目建设是促进农业经济增长的需要 </w:t>
      </w:r>
    </w:p>
    <w:p w14:paraId="3FD0E5B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麦盖提县农业经济结构以种植业、林果业、畜牧业为主，如何快速、持续、稳定发展经济，带动当地农民脱贫致富，已成为麦盖提县发展的主要课题。由于麦盖提县为农业大县，发展农贸市场，势必能开辟多渠道的增收途径。这样，不仅解决了农业结构单一的问题，且能促使农业经济可持续增长</w:t>
      </w:r>
      <w:r>
        <w:rPr>
          <w:rFonts w:hint="eastAsia" w:ascii="方正仿宋_GBK" w:hAnsi="方正仿宋_GBK" w:eastAsia="方正仿宋_GBK" w:cs="方正仿宋_GBK"/>
          <w:b w:val="0"/>
          <w:bCs w:val="0"/>
          <w:sz w:val="32"/>
          <w:szCs w:val="32"/>
          <w:highlight w:val="none"/>
          <w:lang w:eastAsia="zh-CN"/>
        </w:rPr>
        <w:t>。</w:t>
      </w:r>
    </w:p>
    <w:p w14:paraId="3248D714">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2.</w:t>
      </w:r>
      <w:r>
        <w:rPr>
          <w:rFonts w:hint="eastAsia" w:ascii="方正仿宋_GBK" w:hAnsi="方正仿宋_GBK" w:eastAsia="方正仿宋_GBK" w:cs="方正仿宋_GBK"/>
          <w:b/>
          <w:bCs/>
          <w:sz w:val="32"/>
          <w:szCs w:val="32"/>
          <w:highlight w:val="none"/>
          <w:lang w:val="en-US" w:eastAsia="zh-CN"/>
        </w:rPr>
        <w:t>3</w:t>
      </w:r>
      <w:r>
        <w:rPr>
          <w:rFonts w:hint="eastAsia" w:ascii="方正仿宋_GBK" w:hAnsi="方正仿宋_GBK" w:eastAsia="方正仿宋_GBK" w:cs="方正仿宋_GBK"/>
          <w:b/>
          <w:bCs/>
          <w:sz w:val="32"/>
          <w:szCs w:val="32"/>
          <w:highlight w:val="none"/>
        </w:rPr>
        <w:t>.4 项目建设是保障羊肉市场的需要</w:t>
      </w:r>
      <w:r>
        <w:rPr>
          <w:rFonts w:hint="eastAsia" w:ascii="方正仿宋_GBK" w:hAnsi="方正仿宋_GBK" w:eastAsia="方正仿宋_GBK" w:cs="方正仿宋_GBK"/>
          <w:sz w:val="32"/>
          <w:szCs w:val="32"/>
          <w:highlight w:val="none"/>
        </w:rPr>
        <w:t xml:space="preserve"> </w:t>
      </w:r>
    </w:p>
    <w:p w14:paraId="5B7DC8E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项目的实施对保证区域满足各族人民日益增长的消费需求起到重要作用，对于增加第一产业收入比重，加快农牧民脱贫致富奔小康，加强民族团结，维护社会稳定，构建和谐 社会具有重大意义。</w:t>
      </w:r>
    </w:p>
    <w:p w14:paraId="21902A6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因此项目实施是必要的、可行的。</w:t>
      </w:r>
    </w:p>
    <w:p w14:paraId="533FC6C3">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2.4综合条件评价</w:t>
      </w:r>
    </w:p>
    <w:p w14:paraId="43CD454F">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麦盖提县乡村振兴配套农畜基础设施建设项目（二期）地点位于尕孜库勒乡6村农畜交易市场，交通便捷，已完成项目用地手续办理，县人民政府已出具《关于同意划拨麦盖提县乡村振兴配套农畜基础设施建设项目用地的批复》麦政函〔2024〕54号。</w:t>
      </w:r>
    </w:p>
    <w:p w14:paraId="46D30B81">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3.施工设计（设计或技术方案）</w:t>
      </w:r>
    </w:p>
    <w:p w14:paraId="3C517804">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3.1项目设计（技术依据）</w:t>
      </w:r>
    </w:p>
    <w:p w14:paraId="76EC842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1、发改委批准文件</w:t>
      </w:r>
    </w:p>
    <w:p w14:paraId="63A3A5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2、现行的国家有关建筑设计规范、规程和规定。</w:t>
      </w:r>
    </w:p>
    <w:p w14:paraId="663D138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《建筑结构可靠性设计统一标准》GB50068-2018</w:t>
      </w:r>
    </w:p>
    <w:p w14:paraId="3CCCB8D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《建筑结构荷载规范》GB50009-2012</w:t>
      </w:r>
    </w:p>
    <w:p w14:paraId="651A0EA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《建筑抗震设计规范》GB50011-2010(2016年版</w:t>
      </w:r>
      <w:r>
        <w:rPr>
          <w:rFonts w:hint="eastAsia" w:ascii="方正仿宋_GBK" w:hAnsi="方正仿宋_GBK" w:eastAsia="方正仿宋_GBK" w:cs="方正仿宋_GBK"/>
          <w:sz w:val="32"/>
          <w:szCs w:val="32"/>
          <w:lang w:eastAsia="zh-CN"/>
        </w:rPr>
        <w:t>）</w:t>
      </w:r>
    </w:p>
    <w:p w14:paraId="6786194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《混凝土结构设计规范》GB50010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20102015年版</w:t>
      </w:r>
    </w:p>
    <w:p w14:paraId="1C706F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《混凝土结构工程施工质量验收规范》GB50204-2015</w:t>
      </w:r>
    </w:p>
    <w:p w14:paraId="7CA8D2C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《砌体结构通用规范》GB55007-2021</w:t>
      </w:r>
    </w:p>
    <w:p w14:paraId="2900FA1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《砌体结构工程施工质量验收规范》GB50203-2011</w:t>
      </w:r>
    </w:p>
    <w:p w14:paraId="07DD6FB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《建筑地基基础设计规范》GB50007-2011:</w:t>
      </w:r>
    </w:p>
    <w:p w14:paraId="6F824C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《建筑地基基础工程施工质量验收标准》GB50202-2018</w:t>
      </w:r>
    </w:p>
    <w:p w14:paraId="28EEDC0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《墙体材料应用统一技术规范》GB50574-2010</w:t>
      </w:r>
    </w:p>
    <w:p w14:paraId="23DF621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《工业建筑防腐蚀设计标准》GB/T50046-2018</w:t>
      </w:r>
    </w:p>
    <w:p w14:paraId="31C70E6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《建筑与市政工程无障碍通用规范》(GB55019-2021)</w:t>
      </w:r>
    </w:p>
    <w:p w14:paraId="425C703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《建筑地面设计规范》GB50037-2013</w:t>
      </w:r>
    </w:p>
    <w:p w14:paraId="4FB9C78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《坡屋面工程技术规范》GB50693-2011</w:t>
      </w:r>
    </w:p>
    <w:p w14:paraId="373FB4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《建筑工程建筑面积计算规范》GB/T50353-2013</w:t>
      </w:r>
    </w:p>
    <w:p w14:paraId="0531F54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《民用建筑设计统一标准》GB50352-2019《民用建筑通用规范》GB 55031-2022</w:t>
      </w:r>
    </w:p>
    <w:p w14:paraId="3FACE3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《屋面工程技术规范》GB50345-2012</w:t>
      </w:r>
    </w:p>
    <w:p w14:paraId="121B7DA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《屋面工程质量验收规范》GB50207-2012</w:t>
      </w:r>
    </w:p>
    <w:p w14:paraId="7482797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《民用建筑隔声设计规范》GB50118-2010</w:t>
      </w:r>
    </w:p>
    <w:p w14:paraId="6FDD443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《压型金属板建筑构造》17J925-1</w:t>
      </w:r>
    </w:p>
    <w:p w14:paraId="1093F3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《建筑工程建筑面积计算规范》(GB/T50353-2013)</w:t>
      </w:r>
    </w:p>
    <w:p w14:paraId="5CCAD03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《中华人民共和国工程建设标准强制性条文》(2013年版</w:t>
      </w:r>
      <w:r>
        <w:rPr>
          <w:rFonts w:hint="eastAsia" w:ascii="方正仿宋_GBK" w:hAnsi="方正仿宋_GBK" w:eastAsia="方正仿宋_GBK" w:cs="方正仿宋_GBK"/>
          <w:sz w:val="32"/>
          <w:szCs w:val="32"/>
          <w:lang w:eastAsia="zh-CN"/>
        </w:rPr>
        <w:t>）</w:t>
      </w:r>
    </w:p>
    <w:p w14:paraId="7CD1DF3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《门式</w:t>
      </w:r>
      <w:r>
        <w:rPr>
          <w:rFonts w:hint="eastAsia" w:ascii="方正仿宋_GBK" w:hAnsi="方正仿宋_GBK" w:eastAsia="方正仿宋_GBK" w:cs="方正仿宋_GBK"/>
          <w:sz w:val="32"/>
          <w:szCs w:val="32"/>
          <w:lang w:eastAsia="zh-CN"/>
        </w:rPr>
        <w:t>钢</w:t>
      </w:r>
      <w:r>
        <w:rPr>
          <w:rFonts w:hint="eastAsia" w:ascii="方正仿宋_GBK" w:hAnsi="方正仿宋_GBK" w:eastAsia="方正仿宋_GBK" w:cs="方正仿宋_GBK"/>
          <w:sz w:val="32"/>
          <w:szCs w:val="32"/>
        </w:rPr>
        <w:t>架轻型房屋钢结构技术规范》GB51022-2015</w:t>
      </w:r>
    </w:p>
    <w:p w14:paraId="02988E6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其他现行的国家有关建筑设计规范、规程和规定</w:t>
      </w:r>
    </w:p>
    <w:p w14:paraId="178E1031">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3.2建设内容、规模、标准、投资设计等明细资料</w:t>
      </w:r>
    </w:p>
    <w:p w14:paraId="6640200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3.2.1建设内容、规模</w:t>
      </w:r>
    </w:p>
    <w:p w14:paraId="0562870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本项目计划新建农畜基础设施0.95万平方米，其中农业基础设施0.73万平方米，主要包含餐饮区2座、附属用房2座；畜牧基础设施0.22万平方米，主要包含附属用房2座、牛羊牲畜区7座；完善场区相关附属设施。</w:t>
      </w:r>
    </w:p>
    <w:p w14:paraId="6D0BB32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3.2.2建设标准</w:t>
      </w:r>
    </w:p>
    <w:p w14:paraId="43DB923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1、结构类型：钢架结构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砖混结构</w:t>
      </w:r>
    </w:p>
    <w:p w14:paraId="0DEA69C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2、建筑层数及高度：地上</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层。</w:t>
      </w:r>
    </w:p>
    <w:p w14:paraId="5DB6D95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3.2.3投资设计</w:t>
      </w:r>
    </w:p>
    <w:p w14:paraId="546CC70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经测算，需投资5000万元，其中：工程费用4468.6万元，占总投资89%，第三方服务费262.74万元，占总投资5%，基本预备费268.66万元，占总投资0.05%。</w:t>
      </w:r>
    </w:p>
    <w:p w14:paraId="7CBD6CC8">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4.投资概算和资金筹措</w:t>
      </w:r>
    </w:p>
    <w:p w14:paraId="7BC4F82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rPr>
        <w:t>4.1项目总投资：</w:t>
      </w:r>
      <w:r>
        <w:rPr>
          <w:rFonts w:hint="eastAsia" w:ascii="方正仿宋_GBK" w:hAnsi="方正仿宋_GBK" w:eastAsia="方正仿宋_GBK" w:cs="方正仿宋_GBK"/>
          <w:sz w:val="32"/>
          <w:szCs w:val="32"/>
          <w:lang w:val="en-US" w:eastAsia="zh-CN"/>
        </w:rPr>
        <w:t>5000万元</w:t>
      </w:r>
    </w:p>
    <w:p w14:paraId="63473F3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FF0000"/>
          <w:sz w:val="32"/>
          <w:szCs w:val="32"/>
          <w:highlight w:val="none"/>
          <w:lang w:val="en-US" w:eastAsia="zh-CN"/>
        </w:rPr>
      </w:pPr>
      <w:r>
        <w:rPr>
          <w:rFonts w:hint="eastAsia" w:ascii="方正仿宋_GBK" w:hAnsi="方正仿宋_GBK" w:eastAsia="方正仿宋_GBK" w:cs="方正仿宋_GBK"/>
          <w:b w:val="0"/>
          <w:bCs w:val="0"/>
          <w:kern w:val="2"/>
          <w:sz w:val="32"/>
          <w:szCs w:val="32"/>
          <w:lang w:val="en-US" w:eastAsia="zh-CN" w:bidi="ar-SA"/>
        </w:rPr>
        <w:t>本项目总投资为5000万元，其中：工程费用4468.6万元，第三方服务费262.74万元，基本预备费268.66万元。</w:t>
      </w:r>
    </w:p>
    <w:p w14:paraId="7BBEAA8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4.2资金筹措：</w:t>
      </w:r>
      <w:r>
        <w:rPr>
          <w:rFonts w:hint="eastAsia" w:ascii="方正仿宋_GBK" w:hAnsi="方正仿宋_GBK" w:eastAsia="方正仿宋_GBK" w:cs="方正仿宋_GBK"/>
          <w:sz w:val="32"/>
          <w:szCs w:val="32"/>
          <w:lang w:val="en-US" w:eastAsia="zh-CN"/>
        </w:rPr>
        <w:t>财政衔接推进乡村振兴补助</w:t>
      </w:r>
      <w:r>
        <w:rPr>
          <w:rFonts w:hint="eastAsia" w:ascii="方正仿宋_GBK" w:hAnsi="方正仿宋_GBK" w:eastAsia="方正仿宋_GBK" w:cs="方正仿宋_GBK"/>
          <w:sz w:val="32"/>
          <w:szCs w:val="32"/>
        </w:rPr>
        <w:t>资金</w:t>
      </w:r>
    </w:p>
    <w:p w14:paraId="4873837C">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项目概算表</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
        <w:gridCol w:w="1798"/>
        <w:gridCol w:w="951"/>
        <w:gridCol w:w="867"/>
        <w:gridCol w:w="772"/>
        <w:gridCol w:w="925"/>
        <w:gridCol w:w="446"/>
        <w:gridCol w:w="898"/>
        <w:gridCol w:w="897"/>
        <w:gridCol w:w="1064"/>
      </w:tblGrid>
      <w:tr w14:paraId="314B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2A593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序号</w:t>
            </w:r>
          </w:p>
        </w:tc>
        <w:tc>
          <w:tcPr>
            <w:tcW w:w="1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69E2D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工程或费用名称</w:t>
            </w:r>
          </w:p>
        </w:tc>
        <w:tc>
          <w:tcPr>
            <w:tcW w:w="3515" w:type="dxa"/>
            <w:gridSpan w:val="4"/>
            <w:tcBorders>
              <w:top w:val="single" w:color="000000" w:sz="4" w:space="0"/>
              <w:left w:val="single" w:color="000000" w:sz="4" w:space="0"/>
              <w:bottom w:val="single" w:color="000000" w:sz="4" w:space="0"/>
              <w:right w:val="single" w:color="000000" w:sz="4" w:space="0"/>
            </w:tcBorders>
            <w:noWrap w:val="0"/>
            <w:vAlign w:val="center"/>
          </w:tcPr>
          <w:p w14:paraId="203447F3">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估算价值（万元）</w:t>
            </w:r>
          </w:p>
        </w:tc>
        <w:tc>
          <w:tcPr>
            <w:tcW w:w="2241" w:type="dxa"/>
            <w:gridSpan w:val="3"/>
            <w:tcBorders>
              <w:top w:val="single" w:color="000000" w:sz="4" w:space="0"/>
              <w:left w:val="single" w:color="000000" w:sz="4" w:space="0"/>
              <w:bottom w:val="single" w:color="000000" w:sz="4" w:space="0"/>
              <w:right w:val="single" w:color="000000" w:sz="4" w:space="0"/>
            </w:tcBorders>
            <w:noWrap w:val="0"/>
            <w:vAlign w:val="center"/>
          </w:tcPr>
          <w:p w14:paraId="7790442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技术经济指标</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D7A6393">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占项目总投资比例（%）</w:t>
            </w:r>
          </w:p>
        </w:tc>
      </w:tr>
      <w:tr w14:paraId="2224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797A8">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32"/>
                <w:szCs w:val="32"/>
                <w:u w:val="none"/>
              </w:rPr>
            </w:pPr>
          </w:p>
        </w:tc>
        <w:tc>
          <w:tcPr>
            <w:tcW w:w="1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0ABDD">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32"/>
                <w:szCs w:val="32"/>
                <w:u w:val="none"/>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0394A013">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建安工程费</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38D61A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工器具及设备购置费</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33D19BC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其他费用</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A95F9C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合计</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6EA10E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单位</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9502ED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数量</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983031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32"/>
                <w:szCs w:val="32"/>
                <w:u w:val="none"/>
              </w:rPr>
            </w:pPr>
            <w:r>
              <w:rPr>
                <w:rFonts w:hint="eastAsia" w:ascii="方正仿宋_GBK" w:hAnsi="方正仿宋_GBK" w:eastAsia="方正仿宋_GBK" w:cs="方正仿宋_GBK"/>
                <w:b/>
                <w:bCs/>
                <w:i w:val="0"/>
                <w:iCs w:val="0"/>
                <w:color w:val="auto"/>
                <w:kern w:val="0"/>
                <w:sz w:val="32"/>
                <w:szCs w:val="32"/>
                <w:u w:val="none"/>
                <w:lang w:val="en-US" w:eastAsia="zh-CN" w:bidi="ar"/>
              </w:rPr>
              <w:t>单位指标（元）</w:t>
            </w: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BD944">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32"/>
                <w:szCs w:val="32"/>
                <w:u w:val="none"/>
              </w:rPr>
            </w:pPr>
          </w:p>
        </w:tc>
      </w:tr>
      <w:tr w14:paraId="0C20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79A401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Ⅰ</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700766B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工程费用</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5501E0E">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kern w:val="0"/>
                <w:sz w:val="24"/>
                <w:szCs w:val="24"/>
                <w:u w:val="none"/>
                <w:lang w:val="en-US" w:eastAsia="zh-CN" w:bidi="ar"/>
              </w:rPr>
            </w:pPr>
            <w:r>
              <w:rPr>
                <w:rFonts w:hint="eastAsia" w:ascii="方正仿宋_GBK" w:hAnsi="方正仿宋_GBK" w:eastAsia="方正仿宋_GBK" w:cs="方正仿宋_GBK"/>
                <w:b/>
                <w:bCs/>
                <w:i w:val="0"/>
                <w:iCs w:val="0"/>
                <w:color w:val="auto"/>
                <w:kern w:val="0"/>
                <w:sz w:val="24"/>
                <w:szCs w:val="24"/>
                <w:u w:val="none"/>
                <w:lang w:val="en-US" w:eastAsia="zh-CN" w:bidi="ar"/>
              </w:rPr>
              <w:t>4558.46</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64B1E4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0.00 </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6C3A22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0.00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E6DD71D">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4558.46</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573B89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FC56DAD">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9529</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C73E103">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EEFF63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91.17%</w:t>
            </w:r>
          </w:p>
        </w:tc>
      </w:tr>
      <w:tr w14:paraId="2EF7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21AC1E9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一</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5BBC6AA6">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农业基础设施</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5CCBA3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1962.03</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4BCE74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CEB528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FE7F8B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1962.03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B10519D">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46B932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7345</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56F9781">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D746C60">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138B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4B0A750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二</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2212667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畜牧基础设施</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B4A441E">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248.63</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2352C99">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357FDE1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0.00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F5589B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248.63</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6EB975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4BC040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2184</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58EF87A">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E50741D">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5303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525654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三</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57CB53E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室外附属工程</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576EE3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2347.8</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602B82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0.00 </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212342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0.00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0310AED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2347.8</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545BFD5">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E3AFE02">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1BDBA3F">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743545D">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63A0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F68C6D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Ⅱ</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2E2E8BA6">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工程建设其他费用</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A241F0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0.00 </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09A291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0.00 </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418D2C49">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345.96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3FDF90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345.96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E07D30B">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iCs w:val="0"/>
                <w:color w:val="auto"/>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6EC72BB">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iCs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FFD8CBD">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29F231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6.92%</w:t>
            </w:r>
          </w:p>
        </w:tc>
      </w:tr>
      <w:tr w14:paraId="0FF8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ACBEEA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6EAF397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可研报告编制费（含可研报告评审费）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4DBD78B">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80734B1">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1D64A92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10.00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78D434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10.00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2689BB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E274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38B6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0.22%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1E50200">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5E90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449E674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7C34F47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初步设计编制费（含初步设计评审费）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3626DED">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D7FB046">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D1498D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49.17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0A81250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49.17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A449A5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DACC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0F18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1.08%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54D23E3">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0C41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4806004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3</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5E7C394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工程测绘费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A9D03D4">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006B3FB">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7921B6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8.00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4388789">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8.00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5CAEBA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C75B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3202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0.18%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70279D5">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55DC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575E6AF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4</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231C2ABE">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工程勘察费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A6E0C98">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57FF336">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5521B27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39.00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15A6B3E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39.00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5E0D2F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BE04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88DD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0.86%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2323400">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5B60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542D541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53AFCAD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工程设计费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CD28F97">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07FA9D3">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03FB6676">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114.73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2351EC9">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114.73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2DA5DC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C288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F387D">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2.52%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44A62BE">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1CF2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4634D7CE">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6</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462E710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预算评审费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6A93DA0">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3FDD9FD">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3FFB443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7.11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BE0BAE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7.11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3E2991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7F13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4C4EE">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0.16%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EA4B72E">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5BF0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08543B09">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7</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1A99331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工程审计费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132AB6F9">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BEDA5B1">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1D531ED">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19.95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406A3A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19.95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A4565B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F24B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2A429">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0.44%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6E10BB8">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50E1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71D6ED6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8</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0C58A0F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财务决算费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2BCB578C">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1979763">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1E5C83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6.00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140AECA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6.00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0DDCDE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A6C6D">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F0799">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0.13%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456DA96">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7FD3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2A0C5763">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9</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41B8B71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施工图审查费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2307599A">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8A88D84">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1C23F19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2.00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0EB935F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2.00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879969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B3EC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6A586">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0.04%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EBF2F98">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5987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0CF7A11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1EE4071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建设工程监理费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DCC199B">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0BD431F">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3549633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70.00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F49063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70.00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053FE9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E0DA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A7DB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1.54%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E3B3F9B">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68DD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575AD60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11</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4B40AAB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水土保持投资费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B1E423D">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122EB77">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5C0CBBF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10.00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71D49D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10.00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006E9F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7BF1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EDDE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0.22%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A7A2D18">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576F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2C9B5F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12</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1FA108B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招标代理服务费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D94CA68">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BD716DC">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37F716C1">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10.00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D0B025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10.00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3E99E2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AA9F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4558.46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0C193">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0.22%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EE56B6C">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bCs/>
                <w:i w:val="0"/>
                <w:iCs w:val="0"/>
                <w:color w:val="auto"/>
                <w:sz w:val="24"/>
                <w:szCs w:val="24"/>
                <w:u w:val="none"/>
              </w:rPr>
            </w:pPr>
          </w:p>
        </w:tc>
      </w:tr>
      <w:tr w14:paraId="79DC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3826F4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Ⅲ</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7807560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基本预备费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547EFE6">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0.00 </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C0DCA5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0.00 </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A33DDD6">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95.58</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0E4E0E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95.58</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22682E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704F5E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1.95%</w:t>
            </w:r>
          </w:p>
        </w:tc>
        <w:tc>
          <w:tcPr>
            <w:tcW w:w="897" w:type="dxa"/>
            <w:tcBorders>
              <w:top w:val="single" w:color="000000" w:sz="4" w:space="0"/>
              <w:left w:val="single" w:color="000000" w:sz="4" w:space="0"/>
              <w:bottom w:val="single" w:color="000000" w:sz="4" w:space="0"/>
              <w:right w:val="single" w:color="000000" w:sz="4" w:space="0"/>
            </w:tcBorders>
            <w:noWrap/>
            <w:vAlign w:val="center"/>
          </w:tcPr>
          <w:p w14:paraId="4C94ABD8">
            <w:pPr>
              <w:keepNext w:val="0"/>
              <w:keepLines w:val="0"/>
              <w:pageBreakBefore w:val="0"/>
              <w:kinsoku/>
              <w:wordWrap/>
              <w:overflowPunct/>
              <w:topLinePunct w:val="0"/>
              <w:autoSpaceDE/>
              <w:autoSpaceDN/>
              <w:bidi w:val="0"/>
              <w:adjustRightInd/>
              <w:snapToGrid/>
              <w:spacing w:line="570" w:lineRule="exact"/>
              <w:rPr>
                <w:rFonts w:hint="eastAsia" w:ascii="方正仿宋_GBK" w:hAnsi="方正仿宋_GBK" w:eastAsia="方正仿宋_GBK" w:cs="方正仿宋_GBK"/>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FE5266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1.91%</w:t>
            </w:r>
          </w:p>
        </w:tc>
      </w:tr>
      <w:tr w14:paraId="1DF7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0E32AE6">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Ⅳ</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14:paraId="662589FB">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项目总投资</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DA8741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4647.95 </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C6F678E">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0.00 </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4D12A79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352.05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E228F9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 xml:space="preserve">5000.00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7C6F13E">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iCs w:val="0"/>
                <w:color w:val="auto"/>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601B38C">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iCs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78FC7D0">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iCs w:val="0"/>
                <w:color w:val="auto"/>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A21EC46">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100.00%</w:t>
            </w:r>
          </w:p>
        </w:tc>
      </w:tr>
    </w:tbl>
    <w:p w14:paraId="5369B929">
      <w:pPr>
        <w:pStyle w:val="13"/>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4.3资金使用和管理</w:t>
      </w:r>
    </w:p>
    <w:p w14:paraId="6774A988">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衔接资金</w:t>
      </w:r>
      <w:r>
        <w:rPr>
          <w:rFonts w:hint="eastAsia" w:ascii="方正仿宋_GBK" w:hAnsi="方正仿宋_GBK" w:eastAsia="方正仿宋_GBK" w:cs="方正仿宋_GBK"/>
          <w:sz w:val="32"/>
          <w:szCs w:val="32"/>
        </w:rPr>
        <w:t>使用和管理应按照</w:t>
      </w:r>
      <w:r>
        <w:rPr>
          <w:rFonts w:hint="eastAsia" w:ascii="方正仿宋_GBK" w:hAnsi="方正仿宋_GBK" w:eastAsia="方正仿宋_GBK" w:cs="方正仿宋_GBK"/>
          <w:sz w:val="32"/>
          <w:szCs w:val="32"/>
          <w:lang w:eastAsia="zh-CN"/>
        </w:rPr>
        <w:t>《中央财政衔接推进乡村振兴补助资金管理办法》（财农〔2021〕19号）、</w:t>
      </w:r>
      <w:r>
        <w:rPr>
          <w:rFonts w:hint="eastAsia" w:ascii="方正仿宋_GBK" w:hAnsi="方正仿宋_GBK" w:eastAsia="方正仿宋_GBK" w:cs="方正仿宋_GBK"/>
          <w:sz w:val="32"/>
          <w:szCs w:val="32"/>
        </w:rPr>
        <w:t>《新疆维吾尔自治区财政资金衔接推进乡村振兴补助资金（巩固拓展脱贫攻坚成果和乡村振兴任务）项目管理办法（暂行）》（新乡振〔2021〕32号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、《新疆维吾尔自治区财政衔接推进乡村振兴补助资金管理办法》（新财规〔2021〕11号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等相关文件要求。项目实施单位依据项目计划和实施进度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提出支付申请并提供相关真实、合规的证明材料，制定资金使用计划，经审核后按照国库集中支付管理制度的规定和程序及时支付资金。从国库直接支付到</w:t>
      </w:r>
      <w:r>
        <w:rPr>
          <w:rFonts w:hint="eastAsia" w:ascii="方正仿宋_GBK" w:hAnsi="方正仿宋_GBK" w:eastAsia="方正仿宋_GBK" w:cs="方正仿宋_GBK"/>
          <w:sz w:val="32"/>
          <w:szCs w:val="32"/>
          <w:lang w:val="en-US" w:eastAsia="zh-CN"/>
        </w:rPr>
        <w:t>衔接资金</w:t>
      </w:r>
      <w:r>
        <w:rPr>
          <w:rFonts w:hint="eastAsia" w:ascii="方正仿宋_GBK" w:hAnsi="方正仿宋_GBK" w:eastAsia="方正仿宋_GBK" w:cs="方正仿宋_GBK"/>
          <w:sz w:val="32"/>
          <w:szCs w:val="32"/>
        </w:rPr>
        <w:t>项目承担的企业。严格执行专款专用，杜绝挤占、挪用项目资金，严禁虚列支出、以拨代支虚增项目进度。项目资金支付后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在审计或检查中发现资金使用存在违法违规问题的，应及时追回、收回。对资金使用严格监管，防止资金使用不精准、虚报冒领。为加快资金支出进度，</w:t>
      </w:r>
      <w:r>
        <w:rPr>
          <w:rFonts w:hint="eastAsia" w:ascii="方正仿宋_GBK" w:hAnsi="方正仿宋_GBK" w:eastAsia="方正仿宋_GBK" w:cs="方正仿宋_GBK"/>
          <w:sz w:val="32"/>
          <w:szCs w:val="32"/>
          <w:lang w:val="en-US" w:eastAsia="zh-CN"/>
        </w:rPr>
        <w:t>衔接资金</w:t>
      </w:r>
      <w:r>
        <w:rPr>
          <w:rFonts w:hint="eastAsia" w:ascii="方正仿宋_GBK" w:hAnsi="方正仿宋_GBK" w:eastAsia="方正仿宋_GBK" w:cs="方正仿宋_GBK"/>
          <w:sz w:val="32"/>
          <w:szCs w:val="32"/>
        </w:rPr>
        <w:t>项目可实行预付款制，预付资金总额合计原则上不超过应付该项目资金总额的50%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基础建设类项目预付资金原则上不超过合同金额的30%。</w:t>
      </w:r>
    </w:p>
    <w:p w14:paraId="4A80AEB2">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5.项目实施保障措施</w:t>
      </w:r>
    </w:p>
    <w:p w14:paraId="78DE57D8">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5.1组织领导机构</w:t>
      </w:r>
    </w:p>
    <w:p w14:paraId="0E516C24">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为切实加快推进</w:t>
      </w:r>
      <w:r>
        <w:rPr>
          <w:rFonts w:hint="eastAsia" w:ascii="方正仿宋_GBK" w:hAnsi="方正仿宋_GBK" w:eastAsia="方正仿宋_GBK" w:cs="方正仿宋_GBK"/>
          <w:sz w:val="32"/>
          <w:szCs w:val="32"/>
          <w:lang w:eastAsia="zh-CN"/>
        </w:rPr>
        <w:t>麦盖提县乡村振兴配套农畜基础设施建设项目（二期）</w:t>
      </w:r>
      <w:r>
        <w:rPr>
          <w:rFonts w:hint="eastAsia" w:ascii="方正仿宋_GBK" w:hAnsi="方正仿宋_GBK" w:eastAsia="方正仿宋_GBK" w:cs="方正仿宋_GBK"/>
          <w:sz w:val="32"/>
          <w:szCs w:val="32"/>
        </w:rPr>
        <w:t>顺利推进，成立项目推进领导小组。扎实开展项目工作。</w:t>
      </w:r>
    </w:p>
    <w:p w14:paraId="349CFA00">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领导小组成员名单：</w:t>
      </w:r>
    </w:p>
    <w:p w14:paraId="5DE7FEC5">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长：陈建丽（农业农村局党组书记、副局长）</w:t>
      </w:r>
    </w:p>
    <w:p w14:paraId="4BD1DC61">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副组长：陈  珉（农业农村局局长、党组副书记）</w:t>
      </w:r>
    </w:p>
    <w:p w14:paraId="02BCDF24">
      <w:pPr>
        <w:pStyle w:val="13"/>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陈文德（农业农村局副局长、党组成员）</w:t>
      </w:r>
    </w:p>
    <w:p w14:paraId="4A014BB4">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w:t>
      </w:r>
      <w:r>
        <w:rPr>
          <w:rFonts w:hint="eastAsia" w:ascii="方正仿宋_GBK" w:hAnsi="方正仿宋_GBK" w:eastAsia="方正仿宋_GBK" w:cs="方正仿宋_GBK"/>
          <w:sz w:val="32"/>
          <w:szCs w:val="32"/>
          <w:lang w:val="en-US" w:eastAsia="zh-CN"/>
        </w:rPr>
        <w:t>赵龙</w:t>
      </w:r>
      <w:r>
        <w:rPr>
          <w:rFonts w:hint="eastAsia" w:ascii="方正仿宋_GBK" w:hAnsi="方正仿宋_GBK" w:eastAsia="方正仿宋_GBK" w:cs="方正仿宋_GBK"/>
          <w:sz w:val="32"/>
          <w:szCs w:val="32"/>
        </w:rPr>
        <w:t>（农业农村局</w:t>
      </w:r>
      <w:r>
        <w:rPr>
          <w:rFonts w:hint="eastAsia" w:ascii="方正仿宋_GBK" w:hAnsi="方正仿宋_GBK" w:eastAsia="方正仿宋_GBK" w:cs="方正仿宋_GBK"/>
          <w:sz w:val="32"/>
          <w:szCs w:val="32"/>
          <w:lang w:val="en-US" w:eastAsia="zh-CN"/>
        </w:rPr>
        <w:t>动物卫生服务站</w:t>
      </w:r>
      <w:r>
        <w:rPr>
          <w:rFonts w:hint="eastAsia" w:ascii="方正仿宋_GBK" w:hAnsi="方正仿宋_GBK" w:eastAsia="方正仿宋_GBK" w:cs="方正仿宋_GBK"/>
          <w:sz w:val="32"/>
          <w:szCs w:val="32"/>
        </w:rPr>
        <w:t>负责人）</w:t>
      </w:r>
    </w:p>
    <w:p w14:paraId="00E14785">
      <w:pPr>
        <w:pStyle w:val="13"/>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龙超</w:t>
      </w:r>
      <w:r>
        <w:rPr>
          <w:rFonts w:hint="eastAsia" w:ascii="方正仿宋_GBK" w:hAnsi="方正仿宋_GBK" w:eastAsia="方正仿宋_GBK" w:cs="方正仿宋_GBK"/>
          <w:sz w:val="32"/>
          <w:szCs w:val="32"/>
        </w:rPr>
        <w:t>（农业农村局畜牧兽医站站长）</w:t>
      </w:r>
    </w:p>
    <w:p w14:paraId="383C53BF">
      <w:pPr>
        <w:pStyle w:val="13"/>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排日古丽·阿不力孜（畜牧兽医站干部）</w:t>
      </w:r>
    </w:p>
    <w:p w14:paraId="3FBE86FE">
      <w:pPr>
        <w:pStyle w:val="13"/>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邵</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韩（畜牧兽医站干部）</w:t>
      </w:r>
    </w:p>
    <w:p w14:paraId="1E0CC1AE">
      <w:pPr>
        <w:pStyle w:val="13"/>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杰（农业农村局项目服务中心干部）</w:t>
      </w:r>
    </w:p>
    <w:p w14:paraId="0FED4149">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领导小组下设办公室，办公室设在农业农村局</w:t>
      </w:r>
      <w:r>
        <w:rPr>
          <w:rFonts w:hint="eastAsia" w:ascii="方正仿宋_GBK" w:hAnsi="方正仿宋_GBK" w:eastAsia="方正仿宋_GBK" w:cs="方正仿宋_GBK"/>
          <w:sz w:val="32"/>
          <w:szCs w:val="32"/>
          <w:lang w:val="en-US" w:eastAsia="zh-CN"/>
        </w:rPr>
        <w:t>畜牧兽医站</w:t>
      </w:r>
      <w:r>
        <w:rPr>
          <w:rFonts w:hint="eastAsia" w:ascii="方正仿宋_GBK" w:hAnsi="方正仿宋_GBK" w:eastAsia="方正仿宋_GBK" w:cs="方正仿宋_GBK"/>
          <w:sz w:val="32"/>
          <w:szCs w:val="32"/>
        </w:rPr>
        <w:t>，办公室主任由</w:t>
      </w:r>
      <w:r>
        <w:rPr>
          <w:rFonts w:hint="eastAsia" w:ascii="方正仿宋_GBK" w:hAnsi="方正仿宋_GBK" w:eastAsia="方正仿宋_GBK" w:cs="方正仿宋_GBK"/>
          <w:sz w:val="32"/>
          <w:szCs w:val="32"/>
          <w:lang w:val="en-US" w:eastAsia="zh-CN"/>
        </w:rPr>
        <w:t>赵龙</w:t>
      </w:r>
      <w:r>
        <w:rPr>
          <w:rFonts w:hint="eastAsia" w:ascii="方正仿宋_GBK" w:hAnsi="方正仿宋_GBK" w:eastAsia="方正仿宋_GBK" w:cs="方正仿宋_GBK"/>
          <w:sz w:val="32"/>
          <w:szCs w:val="32"/>
        </w:rPr>
        <w:t>同志兼任，负责项目的管理监督等日常具体工作。</w:t>
      </w:r>
    </w:p>
    <w:p w14:paraId="41EC5FDB">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5.2技术保障措施</w:t>
      </w:r>
    </w:p>
    <w:p w14:paraId="15AF9BEF">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为确保项目实施过程中顺利完成绩效目标，本局畜牧兽医站做技术保障后盾，成立技术保障小组，由</w:t>
      </w:r>
      <w:r>
        <w:rPr>
          <w:rFonts w:hint="eastAsia" w:ascii="方正仿宋_GBK" w:hAnsi="方正仿宋_GBK" w:eastAsia="方正仿宋_GBK" w:cs="方正仿宋_GBK"/>
          <w:sz w:val="32"/>
          <w:szCs w:val="32"/>
          <w:lang w:val="en-US" w:eastAsia="zh-CN"/>
        </w:rPr>
        <w:t>赵龙</w:t>
      </w:r>
      <w:r>
        <w:rPr>
          <w:rFonts w:hint="eastAsia" w:ascii="方正仿宋_GBK" w:hAnsi="方正仿宋_GBK" w:eastAsia="方正仿宋_GBK" w:cs="方正仿宋_GBK"/>
          <w:sz w:val="32"/>
          <w:szCs w:val="32"/>
        </w:rPr>
        <w:t>同志为组长，带领2名技术骨干对项目进行质量监督和后期运行提供技术保障。</w:t>
      </w:r>
    </w:p>
    <w:p w14:paraId="0BC897D7">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5.3项目管理、监督检查制度</w:t>
      </w:r>
    </w:p>
    <w:p w14:paraId="5E76FFA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根据《新疆维吾尔自治区财政资金衔接推进乡村振兴补助资金（巩固拓展脱贫攻坚成果和乡村振兴任务）项目管理办法（暂行）》（新乡振〔2021〕32号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章第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条规定：县委农村工作领导小组是项目管理工作第一责任主体，组长是第一责任人，对项目储备、计划编制、实施推进、资金管理、绩效评价、后期管护、资产管理、监督检查等各项工作负总责。为保质保量按时完成该项目，应全面落实责任分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细化管理规定，建立奖惩措施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原则上每月至少集体研究一次项目管理工作。项目建设单位应严格落实法人代表制、招投标制、政府采购制、监理制、国库集中支付、竣工验收等相关制度。根据《新疆维吾尔自治区财政资金衔接推进乡村振兴补助资金（巩固拓展脱贫攻坚成果和乡村振兴任务）项目管理办法（暂行）》（新乡振〔2021〕32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第四章第二十条</w:t>
      </w:r>
      <w:r>
        <w:rPr>
          <w:rFonts w:hint="eastAsia" w:ascii="方正仿宋_GBK" w:hAnsi="方正仿宋_GBK" w:eastAsia="方正仿宋_GBK" w:cs="方正仿宋_GBK"/>
          <w:sz w:val="32"/>
          <w:szCs w:val="32"/>
        </w:rPr>
        <w:t>规定：项目建设单位负责加强项目档案资料管理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落实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一项目一档案</w:t>
      </w:r>
      <w:r>
        <w:rPr>
          <w:rFonts w:hint="eastAsia" w:ascii="方正仿宋_GBK" w:hAnsi="方正仿宋_GBK" w:eastAsia="方正仿宋_GBK" w:cs="方正仿宋_GBK"/>
          <w:sz w:val="32"/>
          <w:szCs w:val="32"/>
          <w:lang w:eastAsia="zh-CN"/>
        </w:rPr>
        <w:t>”。</w:t>
      </w:r>
    </w:p>
    <w:p w14:paraId="6B89F06B">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5.4验收管理</w:t>
      </w:r>
    </w:p>
    <w:p w14:paraId="2EE05E45">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根据《新疆维吾尔自治区财政资金衔接推进乡村振兴补助资金（巩固拓展脱贫攻坚成果和乡村振兴任务）项目管理办法（暂行）》（新乡振〔2021〕32号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等相关文件要求，坚持项目竣工验收制度，遵照属地管理、“谁审批、谁验收”的原则</w:t>
      </w:r>
      <w:r>
        <w:rPr>
          <w:rFonts w:hint="eastAsia" w:ascii="方正仿宋_GBK" w:hAnsi="方正仿宋_GBK" w:eastAsia="方正仿宋_GBK" w:cs="方正仿宋_GBK"/>
          <w:sz w:val="32"/>
          <w:szCs w:val="32"/>
          <w:lang w:eastAsia="zh-CN"/>
        </w:rPr>
        <w:t>，项目建设单位应于项目完工并全面自查自验项目实施情况后10日内，向县级项目竣工验收评价工作领导小组提交竣工验收申请报告，提请县级领导小组开展竣工验收工作。</w:t>
      </w:r>
      <w:r>
        <w:rPr>
          <w:rFonts w:hint="eastAsia" w:ascii="方正仿宋_GBK" w:hAnsi="方正仿宋_GBK" w:eastAsia="方正仿宋_GBK" w:cs="方正仿宋_GBK"/>
          <w:sz w:val="32"/>
          <w:szCs w:val="32"/>
        </w:rPr>
        <w:t>未通过竣工验收的项目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由县级项目竣工验收评价工作领导小组督促项目建设单位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采取针对性措施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原则上应于1个月内完成整改。因主观原因导致项目未正常通过竣工验收的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应严肃追究责任</w:t>
      </w:r>
      <w:r>
        <w:rPr>
          <w:rFonts w:hint="eastAsia" w:ascii="方正仿宋_GBK" w:hAnsi="方正仿宋_GBK" w:eastAsia="方正仿宋_GBK" w:cs="方正仿宋_GBK"/>
          <w:sz w:val="32"/>
          <w:szCs w:val="32"/>
          <w:lang w:eastAsia="zh-CN"/>
        </w:rPr>
        <w:t>。</w:t>
      </w:r>
    </w:p>
    <w:p w14:paraId="35C6414C">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5.5运营模式和运营管理</w:t>
      </w:r>
    </w:p>
    <w:p w14:paraId="70F4EFDC">
      <w:pPr>
        <w:pStyle w:val="13"/>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项目建成后，固定资产归村集体所有，项目年收益率不低于同期银行贷款利率，收益用于支持巩固拓展脱贫攻坚成果。</w:t>
      </w:r>
    </w:p>
    <w:p w14:paraId="2813E573">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5.6</w:t>
      </w:r>
      <w:r>
        <w:rPr>
          <w:rFonts w:hint="eastAsia" w:ascii="方正仿宋_GBK" w:hAnsi="方正仿宋_GBK" w:eastAsia="方正仿宋_GBK" w:cs="方正仿宋_GBK"/>
          <w:b/>
          <w:bCs/>
          <w:sz w:val="32"/>
          <w:szCs w:val="32"/>
          <w:lang w:val="en-US" w:eastAsia="zh-CN"/>
        </w:rPr>
        <w:t>利益联结机制</w:t>
      </w:r>
    </w:p>
    <w:p w14:paraId="1D3D1B5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SA"/>
        </w:rPr>
        <w:t>本项目的实施，可以起到以贸促农的积极作用，通过市场把生产和销售联系起来，把生产者与消费者联系起来，促进当地蔬菜、活畜及畜产品的生产和流通，市场可以及时把农户的产品推销出去，把农户需要的生产资料运进来，满足农业产业化生产所需的社会化服务，同时也为农村剩余劳动力分流和城市待业人员就业提供了机会，施工期间预计可带动本地务工人数约100人以上。</w:t>
      </w:r>
    </w:p>
    <w:p w14:paraId="278B6195">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6.项目实施进度</w:t>
      </w:r>
    </w:p>
    <w:p w14:paraId="39A0AF14">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6.1项目实施进度计划</w:t>
      </w:r>
    </w:p>
    <w:p w14:paraId="6E2E0E8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项目实施期为10个月，即2025年2月—2025年11月，实施进度如下：</w:t>
      </w:r>
    </w:p>
    <w:p w14:paraId="52D6F4D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2025年2月19日—5月31日，办理项目前期，包括选址、测绘、地勘、环评、设计、审图、评审、挂网等，完成招标、准备施工。 </w:t>
      </w:r>
    </w:p>
    <w:p w14:paraId="2CFC7EC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2025年6月1日—10月31日，完成项目施工，竣工验收，完成结算审计，按审定价的100%支付项目资金，撰写项目工作总结、将项目档案整理归档、保存，资产移交工作。</w:t>
      </w:r>
    </w:p>
    <w:p w14:paraId="7994B9A9">
      <w:pPr>
        <w:pStyle w:val="13"/>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6.2招标方案</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2"/>
        <w:gridCol w:w="995"/>
        <w:gridCol w:w="994"/>
        <w:gridCol w:w="873"/>
        <w:gridCol w:w="874"/>
        <w:gridCol w:w="874"/>
        <w:gridCol w:w="874"/>
        <w:gridCol w:w="1104"/>
        <w:gridCol w:w="946"/>
      </w:tblGrid>
      <w:tr w14:paraId="4450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5EA11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类别</w:t>
            </w:r>
          </w:p>
        </w:tc>
        <w:tc>
          <w:tcPr>
            <w:tcW w:w="1989" w:type="dxa"/>
            <w:gridSpan w:val="2"/>
            <w:tcBorders>
              <w:top w:val="single" w:color="000000" w:sz="4" w:space="0"/>
              <w:left w:val="single" w:color="000000" w:sz="4" w:space="0"/>
              <w:bottom w:val="single" w:color="000000" w:sz="4" w:space="0"/>
              <w:right w:val="single" w:color="000000" w:sz="4" w:space="0"/>
            </w:tcBorders>
            <w:noWrap w:val="0"/>
            <w:vAlign w:val="center"/>
          </w:tcPr>
          <w:p w14:paraId="7DDD1D7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招标范围</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14:paraId="0C3351A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招标组织形式</w:t>
            </w:r>
          </w:p>
        </w:tc>
        <w:tc>
          <w:tcPr>
            <w:tcW w:w="1748" w:type="dxa"/>
            <w:gridSpan w:val="2"/>
            <w:tcBorders>
              <w:top w:val="single" w:color="000000" w:sz="4" w:space="0"/>
              <w:left w:val="single" w:color="000000" w:sz="4" w:space="0"/>
              <w:bottom w:val="single" w:color="000000" w:sz="4" w:space="0"/>
              <w:right w:val="single" w:color="000000" w:sz="4" w:space="0"/>
            </w:tcBorders>
            <w:noWrap w:val="0"/>
            <w:vAlign w:val="center"/>
          </w:tcPr>
          <w:p w14:paraId="79540F85">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招标方式</w:t>
            </w:r>
          </w:p>
        </w:tc>
        <w:tc>
          <w:tcPr>
            <w:tcW w:w="11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6DA56DF">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不 采 用</w:t>
            </w:r>
            <w:r>
              <w:rPr>
                <w:rFonts w:hint="eastAsia" w:ascii="方正仿宋_GBK" w:hAnsi="方正仿宋_GBK" w:eastAsia="方正仿宋_GBK" w:cs="方正仿宋_GBK"/>
                <w:b/>
                <w:i w:val="0"/>
                <w:color w:val="000000"/>
                <w:kern w:val="0"/>
                <w:sz w:val="24"/>
                <w:szCs w:val="24"/>
                <w:u w:val="none"/>
                <w:lang w:val="en-US" w:eastAsia="zh-CN" w:bidi="ar-SA"/>
              </w:rPr>
              <w:br w:type="textWrapping"/>
            </w:r>
            <w:r>
              <w:rPr>
                <w:rFonts w:hint="eastAsia" w:ascii="方正仿宋_GBK" w:hAnsi="方正仿宋_GBK" w:eastAsia="方正仿宋_GBK" w:cs="方正仿宋_GBK"/>
                <w:b/>
                <w:i w:val="0"/>
                <w:color w:val="000000"/>
                <w:kern w:val="0"/>
                <w:sz w:val="24"/>
                <w:szCs w:val="24"/>
                <w:u w:val="none"/>
                <w:lang w:val="en-US" w:eastAsia="zh-CN" w:bidi="ar-SA"/>
              </w:rPr>
              <w:t>招标方式</w:t>
            </w: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7692C6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备注</w:t>
            </w:r>
          </w:p>
        </w:tc>
      </w:tr>
      <w:tr w14:paraId="58A7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4C8A9">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i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6694A1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全部</w:t>
            </w:r>
            <w:r>
              <w:rPr>
                <w:rFonts w:hint="eastAsia" w:ascii="方正仿宋_GBK" w:hAnsi="方正仿宋_GBK" w:eastAsia="方正仿宋_GBK" w:cs="方正仿宋_GBK"/>
                <w:b/>
                <w:i w:val="0"/>
                <w:color w:val="000000"/>
                <w:kern w:val="0"/>
                <w:sz w:val="24"/>
                <w:szCs w:val="24"/>
                <w:u w:val="none"/>
                <w:lang w:val="en-US" w:eastAsia="zh-CN" w:bidi="ar-SA"/>
              </w:rPr>
              <w:br w:type="textWrapping"/>
            </w:r>
            <w:r>
              <w:rPr>
                <w:rFonts w:hint="eastAsia" w:ascii="方正仿宋_GBK" w:hAnsi="方正仿宋_GBK" w:eastAsia="方正仿宋_GBK" w:cs="方正仿宋_GBK"/>
                <w:b/>
                <w:i w:val="0"/>
                <w:color w:val="000000"/>
                <w:kern w:val="0"/>
                <w:sz w:val="24"/>
                <w:szCs w:val="24"/>
                <w:u w:val="none"/>
                <w:lang w:val="en-US" w:eastAsia="zh-CN" w:bidi="ar-SA"/>
              </w:rPr>
              <w:t>招标</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EC1B8E8">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部分</w:t>
            </w:r>
            <w:r>
              <w:rPr>
                <w:rFonts w:hint="eastAsia" w:ascii="方正仿宋_GBK" w:hAnsi="方正仿宋_GBK" w:eastAsia="方正仿宋_GBK" w:cs="方正仿宋_GBK"/>
                <w:b/>
                <w:i w:val="0"/>
                <w:color w:val="000000"/>
                <w:kern w:val="0"/>
                <w:sz w:val="24"/>
                <w:szCs w:val="24"/>
                <w:u w:val="none"/>
                <w:lang w:val="en-US" w:eastAsia="zh-CN" w:bidi="ar-SA"/>
              </w:rPr>
              <w:br w:type="textWrapping"/>
            </w:r>
            <w:r>
              <w:rPr>
                <w:rFonts w:hint="eastAsia" w:ascii="方正仿宋_GBK" w:hAnsi="方正仿宋_GBK" w:eastAsia="方正仿宋_GBK" w:cs="方正仿宋_GBK"/>
                <w:b/>
                <w:i w:val="0"/>
                <w:color w:val="000000"/>
                <w:kern w:val="0"/>
                <w:sz w:val="24"/>
                <w:szCs w:val="24"/>
                <w:u w:val="none"/>
                <w:lang w:val="en-US" w:eastAsia="zh-CN" w:bidi="ar-SA"/>
              </w:rPr>
              <w:t>招标</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16A846E">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自行</w:t>
            </w:r>
            <w:r>
              <w:rPr>
                <w:rFonts w:hint="eastAsia" w:ascii="方正仿宋_GBK" w:hAnsi="方正仿宋_GBK" w:eastAsia="方正仿宋_GBK" w:cs="方正仿宋_GBK"/>
                <w:b/>
                <w:i w:val="0"/>
                <w:color w:val="000000"/>
                <w:kern w:val="0"/>
                <w:sz w:val="24"/>
                <w:szCs w:val="24"/>
                <w:u w:val="none"/>
                <w:lang w:val="en-US" w:eastAsia="zh-CN" w:bidi="ar-SA"/>
              </w:rPr>
              <w:br w:type="textWrapping"/>
            </w:r>
            <w:r>
              <w:rPr>
                <w:rFonts w:hint="eastAsia" w:ascii="方正仿宋_GBK" w:hAnsi="方正仿宋_GBK" w:eastAsia="方正仿宋_GBK" w:cs="方正仿宋_GBK"/>
                <w:b/>
                <w:i w:val="0"/>
                <w:color w:val="000000"/>
                <w:kern w:val="0"/>
                <w:sz w:val="24"/>
                <w:szCs w:val="24"/>
                <w:u w:val="none"/>
                <w:lang w:val="en-US" w:eastAsia="zh-CN" w:bidi="ar-SA"/>
              </w:rPr>
              <w:t>招标</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832F5E2">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委托</w:t>
            </w:r>
            <w:r>
              <w:rPr>
                <w:rFonts w:hint="eastAsia" w:ascii="方正仿宋_GBK" w:hAnsi="方正仿宋_GBK" w:eastAsia="方正仿宋_GBK" w:cs="方正仿宋_GBK"/>
                <w:b/>
                <w:i w:val="0"/>
                <w:color w:val="000000"/>
                <w:kern w:val="0"/>
                <w:sz w:val="24"/>
                <w:szCs w:val="24"/>
                <w:u w:val="none"/>
                <w:lang w:val="en-US" w:eastAsia="zh-CN" w:bidi="ar-SA"/>
              </w:rPr>
              <w:br w:type="textWrapping"/>
            </w:r>
            <w:r>
              <w:rPr>
                <w:rFonts w:hint="eastAsia" w:ascii="方正仿宋_GBK" w:hAnsi="方正仿宋_GBK" w:eastAsia="方正仿宋_GBK" w:cs="方正仿宋_GBK"/>
                <w:b/>
                <w:i w:val="0"/>
                <w:color w:val="000000"/>
                <w:kern w:val="0"/>
                <w:sz w:val="24"/>
                <w:szCs w:val="24"/>
                <w:u w:val="none"/>
                <w:lang w:val="en-US" w:eastAsia="zh-CN" w:bidi="ar-SA"/>
              </w:rPr>
              <w:t>招标</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27461D2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公开</w:t>
            </w:r>
            <w:r>
              <w:rPr>
                <w:rFonts w:hint="eastAsia" w:ascii="方正仿宋_GBK" w:hAnsi="方正仿宋_GBK" w:eastAsia="方正仿宋_GBK" w:cs="方正仿宋_GBK"/>
                <w:b/>
                <w:i w:val="0"/>
                <w:color w:val="000000"/>
                <w:kern w:val="0"/>
                <w:sz w:val="24"/>
                <w:szCs w:val="24"/>
                <w:u w:val="none"/>
                <w:lang w:val="en-US" w:eastAsia="zh-CN" w:bidi="ar-SA"/>
              </w:rPr>
              <w:br w:type="textWrapping"/>
            </w:r>
            <w:r>
              <w:rPr>
                <w:rFonts w:hint="eastAsia" w:ascii="方正仿宋_GBK" w:hAnsi="方正仿宋_GBK" w:eastAsia="方正仿宋_GBK" w:cs="方正仿宋_GBK"/>
                <w:b/>
                <w:i w:val="0"/>
                <w:color w:val="000000"/>
                <w:kern w:val="0"/>
                <w:sz w:val="24"/>
                <w:szCs w:val="24"/>
                <w:u w:val="none"/>
                <w:lang w:val="en-US" w:eastAsia="zh-CN" w:bidi="ar-SA"/>
              </w:rPr>
              <w:t>招标</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57AF3A4C">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SA"/>
              </w:rPr>
              <w:t>邀请</w:t>
            </w:r>
            <w:r>
              <w:rPr>
                <w:rFonts w:hint="eastAsia" w:ascii="方正仿宋_GBK" w:hAnsi="方正仿宋_GBK" w:eastAsia="方正仿宋_GBK" w:cs="方正仿宋_GBK"/>
                <w:b/>
                <w:i w:val="0"/>
                <w:color w:val="000000"/>
                <w:kern w:val="0"/>
                <w:sz w:val="24"/>
                <w:szCs w:val="24"/>
                <w:u w:val="none"/>
                <w:lang w:val="en-US" w:eastAsia="zh-CN" w:bidi="ar-SA"/>
              </w:rPr>
              <w:br w:type="textWrapping"/>
            </w:r>
            <w:r>
              <w:rPr>
                <w:rFonts w:hint="eastAsia" w:ascii="方正仿宋_GBK" w:hAnsi="方正仿宋_GBK" w:eastAsia="方正仿宋_GBK" w:cs="方正仿宋_GBK"/>
                <w:b/>
                <w:i w:val="0"/>
                <w:color w:val="000000"/>
                <w:kern w:val="0"/>
                <w:sz w:val="24"/>
                <w:szCs w:val="24"/>
                <w:u w:val="none"/>
                <w:lang w:val="en-US" w:eastAsia="zh-CN" w:bidi="ar-SA"/>
              </w:rPr>
              <w:t>招标</w:t>
            </w: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9CB3D">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i w:val="0"/>
                <w:color w:val="000000"/>
                <w:sz w:val="24"/>
                <w:szCs w:val="24"/>
                <w:u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6FF23">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i w:val="0"/>
                <w:color w:val="000000"/>
                <w:sz w:val="24"/>
                <w:szCs w:val="24"/>
                <w:u w:val="none"/>
              </w:rPr>
            </w:pPr>
          </w:p>
        </w:tc>
      </w:tr>
      <w:tr w14:paraId="7494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2F8562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i w:val="0"/>
                <w:color w:val="000000"/>
                <w:sz w:val="24"/>
                <w:szCs w:val="24"/>
                <w:u w:val="none"/>
              </w:rPr>
            </w:pPr>
            <w:r>
              <w:rPr>
                <w:rFonts w:hint="eastAsia" w:ascii="方正仿宋_GBK" w:hAnsi="方正仿宋_GBK" w:eastAsia="方正仿宋_GBK" w:cs="方正仿宋_GBK"/>
                <w:b w:val="0"/>
                <w:bCs/>
                <w:i w:val="0"/>
                <w:color w:val="000000"/>
                <w:kern w:val="0"/>
                <w:sz w:val="24"/>
                <w:szCs w:val="24"/>
                <w:u w:val="none"/>
                <w:lang w:val="en-US" w:eastAsia="zh-CN" w:bidi="ar-SA"/>
              </w:rPr>
              <w:t>勘察</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79721A2">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0367A07">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96D4B60">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3A75E270">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6E4D1707">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69FD5E6">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753DE55">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88AED42">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r>
      <w:tr w14:paraId="3C86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5D0DE5C7">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i w:val="0"/>
                <w:color w:val="000000"/>
                <w:sz w:val="24"/>
                <w:szCs w:val="24"/>
                <w:u w:val="none"/>
              </w:rPr>
            </w:pPr>
            <w:r>
              <w:rPr>
                <w:rFonts w:hint="eastAsia" w:ascii="方正仿宋_GBK" w:hAnsi="方正仿宋_GBK" w:eastAsia="方正仿宋_GBK" w:cs="方正仿宋_GBK"/>
                <w:b w:val="0"/>
                <w:bCs/>
                <w:i w:val="0"/>
                <w:color w:val="000000"/>
                <w:kern w:val="0"/>
                <w:sz w:val="24"/>
                <w:szCs w:val="24"/>
                <w:u w:val="none"/>
                <w:lang w:val="en-US" w:eastAsia="zh-CN" w:bidi="ar-SA"/>
              </w:rPr>
              <w:t>设计</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834DA51">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A551B83">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1684973">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53A3D073">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29A11507">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15AC3000">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964398">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35B3718">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r>
      <w:tr w14:paraId="45D3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FB754F4">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i w:val="0"/>
                <w:color w:val="000000"/>
                <w:sz w:val="24"/>
                <w:szCs w:val="24"/>
                <w:u w:val="none"/>
              </w:rPr>
            </w:pPr>
            <w:r>
              <w:rPr>
                <w:rFonts w:hint="eastAsia" w:ascii="方正仿宋_GBK" w:hAnsi="方正仿宋_GBK" w:eastAsia="方正仿宋_GBK" w:cs="方正仿宋_GBK"/>
                <w:b w:val="0"/>
                <w:bCs/>
                <w:i w:val="0"/>
                <w:color w:val="000000"/>
                <w:kern w:val="0"/>
                <w:sz w:val="24"/>
                <w:szCs w:val="24"/>
                <w:u w:val="none"/>
                <w:lang w:val="en-US" w:eastAsia="zh-CN" w:bidi="ar-SA"/>
              </w:rPr>
              <w:t>建筑</w:t>
            </w:r>
            <w:r>
              <w:rPr>
                <w:rFonts w:hint="eastAsia" w:ascii="方正仿宋_GBK" w:hAnsi="方正仿宋_GBK" w:eastAsia="方正仿宋_GBK" w:cs="方正仿宋_GBK"/>
                <w:b w:val="0"/>
                <w:bCs/>
                <w:i w:val="0"/>
                <w:color w:val="000000"/>
                <w:kern w:val="0"/>
                <w:sz w:val="24"/>
                <w:szCs w:val="24"/>
                <w:u w:val="none"/>
                <w:lang w:val="en-US" w:eastAsia="zh-CN" w:bidi="ar-SA"/>
              </w:rPr>
              <w:br w:type="textWrapping"/>
            </w:r>
            <w:r>
              <w:rPr>
                <w:rFonts w:hint="eastAsia" w:ascii="方正仿宋_GBK" w:hAnsi="方正仿宋_GBK" w:eastAsia="方正仿宋_GBK" w:cs="方正仿宋_GBK"/>
                <w:b w:val="0"/>
                <w:bCs/>
                <w:i w:val="0"/>
                <w:color w:val="000000"/>
                <w:kern w:val="0"/>
                <w:sz w:val="24"/>
                <w:szCs w:val="24"/>
                <w:u w:val="none"/>
                <w:lang w:val="en-US" w:eastAsia="zh-CN" w:bidi="ar-SA"/>
              </w:rPr>
              <w:t>工程</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B94BBB6">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6507034">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2202A41">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C8027FD">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CED7CE6">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4D2D491">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8A0A8E6">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E503269">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r>
      <w:tr w14:paraId="1C1F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105486D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i w:val="0"/>
                <w:color w:val="000000"/>
                <w:sz w:val="24"/>
                <w:szCs w:val="24"/>
                <w:u w:val="none"/>
              </w:rPr>
            </w:pPr>
            <w:r>
              <w:rPr>
                <w:rFonts w:hint="eastAsia" w:ascii="方正仿宋_GBK" w:hAnsi="方正仿宋_GBK" w:eastAsia="方正仿宋_GBK" w:cs="方正仿宋_GBK"/>
                <w:b w:val="0"/>
                <w:bCs/>
                <w:i w:val="0"/>
                <w:color w:val="000000"/>
                <w:kern w:val="0"/>
                <w:sz w:val="24"/>
                <w:szCs w:val="24"/>
                <w:u w:val="none"/>
                <w:lang w:val="en-US" w:eastAsia="zh-CN" w:bidi="ar-SA"/>
              </w:rPr>
              <w:t>安装</w:t>
            </w:r>
            <w:r>
              <w:rPr>
                <w:rFonts w:hint="eastAsia" w:ascii="方正仿宋_GBK" w:hAnsi="方正仿宋_GBK" w:eastAsia="方正仿宋_GBK" w:cs="方正仿宋_GBK"/>
                <w:b w:val="0"/>
                <w:bCs/>
                <w:i w:val="0"/>
                <w:color w:val="000000"/>
                <w:kern w:val="0"/>
                <w:sz w:val="24"/>
                <w:szCs w:val="24"/>
                <w:u w:val="none"/>
                <w:lang w:val="en-US" w:eastAsia="zh-CN" w:bidi="ar-SA"/>
              </w:rPr>
              <w:br w:type="textWrapping"/>
            </w:r>
            <w:r>
              <w:rPr>
                <w:rFonts w:hint="eastAsia" w:ascii="方正仿宋_GBK" w:hAnsi="方正仿宋_GBK" w:eastAsia="方正仿宋_GBK" w:cs="方正仿宋_GBK"/>
                <w:b w:val="0"/>
                <w:bCs/>
                <w:i w:val="0"/>
                <w:color w:val="000000"/>
                <w:kern w:val="0"/>
                <w:sz w:val="24"/>
                <w:szCs w:val="24"/>
                <w:u w:val="none"/>
                <w:lang w:val="en-US" w:eastAsia="zh-CN" w:bidi="ar-SA"/>
              </w:rPr>
              <w:t>工程</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35C03A13">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2877038">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02CFCD7">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78C8DA31">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226E6F52">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6BB5DB39">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6102772">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3DAC318">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r>
      <w:tr w14:paraId="3AE6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02" w:type="dxa"/>
            <w:tcBorders>
              <w:top w:val="single" w:color="000000" w:sz="4" w:space="0"/>
              <w:left w:val="single" w:color="000000" w:sz="4" w:space="0"/>
              <w:bottom w:val="single" w:color="000000" w:sz="4" w:space="0"/>
              <w:right w:val="single" w:color="000000" w:sz="4" w:space="0"/>
            </w:tcBorders>
            <w:noWrap w:val="0"/>
            <w:vAlign w:val="center"/>
          </w:tcPr>
          <w:p w14:paraId="7898870A">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i w:val="0"/>
                <w:color w:val="000000"/>
                <w:sz w:val="24"/>
                <w:szCs w:val="24"/>
                <w:u w:val="none"/>
              </w:rPr>
            </w:pPr>
            <w:r>
              <w:rPr>
                <w:rFonts w:hint="eastAsia" w:ascii="方正仿宋_GBK" w:hAnsi="方正仿宋_GBK" w:eastAsia="方正仿宋_GBK" w:cs="方正仿宋_GBK"/>
                <w:b w:val="0"/>
                <w:bCs/>
                <w:i w:val="0"/>
                <w:color w:val="000000"/>
                <w:kern w:val="0"/>
                <w:sz w:val="24"/>
                <w:szCs w:val="24"/>
                <w:u w:val="none"/>
                <w:lang w:val="en-US" w:eastAsia="zh-CN" w:bidi="ar-SA"/>
              </w:rPr>
              <w:t>监理</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EBE81A4">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14:paraId="58D1B739">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246077F">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51F10C56">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569EF72A">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8003306">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2BBE0C6">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val="0"/>
                <w:sz w:val="24"/>
                <w:szCs w:val="24"/>
                <w:highlight w:val="none"/>
              </w:rPr>
              <w:t>√</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A956329">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i w:val="0"/>
                <w:color w:val="000000"/>
                <w:sz w:val="24"/>
                <w:szCs w:val="24"/>
                <w:u w:val="none"/>
              </w:rPr>
            </w:pPr>
          </w:p>
        </w:tc>
      </w:tr>
    </w:tbl>
    <w:p w14:paraId="3822B8F1">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6.3项目公告公示</w:t>
      </w:r>
    </w:p>
    <w:p w14:paraId="15A3770B">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衔接资金</w:t>
      </w:r>
      <w:r>
        <w:rPr>
          <w:rFonts w:hint="eastAsia" w:ascii="方正仿宋_GBK" w:hAnsi="方正仿宋_GBK" w:eastAsia="方正仿宋_GBK" w:cs="方正仿宋_GBK"/>
          <w:sz w:val="32"/>
          <w:szCs w:val="32"/>
          <w:highlight w:val="none"/>
        </w:rPr>
        <w:t>项目实施需</w:t>
      </w:r>
      <w:r>
        <w:rPr>
          <w:rFonts w:hint="eastAsia" w:ascii="方正仿宋_GBK" w:hAnsi="方正仿宋_GBK" w:eastAsia="方正仿宋_GBK" w:cs="方正仿宋_GBK"/>
          <w:sz w:val="32"/>
          <w:szCs w:val="32"/>
          <w:highlight w:val="none"/>
          <w:lang w:eastAsia="zh-CN"/>
        </w:rPr>
        <w:t>按照</w:t>
      </w:r>
      <w:r>
        <w:rPr>
          <w:rFonts w:hint="eastAsia" w:ascii="方正仿宋_GBK" w:hAnsi="方正仿宋_GBK" w:eastAsia="方正仿宋_GBK" w:cs="方正仿宋_GBK"/>
          <w:sz w:val="32"/>
          <w:szCs w:val="32"/>
          <w:highlight w:val="none"/>
        </w:rPr>
        <w:t>《新疆维吾尔自治区财政资金衔接推进乡村振兴补助资金（巩固拓展脱贫攻坚成果和乡村振兴任务）项目管理办法（暂行）》（新乡振〔2021〕32号</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第</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rPr>
        <w:t>章第</w:t>
      </w:r>
      <w:r>
        <w:rPr>
          <w:rFonts w:hint="eastAsia" w:ascii="方正仿宋_GBK" w:hAnsi="方正仿宋_GBK" w:eastAsia="方正仿宋_GBK" w:cs="方正仿宋_GBK"/>
          <w:sz w:val="32"/>
          <w:szCs w:val="32"/>
          <w:highlight w:val="none"/>
          <w:lang w:val="en-US" w:eastAsia="zh-CN"/>
        </w:rPr>
        <w:t>十九</w:t>
      </w:r>
      <w:r>
        <w:rPr>
          <w:rFonts w:hint="eastAsia" w:ascii="方正仿宋_GBK" w:hAnsi="方正仿宋_GBK" w:eastAsia="方正仿宋_GBK" w:cs="方正仿宋_GBK"/>
          <w:sz w:val="32"/>
          <w:szCs w:val="32"/>
          <w:highlight w:val="none"/>
        </w:rPr>
        <w:t>条规定，</w:t>
      </w:r>
      <w:r>
        <w:rPr>
          <w:rFonts w:hint="eastAsia" w:ascii="方正仿宋_GBK" w:hAnsi="方正仿宋_GBK" w:eastAsia="方正仿宋_GBK" w:cs="方正仿宋_GBK"/>
          <w:sz w:val="32"/>
          <w:szCs w:val="32"/>
          <w:highlight w:val="none"/>
          <w:lang w:val="en-US" w:eastAsia="zh-CN"/>
        </w:rPr>
        <w:t>项目实施单位要</w:t>
      </w:r>
      <w:r>
        <w:rPr>
          <w:rFonts w:hint="eastAsia" w:ascii="方正仿宋_GBK" w:hAnsi="方正仿宋_GBK" w:eastAsia="方正仿宋_GBK" w:cs="方正仿宋_GBK"/>
          <w:sz w:val="32"/>
          <w:szCs w:val="32"/>
          <w:highlight w:val="none"/>
        </w:rPr>
        <w:t>严格执行信息公开制度</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认真贯彻执行国家和自治区有关公告公示要求</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全面做好资金分配使用、县级项目库建设、项目计划、实施方案、项目执行、收益分配、后期管护、资产管理等各个环节公告公示工作。</w:t>
      </w:r>
    </w:p>
    <w:p w14:paraId="3206568B">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7.项目绩效目标及效益分析</w:t>
      </w:r>
    </w:p>
    <w:p w14:paraId="5F9118A6">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7.1年度目标</w:t>
      </w:r>
    </w:p>
    <w:p w14:paraId="60726B6F">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7.1.1项目覆盖情况</w:t>
      </w:r>
    </w:p>
    <w:p w14:paraId="4583ADE8">
      <w:pPr>
        <w:pStyle w:val="13"/>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kern w:val="2"/>
          <w:sz w:val="32"/>
          <w:szCs w:val="32"/>
          <w:lang w:val="en-US" w:eastAsia="zh-CN" w:bidi="ar-SA"/>
        </w:rPr>
        <w:t>本项目</w:t>
      </w:r>
      <w:r>
        <w:rPr>
          <w:rFonts w:hint="eastAsia" w:ascii="方正仿宋_GBK" w:hAnsi="方正仿宋_GBK" w:eastAsia="方正仿宋_GBK" w:cs="方正仿宋_GBK"/>
          <w:sz w:val="32"/>
          <w:szCs w:val="32"/>
          <w:highlight w:val="none"/>
          <w:lang w:val="en-US" w:eastAsia="zh-CN"/>
        </w:rPr>
        <w:t>计划新建农畜基础设施0.95万平方米，其中农业基础设施0.73万平方米，主要包含餐饮区2座、附属用房2座；畜牧基础设施0.22万平方米，主要包含附属用房2座、牛羊牲畜区7座；完善场区相关附属设施。</w:t>
      </w:r>
    </w:p>
    <w:p w14:paraId="178384C4">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项目建成后，</w:t>
      </w:r>
      <w:r>
        <w:rPr>
          <w:rFonts w:hint="eastAsia" w:ascii="方正仿宋_GBK" w:hAnsi="方正仿宋_GBK" w:eastAsia="方正仿宋_GBK" w:cs="方正仿宋_GBK"/>
          <w:sz w:val="32"/>
          <w:szCs w:val="32"/>
          <w:highlight w:val="none"/>
        </w:rPr>
        <w:t>可以进一步提高农户将农产品转</w:t>
      </w:r>
      <w:r>
        <w:rPr>
          <w:rFonts w:hint="eastAsia" w:ascii="方正仿宋_GBK" w:hAnsi="方正仿宋_GBK" w:eastAsia="方正仿宋_GBK" w:cs="方正仿宋_GBK"/>
          <w:sz w:val="32"/>
          <w:szCs w:val="32"/>
          <w:highlight w:val="none"/>
          <w:lang w:eastAsia="zh-CN"/>
        </w:rPr>
        <w:t>化为</w:t>
      </w:r>
      <w:r>
        <w:rPr>
          <w:rFonts w:hint="eastAsia" w:ascii="方正仿宋_GBK" w:hAnsi="方正仿宋_GBK" w:eastAsia="方正仿宋_GBK" w:cs="方正仿宋_GBK"/>
          <w:sz w:val="32"/>
          <w:szCs w:val="32"/>
          <w:highlight w:val="none"/>
        </w:rPr>
        <w:t>商品的意识，起到示范带动作用，提高农民参与农产品市场交易的积极性，助力脱贫户拓宽增收渠道，促进第一产业生产规模化、标准化、产业化和农产品大市场、大流通格局的形成，引导农民面向市场调整优化农业结构、实现增产增收</w:t>
      </w:r>
      <w:r>
        <w:rPr>
          <w:rFonts w:hint="eastAsia" w:ascii="方正仿宋_GBK" w:hAnsi="方正仿宋_GBK" w:eastAsia="方正仿宋_GBK" w:cs="方正仿宋_GBK"/>
          <w:b w:val="0"/>
          <w:bCs w:val="0"/>
          <w:sz w:val="32"/>
          <w:szCs w:val="32"/>
          <w:highlight w:val="none"/>
          <w:lang w:val="en-US" w:eastAsia="zh-CN"/>
        </w:rPr>
        <w:t>。</w:t>
      </w:r>
    </w:p>
    <w:p w14:paraId="141EC96E">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7.2经济效益</w:t>
      </w:r>
    </w:p>
    <w:p w14:paraId="574CDDDC">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7.2.2直接效益</w:t>
      </w:r>
    </w:p>
    <w:p w14:paraId="2ABDBD32">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项目建成后，固定资产归村集体所有，项目年收益率不低于同期银行贷款利率，收益用于支持巩固拓展脱贫攻坚成果。项目建设</w:t>
      </w:r>
      <w:r>
        <w:rPr>
          <w:rFonts w:hint="eastAsia" w:ascii="方正仿宋_GBK" w:hAnsi="方正仿宋_GBK" w:eastAsia="方正仿宋_GBK" w:cs="方正仿宋_GBK"/>
          <w:sz w:val="32"/>
          <w:szCs w:val="32"/>
          <w:lang w:val="en-US" w:eastAsia="zh-CN"/>
        </w:rPr>
        <w:t>后</w:t>
      </w:r>
      <w:r>
        <w:rPr>
          <w:rFonts w:hint="eastAsia" w:ascii="方正仿宋_GBK" w:hAnsi="方正仿宋_GBK" w:eastAsia="方正仿宋_GBK" w:cs="方正仿宋_GBK"/>
          <w:sz w:val="32"/>
          <w:szCs w:val="32"/>
        </w:rPr>
        <w:t>预计可解决受益脱贫人口</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人就业。</w:t>
      </w:r>
    </w:p>
    <w:p w14:paraId="4BFE2AE4">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7.2.3间接效益</w:t>
      </w:r>
    </w:p>
    <w:p w14:paraId="152A4A08">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建成后，将有助于提高我县农畜产品市场化水平，提高农牧民科技文化素质，通过农畜产品交易，提高经济效益，促进一产就业，增强减贫带贫能力，实现农业增效、农户增收。能够把农民的农畜资源产出优势转化为经济优势，对保障农民和脱贫户的收入、推动经济社会发展均产生积极的影响，项目效益明显，极大地助力了乡村产业振兴。</w:t>
      </w:r>
    </w:p>
    <w:p w14:paraId="0E46228C">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7.3社会效益</w:t>
      </w:r>
    </w:p>
    <w:p w14:paraId="209C70D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项目的实施，依靠可靠的商品信息，提供市场急需的各类产品，为农产品和小商品交易提供平台，满足日常所需。项目起点高产业化关联度大，具有极好的示范效应。不但能够带动区域内农牧业产业的发展，促进特色农业发展，加快当地农民致富奔小康的步伐；而且促进了辐射区域内农牧业结构的调整和改善对提高劳动就业率，都具有十分积极的作用，</w:t>
      </w:r>
      <w:r>
        <w:rPr>
          <w:rFonts w:hint="eastAsia" w:ascii="方正仿宋_GBK" w:hAnsi="方正仿宋_GBK" w:eastAsia="方正仿宋_GBK" w:cs="方正仿宋_GBK"/>
          <w:b w:val="0"/>
          <w:bCs w:val="0"/>
          <w:sz w:val="32"/>
          <w:szCs w:val="32"/>
          <w:highlight w:val="none"/>
          <w:lang w:val="en-US" w:eastAsia="zh-CN"/>
        </w:rPr>
        <w:t>施工期间有效带动本地务工人数100人</w:t>
      </w:r>
      <w:r>
        <w:rPr>
          <w:rFonts w:hint="eastAsia" w:ascii="方正仿宋_GBK" w:hAnsi="方正仿宋_GBK" w:eastAsia="方正仿宋_GBK" w:cs="方正仿宋_GBK"/>
          <w:b w:val="0"/>
          <w:bCs w:val="0"/>
          <w:sz w:val="32"/>
          <w:szCs w:val="32"/>
          <w:highlight w:val="none"/>
          <w:lang w:eastAsia="zh-CN"/>
        </w:rPr>
        <w:t>。</w:t>
      </w:r>
    </w:p>
    <w:p w14:paraId="4B5A5719">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7.4生态效益</w:t>
      </w:r>
    </w:p>
    <w:p w14:paraId="6FEAC398">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无。</w:t>
      </w:r>
    </w:p>
    <w:p w14:paraId="091D7720">
      <w:pPr>
        <w:pStyle w:val="13"/>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7.5可持续性影响</w:t>
      </w:r>
    </w:p>
    <w:p w14:paraId="33AD2741">
      <w:pPr>
        <w:pStyle w:val="13"/>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工程设计使用年限</w:t>
      </w:r>
      <w:r>
        <w:rPr>
          <w:rFonts w:hint="eastAsia" w:ascii="方正仿宋_GBK" w:hAnsi="方正仿宋_GBK" w:eastAsia="方正仿宋_GBK" w:cs="方正仿宋_GBK"/>
          <w:b w:val="0"/>
          <w:bCs w:val="0"/>
          <w:sz w:val="32"/>
          <w:szCs w:val="32"/>
          <w:highlight w:val="none"/>
          <w:lang w:eastAsia="zh-CN"/>
        </w:rPr>
        <w:t>可达</w:t>
      </w:r>
      <w:r>
        <w:rPr>
          <w:rFonts w:hint="eastAsia" w:ascii="方正仿宋_GBK" w:hAnsi="方正仿宋_GBK" w:eastAsia="方正仿宋_GBK" w:cs="方正仿宋_GBK"/>
          <w:b w:val="0"/>
          <w:bCs w:val="0"/>
          <w:sz w:val="32"/>
          <w:szCs w:val="32"/>
          <w:highlight w:val="none"/>
          <w:lang w:val="en-US" w:eastAsia="zh-CN"/>
        </w:rPr>
        <w:t>25</w:t>
      </w:r>
      <w:r>
        <w:rPr>
          <w:rFonts w:hint="eastAsia" w:ascii="方正仿宋_GBK" w:hAnsi="方正仿宋_GBK" w:eastAsia="方正仿宋_GBK" w:cs="方正仿宋_GBK"/>
          <w:b w:val="0"/>
          <w:bCs w:val="0"/>
          <w:sz w:val="32"/>
          <w:szCs w:val="32"/>
          <w:highlight w:val="none"/>
          <w:lang w:eastAsia="zh-CN"/>
        </w:rPr>
        <w:t>年，项目建成后建立和完善各类农产品交易平台、质量把控、信息交流等市场交易环节，形成农产品交易产业链。</w:t>
      </w:r>
    </w:p>
    <w:p w14:paraId="07D10D2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outlineLvl w:val="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8.风险分析</w:t>
      </w:r>
    </w:p>
    <w:p w14:paraId="6E96FED9">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eastAsia="zh-CN"/>
        </w:rPr>
        <w:t>8</w:t>
      </w:r>
      <w:r>
        <w:rPr>
          <w:rFonts w:hint="eastAsia" w:ascii="方正仿宋_GBK" w:hAnsi="方正仿宋_GBK" w:eastAsia="方正仿宋_GBK" w:cs="方正仿宋_GBK"/>
          <w:b/>
          <w:bCs/>
          <w:sz w:val="32"/>
          <w:szCs w:val="32"/>
          <w:highlight w:val="none"/>
        </w:rPr>
        <w:t>.1主要风险因素</w:t>
      </w:r>
    </w:p>
    <w:p w14:paraId="603E14C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一是市场销售渠道和养殖技术较弱，加大推广养殖技术的宣传，保障农产品质量安全，确保优质新鲜的牛肉产品以较好的价格上市。</w:t>
      </w:r>
    </w:p>
    <w:p w14:paraId="7754668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二是规划设计：主要风险因素包括与地方国民经济社会发展规划、专项规划、区域规划不一致的风险；和地方法律法规冲突的风险。</w:t>
      </w:r>
    </w:p>
    <w:p w14:paraId="65739578">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1"/>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eastAsia="zh-CN"/>
        </w:rPr>
        <w:t>8</w:t>
      </w:r>
      <w:r>
        <w:rPr>
          <w:rFonts w:hint="eastAsia" w:ascii="方正仿宋_GBK" w:hAnsi="方正仿宋_GBK" w:eastAsia="方正仿宋_GBK" w:cs="方正仿宋_GBK"/>
          <w:b/>
          <w:bCs/>
          <w:sz w:val="32"/>
          <w:szCs w:val="32"/>
          <w:highlight w:val="none"/>
        </w:rPr>
        <w:t>.2防范化解措施</w:t>
      </w:r>
    </w:p>
    <w:p w14:paraId="34283CF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一是</w:t>
      </w:r>
      <w:r>
        <w:rPr>
          <w:rFonts w:hint="eastAsia" w:ascii="方正仿宋_GBK" w:hAnsi="方正仿宋_GBK" w:eastAsia="方正仿宋_GBK" w:cs="方正仿宋_GBK"/>
          <w:b w:val="0"/>
          <w:bCs w:val="0"/>
          <w:sz w:val="32"/>
          <w:szCs w:val="32"/>
          <w:highlight w:val="none"/>
          <w:lang w:eastAsia="zh-CN"/>
        </w:rPr>
        <w:t>利用企业或合作社的优势，完善市场管理体系，建立农畜产品市场检验监测机制，从而降低该项目的建设风险。加强产销一体化，加大科技及培训投入，提高农畜产品质量。</w:t>
      </w:r>
    </w:p>
    <w:p w14:paraId="402DCE6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二是</w:t>
      </w:r>
      <w:r>
        <w:rPr>
          <w:rFonts w:hint="eastAsia" w:ascii="方正仿宋_GBK" w:hAnsi="方正仿宋_GBK" w:eastAsia="方正仿宋_GBK" w:cs="方正仿宋_GBK"/>
          <w:b w:val="0"/>
          <w:bCs w:val="0"/>
          <w:sz w:val="32"/>
          <w:szCs w:val="32"/>
          <w:highlight w:val="none"/>
          <w:lang w:eastAsia="zh-CN"/>
        </w:rPr>
        <w:t>建立强有力的组织保障。项目的建设涉及发改、财政、城建、土地等多个部门。通过建立强有力的组织领导机构和统一、高效、科学、务实的管理机构和运行机制，负责全面协调项目实施过程中的各项工作，督促检查相关配套政策的执行情况，保证项目的顺利实施。</w:t>
      </w:r>
    </w:p>
    <w:p w14:paraId="4892AC5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三是</w:t>
      </w:r>
      <w:r>
        <w:rPr>
          <w:rFonts w:hint="eastAsia" w:ascii="方正仿宋_GBK" w:hAnsi="方正仿宋_GBK" w:eastAsia="方正仿宋_GBK" w:cs="方正仿宋_GBK"/>
          <w:b w:val="0"/>
          <w:bCs w:val="0"/>
          <w:sz w:val="32"/>
          <w:szCs w:val="32"/>
          <w:highlight w:val="none"/>
          <w:lang w:eastAsia="zh-CN"/>
        </w:rPr>
        <w:t>资金保障措施。采取积极有效的措施，落实项目建设所需的各项资金。积极争取各方面对工程建设的资金投入。在用好、管好资金的同时，积极筹措项目内部设备、设施所需配套资金，制定切实可行的资金筹措方案，保证项目能够如期完成。建立风险预警机制，密切关注市场建筑材料的价格变化情况，推行工程量清单计价，将工程招标放在建筑材料市场价格较低的时间，降低工程建设费用。在建设中还应加强项目财务收支管理，节约财务支出，建立严格的财务管理制度。加快项目建设进度，要求工程监理人员对施工过程的工程量计量、结算进行全过程监控，及时解决施工过程中遇到的实际问题，及时调整相应的工程费用，保证工程项目建设顺利进行。</w:t>
      </w:r>
    </w:p>
    <w:p w14:paraId="240DEEA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四是</w:t>
      </w:r>
      <w:r>
        <w:rPr>
          <w:rFonts w:hint="eastAsia" w:ascii="方正仿宋_GBK" w:hAnsi="方正仿宋_GBK" w:eastAsia="方正仿宋_GBK" w:cs="方正仿宋_GBK"/>
          <w:b w:val="0"/>
          <w:bCs w:val="0"/>
          <w:sz w:val="32"/>
          <w:szCs w:val="32"/>
          <w:highlight w:val="none"/>
          <w:lang w:eastAsia="zh-CN"/>
        </w:rPr>
        <w:t>工程施工保障措施。项目施工实行公开招标，选择资质等级高、社会信誉好，同时投标技术方案成熟、施工组织设计完善、工程报价合理的施工、监理企业参与本项目的工程建设。从源头堵住由于施工企业能力不足可能造成的风险因素。在施工过程中，按照预期制定的总进度计划，实施阶段落实。要求施工企业建立质量保证和进度控制体系，要求施工现场实现标准化、规范化、制度化，对工程进度、质量、安全实行全过程控制。</w:t>
      </w:r>
    </w:p>
    <w:p w14:paraId="32FC734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五是</w:t>
      </w:r>
      <w:r>
        <w:rPr>
          <w:rFonts w:hint="eastAsia" w:ascii="方正仿宋_GBK" w:hAnsi="方正仿宋_GBK" w:eastAsia="方正仿宋_GBK" w:cs="方正仿宋_GBK"/>
          <w:b w:val="0"/>
          <w:bCs w:val="0"/>
          <w:sz w:val="32"/>
          <w:szCs w:val="32"/>
          <w:highlight w:val="none"/>
          <w:lang w:eastAsia="zh-CN"/>
        </w:rPr>
        <w:t>管理保障措施。建立健全项目的各项管理制度，规范工作行为，提高工作人员业务水平和职业道德。注重人才队伍建设和各项设施配套，加强管理人员和工作人员的专业技能、专业知识培训，不断提高工作质量，更好地保障社会的稳定。</w:t>
      </w:r>
    </w:p>
    <w:p w14:paraId="2D3FCA92">
      <w:pPr>
        <w:pStyle w:val="5"/>
        <w:keepNext w:val="0"/>
        <w:keepLines w:val="0"/>
        <w:pageBreakBefore w:val="0"/>
        <w:kinsoku/>
        <w:wordWrap/>
        <w:overflowPunct/>
        <w:topLinePunct w:val="0"/>
        <w:autoSpaceDE/>
        <w:autoSpaceDN/>
        <w:bidi w:val="0"/>
        <w:adjustRightInd/>
        <w:snapToGrid/>
        <w:spacing w:line="570" w:lineRule="exact"/>
        <w:rPr>
          <w:rFonts w:hint="eastAsia" w:ascii="方正仿宋_GBK" w:hAnsi="方正仿宋_GBK" w:eastAsia="方正仿宋_GBK" w:cs="方正仿宋_GBK"/>
          <w:b w:val="0"/>
          <w:bCs w:val="0"/>
          <w:sz w:val="32"/>
          <w:szCs w:val="32"/>
          <w:highlight w:val="none"/>
          <w:lang w:eastAsia="zh-CN"/>
        </w:rPr>
      </w:pPr>
    </w:p>
    <w:p w14:paraId="43AAB645">
      <w:pPr>
        <w:keepNext w:val="0"/>
        <w:keepLines w:val="0"/>
        <w:pageBreakBefore w:val="0"/>
        <w:kinsoku/>
        <w:wordWrap/>
        <w:overflowPunct/>
        <w:topLinePunct w:val="0"/>
        <w:autoSpaceDE/>
        <w:autoSpaceDN/>
        <w:bidi w:val="0"/>
        <w:adjustRightInd/>
        <w:snapToGrid/>
        <w:spacing w:line="570" w:lineRule="exact"/>
        <w:ind w:firstLine="7040" w:firstLineChars="2200"/>
        <w:rPr>
          <w:rFonts w:hint="eastAsia" w:ascii="方正仿宋_GBK" w:hAnsi="方正仿宋_GBK" w:eastAsia="方正仿宋_GBK" w:cs="方正仿宋_GBK"/>
          <w:b w:val="0"/>
          <w:bCs w:val="0"/>
          <w:sz w:val="32"/>
          <w:szCs w:val="32"/>
          <w:highlight w:val="none"/>
          <w:lang w:val="en-US" w:eastAsia="zh-CN"/>
        </w:rPr>
      </w:pPr>
    </w:p>
    <w:p w14:paraId="399600D6">
      <w:pPr>
        <w:keepNext w:val="0"/>
        <w:keepLines w:val="0"/>
        <w:pageBreakBefore w:val="0"/>
        <w:kinsoku/>
        <w:wordWrap/>
        <w:overflowPunct/>
        <w:topLinePunct w:val="0"/>
        <w:autoSpaceDE/>
        <w:autoSpaceDN/>
        <w:bidi w:val="0"/>
        <w:adjustRightInd/>
        <w:snapToGrid/>
        <w:spacing w:line="570" w:lineRule="exact"/>
        <w:ind w:firstLine="7040" w:firstLineChars="2200"/>
        <w:rPr>
          <w:rFonts w:hint="eastAsia" w:ascii="方正仿宋_GBK" w:hAnsi="方正仿宋_GBK" w:eastAsia="方正仿宋_GBK" w:cs="方正仿宋_GBK"/>
          <w:b w:val="0"/>
          <w:bCs w:val="0"/>
          <w:sz w:val="32"/>
          <w:szCs w:val="32"/>
          <w:highlight w:val="none"/>
          <w:lang w:val="en-US" w:eastAsia="zh-CN"/>
        </w:rPr>
      </w:pPr>
    </w:p>
    <w:p w14:paraId="7C79EFE9">
      <w:pPr>
        <w:keepNext w:val="0"/>
        <w:keepLines w:val="0"/>
        <w:pageBreakBefore w:val="0"/>
        <w:kinsoku/>
        <w:wordWrap/>
        <w:overflowPunct/>
        <w:topLinePunct w:val="0"/>
        <w:autoSpaceDE/>
        <w:autoSpaceDN/>
        <w:bidi w:val="0"/>
        <w:adjustRightInd/>
        <w:snapToGrid/>
        <w:spacing w:line="570" w:lineRule="exact"/>
        <w:ind w:firstLine="7040" w:firstLineChars="2200"/>
        <w:rPr>
          <w:rFonts w:hint="eastAsia" w:ascii="方正仿宋_GBK" w:hAnsi="方正仿宋_GBK" w:eastAsia="方正仿宋_GBK" w:cs="方正仿宋_GBK"/>
          <w:b w:val="0"/>
          <w:bCs w:val="0"/>
          <w:sz w:val="32"/>
          <w:szCs w:val="32"/>
          <w:highlight w:val="none"/>
          <w:lang w:val="en-US" w:eastAsia="zh-CN"/>
        </w:rPr>
      </w:pPr>
      <w:bookmarkStart w:id="0" w:name="_GoBack"/>
      <w:bookmarkEnd w:id="0"/>
    </w:p>
    <w:p w14:paraId="2A6ACBDE">
      <w:pPr>
        <w:keepNext w:val="0"/>
        <w:keepLines w:val="0"/>
        <w:pageBreakBefore w:val="0"/>
        <w:kinsoku/>
        <w:wordWrap/>
        <w:overflowPunct/>
        <w:topLinePunct w:val="0"/>
        <w:autoSpaceDE/>
        <w:autoSpaceDN/>
        <w:bidi w:val="0"/>
        <w:adjustRightInd/>
        <w:snapToGrid/>
        <w:spacing w:line="570" w:lineRule="exact"/>
        <w:ind w:firstLine="7040" w:firstLineChars="2200"/>
        <w:rPr>
          <w:rFonts w:hint="eastAsia" w:ascii="方正仿宋_GBK" w:hAnsi="方正仿宋_GBK" w:eastAsia="方正仿宋_GBK" w:cs="方正仿宋_GBK"/>
          <w:b w:val="0"/>
          <w:bCs w:val="0"/>
          <w:sz w:val="32"/>
          <w:szCs w:val="32"/>
          <w:highlight w:val="none"/>
          <w:lang w:val="en-US" w:eastAsia="zh-CN"/>
        </w:rPr>
      </w:pPr>
    </w:p>
    <w:p w14:paraId="3B33D13B">
      <w:pPr>
        <w:keepNext w:val="0"/>
        <w:keepLines w:val="0"/>
        <w:pageBreakBefore w:val="0"/>
        <w:kinsoku/>
        <w:wordWrap/>
        <w:overflowPunct/>
        <w:topLinePunct w:val="0"/>
        <w:autoSpaceDE/>
        <w:autoSpaceDN/>
        <w:bidi w:val="0"/>
        <w:adjustRightInd/>
        <w:snapToGrid/>
        <w:spacing w:line="570" w:lineRule="exact"/>
        <w:jc w:val="righ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麦盖提县农业农村局</w:t>
      </w:r>
    </w:p>
    <w:p w14:paraId="22031A89">
      <w:pPr>
        <w:keepNext w:val="0"/>
        <w:keepLines w:val="0"/>
        <w:pageBreakBefore w:val="0"/>
        <w:kinsoku/>
        <w:wordWrap/>
        <w:overflowPunct/>
        <w:topLinePunct w:val="0"/>
        <w:autoSpaceDE/>
        <w:autoSpaceDN/>
        <w:bidi w:val="0"/>
        <w:adjustRightInd/>
        <w:snapToGrid/>
        <w:spacing w:line="570" w:lineRule="exact"/>
        <w:jc w:val="righ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b w:val="0"/>
          <w:bCs w:val="0"/>
          <w:sz w:val="32"/>
          <w:szCs w:val="32"/>
          <w:highlight w:val="none"/>
          <w:lang w:val="en-US" w:eastAsia="zh-CN"/>
        </w:rPr>
        <w:t>2025年4月</w:t>
      </w:r>
    </w:p>
    <w:sectPr>
      <w:pgSz w:w="11906" w:h="16838"/>
      <w:pgMar w:top="1984" w:right="1531" w:bottom="1701" w:left="1531" w:header="851" w:footer="992"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1" w:fontKey="{B23FCF1C-CD83-4EA7-A03C-21561ADCDBDF}"/>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2" w:fontKey="{46120418-0F38-45B1-8F7B-85E6F9C3E55E}"/>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7CA9AEAB-AB77-49D8-8AF1-F563B9648348}"/>
  </w:font>
  <w:font w:name="方正黑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DC3189"/>
    <w:rsid w:val="00036ACC"/>
    <w:rsid w:val="00096F1A"/>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20E7EB7"/>
    <w:rsid w:val="02C40969"/>
    <w:rsid w:val="03404493"/>
    <w:rsid w:val="04E62892"/>
    <w:rsid w:val="091B02D8"/>
    <w:rsid w:val="0A136190"/>
    <w:rsid w:val="0BED0F30"/>
    <w:rsid w:val="0CD1749B"/>
    <w:rsid w:val="112278CE"/>
    <w:rsid w:val="1888740D"/>
    <w:rsid w:val="1A584B63"/>
    <w:rsid w:val="1E1660C5"/>
    <w:rsid w:val="1E6E30FE"/>
    <w:rsid w:val="209020F7"/>
    <w:rsid w:val="22AF5101"/>
    <w:rsid w:val="25DC0A27"/>
    <w:rsid w:val="261A0C88"/>
    <w:rsid w:val="28DE61F3"/>
    <w:rsid w:val="291678C1"/>
    <w:rsid w:val="29A11F55"/>
    <w:rsid w:val="29C40788"/>
    <w:rsid w:val="2DC66C82"/>
    <w:rsid w:val="30156CB5"/>
    <w:rsid w:val="309A4933"/>
    <w:rsid w:val="32516C9F"/>
    <w:rsid w:val="328C0773"/>
    <w:rsid w:val="33386686"/>
    <w:rsid w:val="34D6203C"/>
    <w:rsid w:val="36E57249"/>
    <w:rsid w:val="37225683"/>
    <w:rsid w:val="37DA677C"/>
    <w:rsid w:val="37E071AC"/>
    <w:rsid w:val="38FB3FBF"/>
    <w:rsid w:val="3A2B2D7A"/>
    <w:rsid w:val="3AC058DE"/>
    <w:rsid w:val="3C8D220B"/>
    <w:rsid w:val="3CEC23BE"/>
    <w:rsid w:val="3DF26BEC"/>
    <w:rsid w:val="3E203360"/>
    <w:rsid w:val="3EE0082F"/>
    <w:rsid w:val="3F724CCD"/>
    <w:rsid w:val="3FAC311E"/>
    <w:rsid w:val="449C60AF"/>
    <w:rsid w:val="478832E0"/>
    <w:rsid w:val="4A3C32E7"/>
    <w:rsid w:val="4BD25714"/>
    <w:rsid w:val="4C2E58E4"/>
    <w:rsid w:val="4CB15087"/>
    <w:rsid w:val="4DCB0F30"/>
    <w:rsid w:val="4F763F19"/>
    <w:rsid w:val="532F4F57"/>
    <w:rsid w:val="54773FDF"/>
    <w:rsid w:val="58242BB1"/>
    <w:rsid w:val="59F367F2"/>
    <w:rsid w:val="5D2E662C"/>
    <w:rsid w:val="5F276BE3"/>
    <w:rsid w:val="60D84E80"/>
    <w:rsid w:val="622D0D14"/>
    <w:rsid w:val="62857FC9"/>
    <w:rsid w:val="64E75692"/>
    <w:rsid w:val="670F2C7E"/>
    <w:rsid w:val="674555B8"/>
    <w:rsid w:val="6BF312BC"/>
    <w:rsid w:val="6D012174"/>
    <w:rsid w:val="6EF308E2"/>
    <w:rsid w:val="6FB8461B"/>
    <w:rsid w:val="6FCA257E"/>
    <w:rsid w:val="6FF73669"/>
    <w:rsid w:val="70457711"/>
    <w:rsid w:val="717F3CF7"/>
    <w:rsid w:val="71816E6E"/>
    <w:rsid w:val="71E46B34"/>
    <w:rsid w:val="73426189"/>
    <w:rsid w:val="748C0305"/>
    <w:rsid w:val="752A44C1"/>
    <w:rsid w:val="77F04406"/>
    <w:rsid w:val="78DA7590"/>
    <w:rsid w:val="7E726B13"/>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unhideWhenUsed/>
    <w:qFormat/>
    <w:uiPriority w:val="0"/>
    <w:pPr>
      <w:keepNext/>
      <w:keepLines/>
      <w:spacing w:line="413" w:lineRule="auto"/>
      <w:outlineLvl w:val="2"/>
    </w:pPr>
    <w:rPr>
      <w:rFonts w:ascii="仿宋" w:hAnsi="Times New Roman" w:eastAsia="仿宋"/>
      <w:b/>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5">
    <w:name w:val="Body Text"/>
    <w:basedOn w:val="1"/>
    <w:next w:val="1"/>
    <w:qFormat/>
    <w:uiPriority w:val="0"/>
    <w:rPr>
      <w:sz w:val="24"/>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2">
    <w:name w:val="标题 1 字符"/>
    <w:basedOn w:val="10"/>
    <w:link w:val="3"/>
    <w:qFormat/>
    <w:uiPriority w:val="9"/>
    <w:rPr>
      <w:rFonts w:ascii="Times New Roman" w:hAnsi="Times New Roman" w:eastAsia="黑体" w:cs="Arial"/>
      <w:b/>
      <w:bCs/>
      <w:kern w:val="44"/>
      <w:sz w:val="28"/>
      <w:szCs w:val="44"/>
    </w:rPr>
  </w:style>
  <w:style w:type="paragraph" w:customStyle="1" w:styleId="13">
    <w:name w:val="列表段落1"/>
    <w:basedOn w:val="1"/>
    <w:qFormat/>
    <w:uiPriority w:val="34"/>
    <w:pPr>
      <w:ind w:firstLine="420" w:firstLineChars="200"/>
    </w:p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7529</Words>
  <Characters>8559</Characters>
  <Lines>21</Lines>
  <Paragraphs>6</Paragraphs>
  <TotalTime>0</TotalTime>
  <ScaleCrop>false</ScaleCrop>
  <LinksUpToDate>false</LinksUpToDate>
  <CharactersWithSpaces>8634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ㄅ許╄々諾</cp:lastModifiedBy>
  <cp:lastPrinted>2023-07-01T05:17:00Z</cp:lastPrinted>
  <dcterms:modified xsi:type="dcterms:W3CDTF">2025-05-07T03:25:44Z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736120CBEE8343A885135DA6C75DC8B8_13</vt:lpwstr>
  </property>
  <property fmtid="{D5CDD505-2E9C-101B-9397-08002B2CF9AE}" pid="4" name="KSOTemplateDocerSaveRecord">
    <vt:lpwstr>eyJoZGlkIjoiNGU5YTk2NWU3OTRhNTU0YjZlNWE0ODExMjY4YzM0MTgiLCJ1c2VySWQiOiIxMDc3MjY2NTg5In0=</vt:lpwstr>
  </property>
</Properties>
</file>