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000000" w:themeColor="text1"/>
          <w:sz w:val="44"/>
          <w:szCs w:val="44"/>
          <w14:textFill>
            <w14:solidFill>
              <w14:schemeClr w14:val="tx1"/>
            </w14:solidFill>
          </w14:textFill>
        </w:rPr>
      </w:pPr>
      <w:r>
        <w:rPr>
          <w:rFonts w:hint="eastAsia" w:ascii="仿宋_GB2312" w:hAnsi="仿宋_GB2312" w:eastAsia="仿宋_GB2312" w:cs="仿宋_GB2312"/>
          <w:b/>
          <w:bCs/>
          <w:color w:val="000000" w:themeColor="text1"/>
          <w:sz w:val="44"/>
          <w:szCs w:val="44"/>
          <w:lang w:eastAsia="zh-CN"/>
          <w14:textFill>
            <w14:solidFill>
              <w14:schemeClr w14:val="tx1"/>
            </w14:solidFill>
          </w14:textFill>
        </w:rPr>
        <w:t>麦盖提县库木库萨尔乡沙产业配套基础设施建设项目</w:t>
      </w:r>
      <w:r>
        <w:rPr>
          <w:rFonts w:hint="eastAsia" w:ascii="仿宋_GB2312" w:hAnsi="仿宋_GB2312" w:eastAsia="仿宋_GB2312" w:cs="仿宋_GB2312"/>
          <w:b/>
          <w:bCs/>
          <w:color w:val="000000" w:themeColor="text1"/>
          <w:sz w:val="44"/>
          <w:szCs w:val="44"/>
          <w14:textFill>
            <w14:solidFill>
              <w14:schemeClr w14:val="tx1"/>
            </w14:solidFill>
          </w14:textFill>
        </w:rPr>
        <w:t>实施方案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项目名称：</w:t>
      </w:r>
      <w:r>
        <w:rPr>
          <w:rFonts w:hint="eastAsia" w:ascii="仿宋_GB2312" w:hAnsi="仿宋_GB2312" w:eastAsia="仿宋_GB2312" w:cs="仿宋_GB2312"/>
          <w:color w:val="000000" w:themeColor="text1"/>
          <w:sz w:val="32"/>
          <w:szCs w:val="32"/>
          <w:lang w:eastAsia="zh-CN"/>
          <w14:textFill>
            <w14:solidFill>
              <w14:schemeClr w14:val="tx1"/>
            </w14:solidFill>
          </w14:textFill>
        </w:rPr>
        <w:t>麦盖提县库木库萨尔乡沙产业配套基础设施建设项目</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项目主管单位：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中共麦盖提县委员会统一战线工作部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项目实施单位：麦盖提县文化体育广播电视和旅游局</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编制时间：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36"/>
          <w:szCs w:val="36"/>
          <w:lang w:eastAsia="zh-CN"/>
          <w14:textFill>
            <w14:solidFill>
              <w14:schemeClr w14:val="tx1"/>
            </w14:solidFill>
          </w14:textFill>
        </w:rPr>
      </w:pPr>
      <w:r>
        <w:rPr>
          <w:rFonts w:hint="eastAsia" w:ascii="仿宋_GB2312" w:hAnsi="仿宋_GB2312" w:eastAsia="仿宋_GB2312" w:cs="仿宋_GB2312"/>
          <w:color w:val="000000" w:themeColor="text1"/>
          <w:sz w:val="36"/>
          <w:szCs w:val="36"/>
          <w:lang w:eastAsia="zh-CN"/>
          <w14:textFill>
            <w14:solidFill>
              <w14:schemeClr w14:val="tx1"/>
            </w14:solidFill>
          </w14:textFill>
        </w:rPr>
        <w:t>麦盖提县库木库萨尔乡沙产业配套基础设施</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lang w:eastAsia="zh-CN"/>
          <w14:textFill>
            <w14:solidFill>
              <w14:schemeClr w14:val="tx1"/>
            </w14:solidFill>
          </w14:textFill>
        </w:rPr>
        <w:t>建设项目</w:t>
      </w:r>
      <w:r>
        <w:rPr>
          <w:rFonts w:hint="eastAsia" w:ascii="仿宋_GB2312" w:hAnsi="仿宋_GB2312" w:eastAsia="仿宋_GB2312" w:cs="仿宋_GB2312"/>
          <w:color w:val="000000" w:themeColor="text1"/>
          <w:sz w:val="36"/>
          <w:szCs w:val="36"/>
          <w14:textFill>
            <w14:solidFill>
              <w14:schemeClr w14:val="tx1"/>
            </w14:solidFill>
          </w14:textFill>
        </w:rPr>
        <w:t>实施方案</w:t>
      </w:r>
    </w:p>
    <w:p>
      <w:pPr>
        <w:pStyle w:val="13"/>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outlineLvl w:val="0"/>
        <w:rPr>
          <w:rFonts w:hint="eastAsia" w:ascii="仿宋_GB2312" w:hAnsi="仿宋_GB2312" w:eastAsia="仿宋_GB2312" w:cs="仿宋_GB2312"/>
          <w:b/>
          <w:bCs/>
          <w:color w:val="000000" w:themeColor="text1"/>
          <w:sz w:val="28"/>
          <w:szCs w:val="28"/>
          <w14:textFill>
            <w14:solidFill>
              <w14:schemeClr w14:val="tx1"/>
            </w14:solidFill>
          </w14:textFill>
        </w:rPr>
      </w:pP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outlineLvl w:val="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.基本情况</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项目库编号</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MGTX-</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013</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项目名称</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麦盖提县库木库萨尔乡沙产业配套基础设施建设项目</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项目主管单位</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中共麦盖提县委员会统一战线工作部，</w:t>
      </w:r>
      <w:r>
        <w:rPr>
          <w:rFonts w:hint="eastAsia" w:ascii="仿宋_GB2312" w:hAnsi="仿宋_GB2312" w:eastAsia="仿宋_GB2312" w:cs="仿宋_GB2312"/>
          <w:color w:val="000000" w:themeColor="text1"/>
          <w:sz w:val="32"/>
          <w:szCs w:val="32"/>
          <w14:textFill>
            <w14:solidFill>
              <w14:schemeClr w14:val="tx1"/>
            </w14:solidFill>
          </w14:textFill>
        </w:rPr>
        <w:t>主要负责人：叶新东。</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项目实施单位</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麦盖提县文化体育广播电视和旅游局，主要负责人：潘国平。</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项目建设性质</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本项目为新建项目。</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6</w:t>
      </w:r>
      <w:r>
        <w:rPr>
          <w:rFonts w:hint="eastAsia" w:ascii="仿宋_GB2312" w:hAnsi="仿宋_GB2312" w:eastAsia="仿宋_GB2312" w:cs="仿宋_GB2312"/>
          <w:b/>
          <w:bCs/>
          <w:color w:val="000000" w:themeColor="text1"/>
          <w:sz w:val="32"/>
          <w:szCs w:val="32"/>
          <w14:textFill>
            <w14:solidFill>
              <w14:schemeClr w14:val="tx1"/>
            </w14:solidFill>
          </w14:textFill>
        </w:rPr>
        <w:t>项目类别</w:t>
      </w:r>
    </w:p>
    <w:p>
      <w:pPr>
        <w:pStyle w:val="13"/>
        <w:keepNext w:val="0"/>
        <w:keepLines w:val="0"/>
        <w:pageBreakBefore w:val="0"/>
        <w:widowControl w:val="0"/>
        <w:kinsoku/>
        <w:wordWrap/>
        <w:overflowPunct/>
        <w:topLinePunct w:val="0"/>
        <w:autoSpaceDE/>
        <w:autoSpaceDN/>
        <w:bidi w:val="0"/>
        <w:adjustRightInd/>
        <w:snapToGrid/>
        <w:spacing w:line="240" w:lineRule="atLeast"/>
        <w:ind w:firstLine="560"/>
        <w:textAlignment w:val="auto"/>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t>乡村旅游项目</w:t>
      </w:r>
      <w:r>
        <w:rPr>
          <w:rFonts w:hint="eastAsia" w:ascii="方正仿宋_GB2312" w:hAnsi="方正仿宋_GB2312" w:eastAsia="方正仿宋_GB2312" w:cs="方正仿宋_GB2312"/>
          <w:color w:val="000000" w:themeColor="text1"/>
          <w:sz w:val="32"/>
          <w:szCs w:val="32"/>
          <w:lang w:val="en-US" w:eastAsia="zh-CN"/>
          <w14:textFill>
            <w14:solidFill>
              <w14:schemeClr w14:val="tx1"/>
            </w14:solidFill>
          </w14:textFill>
        </w:rPr>
        <w:t>。</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项目建设内容</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新建产业道路</w:t>
      </w:r>
      <w:r>
        <w:rPr>
          <w:rFonts w:hint="default" w:ascii="Times New Roman" w:hAnsi="Times New Roman" w:eastAsia="仿宋_GB2312" w:cs="Times New Roman"/>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公里（砂石面层），新建沙产业基础设施</w:t>
      </w:r>
      <w:r>
        <w:rPr>
          <w:rFonts w:hint="default" w:ascii="Times New Roman" w:hAnsi="Times New Roman" w:eastAsia="仿宋_GB2312" w:cs="Times New Roman"/>
          <w:color w:val="000000" w:themeColor="text1"/>
          <w:sz w:val="32"/>
          <w:szCs w:val="32"/>
          <w14:textFill>
            <w14:solidFill>
              <w14:schemeClr w14:val="tx1"/>
            </w14:solidFill>
          </w14:textFill>
        </w:rPr>
        <w:t>1200</w:t>
      </w:r>
      <w:r>
        <w:rPr>
          <w:rFonts w:hint="eastAsia" w:ascii="仿宋_GB2312" w:hAnsi="仿宋_GB2312" w:eastAsia="仿宋_GB2312" w:cs="仿宋_GB2312"/>
          <w:color w:val="000000" w:themeColor="text1"/>
          <w:sz w:val="32"/>
          <w:szCs w:val="32"/>
          <w14:textFill>
            <w14:solidFill>
              <w14:schemeClr w14:val="tx1"/>
            </w14:solidFill>
          </w14:textFill>
        </w:rPr>
        <w:t>平方米，新建农副产品及特色饮食展销区</w:t>
      </w: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万平（砂石面层），配套拱排水管网、供电线路及相关附属设施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8</w:t>
      </w:r>
      <w:r>
        <w:rPr>
          <w:rFonts w:hint="eastAsia" w:ascii="仿宋_GB2312" w:hAnsi="仿宋_GB2312" w:eastAsia="仿宋_GB2312" w:cs="仿宋_GB2312"/>
          <w:b/>
          <w:bCs/>
          <w:color w:val="000000" w:themeColor="text1"/>
          <w:sz w:val="32"/>
          <w:szCs w:val="32"/>
          <w14:textFill>
            <w14:solidFill>
              <w14:schemeClr w14:val="tx1"/>
            </w14:solidFill>
          </w14:textFill>
        </w:rPr>
        <w:t>项目补助标准</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val="0"/>
          <w:bCs/>
          <w:color w:val="000000" w:themeColor="text1"/>
          <w:sz w:val="32"/>
          <w:szCs w:val="32"/>
          <w:lang w:val="en-US" w:eastAsia="zh-CN"/>
          <w14:textFill>
            <w14:solidFill>
              <w14:schemeClr w14:val="tx1"/>
            </w14:solidFill>
          </w14:textFill>
        </w:rPr>
        <w:t>建设类项目，不涉及补助。</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9</w:t>
      </w:r>
      <w:r>
        <w:rPr>
          <w:rFonts w:hint="eastAsia" w:ascii="仿宋_GB2312" w:hAnsi="仿宋_GB2312" w:eastAsia="仿宋_GB2312" w:cs="仿宋_GB2312"/>
          <w:b/>
          <w:bCs/>
          <w:color w:val="000000" w:themeColor="text1"/>
          <w:sz w:val="32"/>
          <w:szCs w:val="32"/>
          <w14:textFill>
            <w14:solidFill>
              <w14:schemeClr w14:val="tx1"/>
            </w14:solidFill>
          </w14:textFill>
        </w:rPr>
        <w:t>项目建设期限</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本项目建设开工时间为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月，完工时间拟为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10</w:t>
      </w:r>
      <w:r>
        <w:rPr>
          <w:rFonts w:hint="eastAsia" w:ascii="仿宋_GB2312" w:hAnsi="仿宋_GB2312" w:eastAsia="仿宋_GB2312" w:cs="仿宋_GB2312"/>
          <w:b/>
          <w:bCs/>
          <w:color w:val="000000" w:themeColor="text1"/>
          <w:sz w:val="32"/>
          <w:szCs w:val="32"/>
          <w14:textFill>
            <w14:solidFill>
              <w14:schemeClr w14:val="tx1"/>
            </w14:solidFill>
          </w14:textFill>
        </w:rPr>
        <w:t>项目建设地点及基本情况</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项目建设地点</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项目所在区位于麦盖提县库木库萨尔乡吐孜鲁克喀什村。</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项目地理位置</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麦盖提县位于新疆维吾尔自治区南部，地处塔克拉玛干沙漠西南边缘、喀喇昆仑山北麓、叶尔羌河下游和提孜那甫河下游。地理位置为东经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'，北纬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'，东部隔大漠与和田地区皮山县相连，东北与阿克苏地区阿瓦提县相邻，南部与莎车县相邻、北部与巴楚县相邻，东西长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160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km，南北宽</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km，总面积为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万平方km。海拔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1155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1195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米。县城距首府乌鲁木齐市公路里程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1410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km、距喀什市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175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km、距巴楚火车站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150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km，位于叶河流域五个县的中心，是毗邻叶尔羌河中游的一颗明珠。全县地势平坦，由西南向东北缓缓倾斜。主要地貌：沿叶尔羌河两岸为平原区，东北部沿叶尔羌河下游一带为原始胡杨森林区，东部为沙漠区。</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麦盖提县自然景观有原始胡杨林、东河滩沙棘林湿地、塔克拉玛干沙漠风光、叶尔羌河中游大桥夕阳风光和刀郎千岛湖等。距塔克拉玛干沙漠最近处仅</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km。</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项目路线所在区域属于提孜那甫河下游的冲、洪积和风积平原，地形平坦开阔，地势由西南向东北缓缓倾斜，自然坡降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%之内，全线属平原微丘地形。路线两侧主要为胡杨及沙漠等。</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outlineLvl w:val="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.项目立项情况</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项目建设依据</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为贯彻落实国家民委办公厅《关于聚焦主线加强少数民族发展任务资金项目管理工作的通知》（民办发【</w:t>
      </w:r>
      <w:r>
        <w:rPr>
          <w:rFonts w:hint="default" w:ascii="Times New Roman" w:hAnsi="Times New Roman" w:eastAsia="仿宋_GB2312" w:cs="Times New Roman"/>
          <w:color w:val="000000" w:themeColor="text1"/>
          <w:sz w:val="32"/>
          <w:szCs w:val="32"/>
          <w14:textFill>
            <w14:solidFill>
              <w14:schemeClr w14:val="tx1"/>
            </w14:solidFill>
          </w14:textFill>
        </w:rPr>
        <w:t>2024</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号）文件精神，切实将少数民族发展任务资金项目管理聚焦到铸牢中华民族共同体意识主线上来，赋予资金项目以“三个意义”，充分发挥民族文化旅游促进各民族交往交流交融的作用，打造彰显中华民族共同体意识的旅游产品和精品旅游线路，在旅游中引导各民族群众感知中华文化，在交往中增进中华民族共同体意识，县委统战部会同旅游局谋划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麦盖提县库木库萨尔乡沙产业配套基础设施建设项目</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w:t>
      </w:r>
      <w:r>
        <w:rPr>
          <w:rFonts w:hint="eastAsia" w:ascii="仿宋_GB2312" w:hAnsi="仿宋_GB2312" w:eastAsia="仿宋_GB2312" w:cs="仿宋_GB2312"/>
          <w:color w:val="000000" w:themeColor="text1"/>
          <w:sz w:val="32"/>
          <w:szCs w:val="32"/>
          <w14:textFill>
            <w14:solidFill>
              <w14:schemeClr w14:val="tx1"/>
            </w14:solidFill>
          </w14:textFill>
        </w:rPr>
        <w:t>的建设不仅可以提升当地的</w:t>
      </w:r>
      <w:r>
        <w:rPr>
          <w:rFonts w:hint="eastAsia" w:ascii="仿宋_GB2312" w:hAnsi="仿宋_GB2312" w:eastAsia="仿宋_GB2312" w:cs="仿宋_GB2312"/>
          <w:color w:val="000000" w:themeColor="text1"/>
          <w:sz w:val="32"/>
          <w:szCs w:val="32"/>
          <w:lang w:eastAsia="zh-CN"/>
          <w14:textFill>
            <w14:solidFill>
              <w14:schemeClr w14:val="tx1"/>
            </w14:solidFill>
          </w14:textFill>
        </w:rPr>
        <w:t>沙产业</w:t>
      </w:r>
      <w:r>
        <w:rPr>
          <w:rFonts w:hint="eastAsia" w:ascii="仿宋_GB2312" w:hAnsi="仿宋_GB2312" w:eastAsia="仿宋_GB2312" w:cs="仿宋_GB2312"/>
          <w:color w:val="000000" w:themeColor="text1"/>
          <w:sz w:val="32"/>
          <w:szCs w:val="32"/>
          <w14:textFill>
            <w14:solidFill>
              <w14:schemeClr w14:val="tx1"/>
            </w14:solidFill>
          </w14:textFill>
        </w:rPr>
        <w:t>资源价值，还可以促进当地经济的发展，增加就业机会，改善当地居民的生活质量。</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w:t>
      </w:r>
      <w:r>
        <w:rPr>
          <w:rFonts w:hint="eastAsia" w:ascii="仿宋_GB2312" w:hAnsi="仿宋_GB2312" w:eastAsia="仿宋_GB2312" w:cs="仿宋_GB2312"/>
          <w:color w:val="000000" w:themeColor="text1"/>
          <w:sz w:val="32"/>
          <w:szCs w:val="32"/>
          <w14:textFill>
            <w14:solidFill>
              <w14:schemeClr w14:val="tx1"/>
            </w14:solidFill>
          </w14:textFill>
        </w:rPr>
        <w:t>的建设对于提升交通运输条件、完善旅游配套设施，提高旅游环境质量和促进旅游经济发展有着重要的作用，同时促进各民族交往交流交融，铸牢中华民族共同体意识。</w:t>
      </w:r>
    </w:p>
    <w:p>
      <w:pPr>
        <w:pStyle w:val="13"/>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1</w:t>
      </w:r>
      <w:r>
        <w:rPr>
          <w:rFonts w:hint="eastAsia" w:ascii="方正仿宋_GB2312" w:hAnsi="方正仿宋_GB2312" w:eastAsia="方正仿宋_GB2312" w:cs="方正仿宋_GB2312"/>
          <w:color w:val="000000" w:themeColor="text1"/>
          <w:sz w:val="32"/>
          <w:szCs w:val="32"/>
          <w14:textFill>
            <w14:solidFill>
              <w14:schemeClr w14:val="tx1"/>
            </w14:solidFill>
          </w14:textFill>
        </w:rPr>
        <w:t xml:space="preserve"> 、《推动共建丝绸之路经济带和 </w:t>
      </w:r>
      <w:r>
        <w:rPr>
          <w:rFonts w:hint="default" w:ascii="Times New Roman" w:hAnsi="Times New Roman" w:eastAsia="方正仿宋_GB2312" w:cs="Times New Roman"/>
          <w:color w:val="000000" w:themeColor="text1"/>
          <w:sz w:val="32"/>
          <w:szCs w:val="32"/>
          <w14:textFill>
            <w14:solidFill>
              <w14:schemeClr w14:val="tx1"/>
            </w14:solidFill>
          </w14:textFill>
        </w:rPr>
        <w:t>21</w:t>
      </w:r>
      <w:r>
        <w:rPr>
          <w:rFonts w:hint="eastAsia" w:ascii="方正仿宋_GB2312" w:hAnsi="方正仿宋_GB2312" w:eastAsia="方正仿宋_GB2312" w:cs="方正仿宋_GB2312"/>
          <w:color w:val="000000" w:themeColor="text1"/>
          <w:sz w:val="32"/>
          <w:szCs w:val="32"/>
          <w14:textFill>
            <w14:solidFill>
              <w14:schemeClr w14:val="tx1"/>
            </w14:solidFill>
          </w14:textFill>
        </w:rPr>
        <w:t xml:space="preserve"> 世纪海上丝绸之路的 愿景与行动》；</w:t>
      </w:r>
    </w:p>
    <w:p>
      <w:pPr>
        <w:pStyle w:val="13"/>
        <w:keepNext w:val="0"/>
        <w:keepLines w:val="0"/>
        <w:pageBreakBefore w:val="0"/>
        <w:widowControl w:val="0"/>
        <w:kinsoku/>
        <w:wordWrap/>
        <w:overflowPunct/>
        <w:topLinePunct w:val="0"/>
        <w:autoSpaceDE/>
        <w:autoSpaceDN/>
        <w:bidi w:val="0"/>
        <w:adjustRightInd/>
        <w:snapToGrid/>
        <w:spacing w:line="240" w:lineRule="atLeast"/>
        <w:ind w:firstLine="640" w:firstLineChars="200"/>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14:textFill>
            <w14:solidFill>
              <w14:schemeClr w14:val="tx1"/>
            </w14:solidFill>
          </w14:textFill>
        </w:rPr>
        <w:t xml:space="preserve"> 、《国务院关于加快发展旅游业的意见》；</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 xml:space="preserve"> 、《中华人民共和国国民经济和社会发展第十四个五年规 划和 </w:t>
      </w:r>
      <w:r>
        <w:rPr>
          <w:rFonts w:hint="default" w:ascii="仿宋_GB2312" w:hAnsi="仿宋_GB2312" w:eastAsia="仿宋_GB2312" w:cs="仿宋_GB2312"/>
          <w:color w:val="000000" w:themeColor="text1"/>
          <w:sz w:val="32"/>
          <w:szCs w:val="32"/>
          <w14:textFill>
            <w14:solidFill>
              <w14:schemeClr w14:val="tx1"/>
            </w14:solidFill>
          </w14:textFill>
        </w:rPr>
        <w:t>2035</w:t>
      </w:r>
      <w:r>
        <w:rPr>
          <w:rFonts w:hint="eastAsia" w:ascii="仿宋_GB2312" w:hAnsi="仿宋_GB2312" w:eastAsia="仿宋_GB2312" w:cs="仿宋_GB2312"/>
          <w:color w:val="000000" w:themeColor="text1"/>
          <w:sz w:val="32"/>
          <w:szCs w:val="32"/>
          <w14:textFill>
            <w14:solidFill>
              <w14:schemeClr w14:val="tx1"/>
            </w14:solidFill>
          </w14:textFill>
        </w:rPr>
        <w:t xml:space="preserve"> 年远景目标纲要》</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 xml:space="preserve"> 、《关于进一步促进旅游投资和消费的若干意见》（国办 发〔</w:t>
      </w:r>
      <w:r>
        <w:rPr>
          <w:rFonts w:hint="default" w:ascii="仿宋_GB2312" w:hAnsi="仿宋_GB2312" w:eastAsia="仿宋_GB2312" w:cs="仿宋_GB2312"/>
          <w:color w:val="000000" w:themeColor="text1"/>
          <w:sz w:val="32"/>
          <w:szCs w:val="32"/>
          <w14:textFill>
            <w14:solidFill>
              <w14:schemeClr w14:val="tx1"/>
            </w14:solidFill>
          </w14:textFill>
        </w:rPr>
        <w:t>2015</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62</w:t>
      </w:r>
      <w:r>
        <w:rPr>
          <w:rFonts w:hint="eastAsia" w:ascii="仿宋_GB2312" w:hAnsi="仿宋_GB2312" w:eastAsia="仿宋_GB2312" w:cs="仿宋_GB2312"/>
          <w:color w:val="000000" w:themeColor="text1"/>
          <w:sz w:val="32"/>
          <w:szCs w:val="32"/>
          <w14:textFill>
            <w14:solidFill>
              <w14:schemeClr w14:val="tx1"/>
            </w14:solidFill>
          </w14:textFill>
        </w:rPr>
        <w:t xml:space="preserve"> 号）；</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、《关于支持旅游业发展用地政策的意见》（国土资规〔</w:t>
      </w:r>
      <w:r>
        <w:rPr>
          <w:rFonts w:hint="default" w:ascii="仿宋_GB2312" w:hAnsi="仿宋_GB2312" w:eastAsia="仿宋_GB2312" w:cs="仿宋_GB2312"/>
          <w:color w:val="000000" w:themeColor="text1"/>
          <w:sz w:val="32"/>
          <w:szCs w:val="32"/>
          <w14:textFill>
            <w14:solidFill>
              <w14:schemeClr w14:val="tx1"/>
            </w14:solidFill>
          </w14:textFill>
        </w:rPr>
        <w:t>2015</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仿宋_GB2312" w:hAnsi="仿宋_GB2312" w:eastAsia="仿宋_GB2312" w:cs="仿宋_GB2312"/>
          <w:color w:val="000000" w:themeColor="text1"/>
          <w:sz w:val="32"/>
          <w:szCs w:val="32"/>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 xml:space="preserve"> 号）；</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 xml:space="preserve"> 、《“十四五 ”文化和旅游发展规划》；</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 xml:space="preserve"> 、《国家发展改革委关于印发投资项目可行性研究报告编 写大纲及说明的通知》（发改投资规〔</w:t>
      </w:r>
      <w:r>
        <w:rPr>
          <w:rFonts w:hint="default" w:ascii="仿宋_GB2312" w:hAnsi="仿宋_GB2312" w:eastAsia="仿宋_GB2312" w:cs="仿宋_GB2312"/>
          <w:color w:val="000000" w:themeColor="text1"/>
          <w:sz w:val="32"/>
          <w:szCs w:val="32"/>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304</w:t>
      </w:r>
      <w:r>
        <w:rPr>
          <w:rFonts w:hint="eastAsia" w:ascii="仿宋_GB2312" w:hAnsi="仿宋_GB2312" w:eastAsia="仿宋_GB2312" w:cs="仿宋_GB2312"/>
          <w:color w:val="000000" w:themeColor="text1"/>
          <w:sz w:val="32"/>
          <w:szCs w:val="32"/>
          <w14:textFill>
            <w14:solidFill>
              <w14:schemeClr w14:val="tx1"/>
            </w14:solidFill>
          </w14:textFill>
        </w:rPr>
        <w:t xml:space="preserve"> 号）；</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国家发展改革委</w:t>
      </w:r>
      <w:r>
        <w:rPr>
          <w:rFonts w:hint="eastAsia" w:ascii="仿宋_GB2312" w:hAnsi="仿宋_GB2312" w:eastAsia="仿宋_GB2312" w:cs="仿宋_GB2312"/>
          <w:color w:val="000000" w:themeColor="text1"/>
          <w:sz w:val="32"/>
          <w:szCs w:val="32"/>
          <w14:textFill>
            <w14:solidFill>
              <w14:schemeClr w14:val="tx1"/>
            </w14:solidFill>
          </w14:textFill>
        </w:rPr>
        <w:t>、建设部《建设项目经济评价方法与参数》 （第三版）；</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 xml:space="preserve"> 、《城市道路工程设计规范》（CJJ</w:t>
      </w:r>
      <w:r>
        <w:rPr>
          <w:rFonts w:hint="default" w:ascii="仿宋_GB2312" w:hAnsi="仿宋_GB2312" w:eastAsia="仿宋_GB2312" w:cs="仿宋_GB2312"/>
          <w:color w:val="000000" w:themeColor="text1"/>
          <w:sz w:val="32"/>
          <w:szCs w:val="32"/>
          <w14:textFill>
            <w14:solidFill>
              <w14:schemeClr w14:val="tx1"/>
            </w14:solidFill>
          </w14:textFill>
        </w:rPr>
        <w:t>37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2012</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 xml:space="preserve"> 、《投资项目可行性研究指南》（试用版）；</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 xml:space="preserve">、《新疆维吾尔自治区国民经济和社会发展第十四个五年 规划和 </w:t>
      </w:r>
      <w:r>
        <w:rPr>
          <w:rFonts w:hint="default" w:ascii="仿宋_GB2312" w:hAnsi="仿宋_GB2312" w:eastAsia="仿宋_GB2312" w:cs="仿宋_GB2312"/>
          <w:color w:val="000000" w:themeColor="text1"/>
          <w:sz w:val="32"/>
          <w:szCs w:val="32"/>
          <w14:textFill>
            <w14:solidFill>
              <w14:schemeClr w14:val="tx1"/>
            </w14:solidFill>
          </w14:textFill>
        </w:rPr>
        <w:t>2035</w:t>
      </w:r>
      <w:r>
        <w:rPr>
          <w:rFonts w:hint="eastAsia" w:ascii="仿宋_GB2312" w:hAnsi="仿宋_GB2312" w:eastAsia="仿宋_GB2312" w:cs="仿宋_GB2312"/>
          <w:color w:val="000000" w:themeColor="text1"/>
          <w:sz w:val="32"/>
          <w:szCs w:val="32"/>
          <w14:textFill>
            <w14:solidFill>
              <w14:schemeClr w14:val="tx1"/>
            </w14:solidFill>
          </w14:textFill>
        </w:rPr>
        <w:t xml:space="preserve"> 年远景目标纲要》；</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 xml:space="preserve"> 、《新疆喀什地区和社会发展第十四个五年规划及 </w:t>
      </w:r>
      <w:r>
        <w:rPr>
          <w:rFonts w:hint="default" w:ascii="仿宋_GB2312" w:hAnsi="仿宋_GB2312" w:eastAsia="仿宋_GB2312" w:cs="仿宋_GB2312"/>
          <w:color w:val="000000" w:themeColor="text1"/>
          <w:sz w:val="32"/>
          <w:szCs w:val="32"/>
          <w14:textFill>
            <w14:solidFill>
              <w14:schemeClr w14:val="tx1"/>
            </w14:solidFill>
          </w14:textFill>
        </w:rPr>
        <w:t>2035</w:t>
      </w:r>
      <w:r>
        <w:rPr>
          <w:rFonts w:hint="eastAsia" w:ascii="仿宋_GB2312" w:hAnsi="仿宋_GB2312" w:eastAsia="仿宋_GB2312" w:cs="仿宋_GB2312"/>
          <w:color w:val="000000" w:themeColor="text1"/>
          <w:sz w:val="32"/>
          <w:szCs w:val="32"/>
          <w14:textFill>
            <w14:solidFill>
              <w14:schemeClr w14:val="tx1"/>
            </w14:solidFill>
          </w14:textFill>
        </w:rPr>
        <w:t xml:space="preserve"> 远景发展纲要》；</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13</w:t>
      </w:r>
      <w:r>
        <w:rPr>
          <w:rFonts w:hint="eastAsia" w:ascii="仿宋_GB2312" w:hAnsi="仿宋_GB2312" w:eastAsia="仿宋_GB2312" w:cs="仿宋_GB2312"/>
          <w:color w:val="000000" w:themeColor="text1"/>
          <w:sz w:val="32"/>
          <w:szCs w:val="32"/>
          <w14:textFill>
            <w14:solidFill>
              <w14:schemeClr w14:val="tx1"/>
            </w14:solidFill>
          </w14:textFill>
        </w:rPr>
        <w:t xml:space="preserve"> 、《喀什地区旅游业发展总体规划（</w:t>
      </w:r>
      <w:r>
        <w:rPr>
          <w:rFonts w:hint="default" w:ascii="仿宋_GB2312" w:hAnsi="仿宋_GB2312" w:eastAsia="仿宋_GB2312" w:cs="仿宋_GB2312"/>
          <w:color w:val="000000" w:themeColor="text1"/>
          <w:sz w:val="32"/>
          <w:szCs w:val="32"/>
          <w14:textFill>
            <w14:solidFill>
              <w14:schemeClr w14:val="tx1"/>
            </w14:solidFill>
          </w14:textFill>
        </w:rPr>
        <w:t>2018</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2030</w:t>
      </w:r>
      <w:r>
        <w:rPr>
          <w:rFonts w:hint="eastAsia" w:ascii="仿宋_GB2312" w:hAnsi="仿宋_GB2312" w:eastAsia="仿宋_GB2312" w:cs="仿宋_GB2312"/>
          <w:color w:val="000000" w:themeColor="text1"/>
          <w:sz w:val="32"/>
          <w:szCs w:val="32"/>
          <w14:textFill>
            <w14:solidFill>
              <w14:schemeClr w14:val="tx1"/>
            </w14:solidFill>
          </w14:textFill>
        </w:rPr>
        <w:t xml:space="preserve"> 年）》；</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 xml:space="preserve"> 、《新疆麦盖提县国民经济和社会发展第十四个五年规划 及 </w:t>
      </w:r>
      <w:r>
        <w:rPr>
          <w:rFonts w:hint="default" w:ascii="仿宋_GB2312" w:hAnsi="仿宋_GB2312" w:eastAsia="仿宋_GB2312" w:cs="仿宋_GB2312"/>
          <w:color w:val="000000" w:themeColor="text1"/>
          <w:sz w:val="32"/>
          <w:szCs w:val="32"/>
          <w14:textFill>
            <w14:solidFill>
              <w14:schemeClr w14:val="tx1"/>
            </w14:solidFill>
          </w14:textFill>
        </w:rPr>
        <w:t>2035</w:t>
      </w:r>
      <w:r>
        <w:rPr>
          <w:rFonts w:hint="eastAsia" w:ascii="仿宋_GB2312" w:hAnsi="仿宋_GB2312" w:eastAsia="仿宋_GB2312" w:cs="仿宋_GB2312"/>
          <w:color w:val="000000" w:themeColor="text1"/>
          <w:sz w:val="32"/>
          <w:szCs w:val="32"/>
          <w14:textFill>
            <w14:solidFill>
              <w14:schemeClr w14:val="tx1"/>
            </w14:solidFill>
          </w14:textFill>
        </w:rPr>
        <w:t xml:space="preserve"> 远景发展纲要》</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15</w:t>
      </w:r>
      <w:r>
        <w:rPr>
          <w:rFonts w:hint="eastAsia" w:ascii="仿宋_GB2312" w:hAnsi="仿宋_GB2312" w:eastAsia="仿宋_GB2312" w:cs="仿宋_GB2312"/>
          <w:color w:val="000000" w:themeColor="text1"/>
          <w:sz w:val="32"/>
          <w:szCs w:val="32"/>
          <w14:textFill>
            <w14:solidFill>
              <w14:schemeClr w14:val="tx1"/>
            </w14:solidFill>
          </w14:textFill>
        </w:rPr>
        <w:t xml:space="preserve"> 、《麦盖提县全域旅游发展总体规划（</w:t>
      </w:r>
      <w:r>
        <w:rPr>
          <w:rFonts w:hint="default" w:ascii="仿宋_GB2312" w:hAnsi="仿宋_GB2312" w:eastAsia="仿宋_GB2312" w:cs="仿宋_GB2312"/>
          <w:color w:val="000000" w:themeColor="text1"/>
          <w:sz w:val="32"/>
          <w:szCs w:val="32"/>
          <w14:textFill>
            <w14:solidFill>
              <w14:schemeClr w14:val="tx1"/>
            </w14:solidFill>
          </w14:textFill>
        </w:rPr>
        <w:t>2020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2035</w:t>
      </w:r>
      <w:r>
        <w:rPr>
          <w:rFonts w:hint="eastAsia" w:ascii="仿宋_GB2312" w:hAnsi="仿宋_GB2312" w:eastAsia="仿宋_GB2312" w:cs="仿宋_GB2312"/>
          <w:color w:val="000000" w:themeColor="text1"/>
          <w:sz w:val="32"/>
          <w:szCs w:val="32"/>
          <w14:textFill>
            <w14:solidFill>
              <w14:schemeClr w14:val="tx1"/>
            </w14:solidFill>
          </w14:textFill>
        </w:rPr>
        <w:t xml:space="preserve"> 年）》；</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16</w:t>
      </w:r>
      <w:r>
        <w:rPr>
          <w:rFonts w:hint="eastAsia" w:ascii="仿宋_GB2312" w:hAnsi="仿宋_GB2312" w:eastAsia="仿宋_GB2312" w:cs="仿宋_GB2312"/>
          <w:color w:val="000000" w:themeColor="text1"/>
          <w:sz w:val="32"/>
          <w:szCs w:val="32"/>
          <w14:textFill>
            <w14:solidFill>
              <w14:schemeClr w14:val="tx1"/>
            </w14:solidFill>
          </w14:textFill>
        </w:rPr>
        <w:t xml:space="preserve"> 、《麦盖提乡村旅游促振兴实施方案》；</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17</w:t>
      </w:r>
      <w:r>
        <w:rPr>
          <w:rFonts w:hint="eastAsia" w:ascii="仿宋_GB2312" w:hAnsi="仿宋_GB2312" w:eastAsia="仿宋_GB2312" w:cs="仿宋_GB2312"/>
          <w:color w:val="000000" w:themeColor="text1"/>
          <w:sz w:val="32"/>
          <w:szCs w:val="32"/>
          <w14:textFill>
            <w14:solidFill>
              <w14:schemeClr w14:val="tx1"/>
            </w14:solidFill>
          </w14:textFill>
        </w:rPr>
        <w:t xml:space="preserve"> 、根据项目需要进行调查和收集的设计基础资料。</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立项批复的建设内容及规模</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项目位于麦盖提县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库木库萨尔乡吐孜鲁克喀什村</w:t>
      </w:r>
      <w:r>
        <w:rPr>
          <w:rFonts w:hint="eastAsia" w:ascii="仿宋_GB2312" w:hAnsi="仿宋_GB2312" w:eastAsia="仿宋_GB2312" w:cs="仿宋_GB2312"/>
          <w:color w:val="000000" w:themeColor="text1"/>
          <w:sz w:val="32"/>
          <w:szCs w:val="32"/>
          <w14:textFill>
            <w14:solidFill>
              <w14:schemeClr w14:val="tx1"/>
            </w14:solidFill>
          </w14:textFill>
        </w:rPr>
        <w:t>，主要建设内容包括：新建产业道路</w:t>
      </w:r>
      <w:r>
        <w:rPr>
          <w:rFonts w:hint="default" w:ascii="Times New Roman" w:hAnsi="Times New Roman" w:eastAsia="仿宋_GB2312" w:cs="Times New Roman"/>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公里（砂石面层），新建沙产业基础设施</w:t>
      </w:r>
      <w:r>
        <w:rPr>
          <w:rFonts w:hint="default" w:ascii="Times New Roman" w:hAnsi="Times New Roman" w:eastAsia="仿宋_GB2312" w:cs="Times New Roman"/>
          <w:color w:val="000000" w:themeColor="text1"/>
          <w:sz w:val="32"/>
          <w:szCs w:val="32"/>
          <w14:textFill>
            <w14:solidFill>
              <w14:schemeClr w14:val="tx1"/>
            </w14:solidFill>
          </w14:textFill>
        </w:rPr>
        <w:t>1200</w:t>
      </w:r>
      <w:r>
        <w:rPr>
          <w:rFonts w:hint="eastAsia" w:ascii="仿宋_GB2312" w:hAnsi="仿宋_GB2312" w:eastAsia="仿宋_GB2312" w:cs="仿宋_GB2312"/>
          <w:color w:val="000000" w:themeColor="text1"/>
          <w:sz w:val="32"/>
          <w:szCs w:val="32"/>
          <w14:textFill>
            <w14:solidFill>
              <w14:schemeClr w14:val="tx1"/>
            </w14:solidFill>
          </w14:textFill>
        </w:rPr>
        <w:t>平方米，新建农副产品及特色饮食展销区</w:t>
      </w: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万平（砂石面层），配套拱排水管网、供电线路及相关附属设施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项目建设的必要性和可行性</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项目的实施对于推动当地</w:t>
      </w:r>
      <w:r>
        <w:rPr>
          <w:rFonts w:hint="eastAsia" w:ascii="仿宋_GB2312" w:hAnsi="仿宋_GB2312" w:eastAsia="仿宋_GB2312" w:cs="仿宋_GB2312"/>
          <w:color w:val="000000" w:themeColor="text1"/>
          <w:sz w:val="32"/>
          <w:szCs w:val="32"/>
          <w:lang w:eastAsia="zh-CN"/>
          <w14:textFill>
            <w14:solidFill>
              <w14:schemeClr w14:val="tx1"/>
            </w14:solidFill>
          </w14:textFill>
        </w:rPr>
        <w:t>沙产</w:t>
      </w:r>
      <w:r>
        <w:rPr>
          <w:rFonts w:hint="eastAsia" w:ascii="仿宋_GB2312" w:hAnsi="仿宋_GB2312" w:eastAsia="仿宋_GB2312" w:cs="仿宋_GB2312"/>
          <w:color w:val="000000" w:themeColor="text1"/>
          <w:sz w:val="32"/>
          <w:szCs w:val="32"/>
          <w14:textFill>
            <w14:solidFill>
              <w14:schemeClr w14:val="tx1"/>
            </w14:solidFill>
          </w14:textFill>
        </w:rPr>
        <w:t>业的发展、促进民族团结和社会和谐具有重要意义。首先，麦盖提县作为“刀郎文化之乡”，拥有丰富的自然风光、人文景观和民俗风情，该项目能够充分挖掘和展示这些独特资源，打造特色鲜明的旅游产品和精品旅游线路，不仅有助于提升麦盖提县乃至整个喀什地区的旅游品牌形象，还能吸引更多的国内外游客前来观光体验，从而带动地方经济的发展。其次，通过建设道路和基础设施，满足日益增长的个性化旅游需求，进一步激发旅游消费潜力。再次，该项目的实施有助于解决当地就业问题，为周边居民创造更多的就业机会，增加他们的收入来源，改善生活水平。最后，项目通过民族文化旅游的开发，促进了各民族之间的交往交流交融，增强了中华民族共同体意识，有利于维护社会稳定和长治久安。</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具备较高的可行性。从资金保障来看，项目已获得少数民族发展资金和其他专项资金的支持，</w:t>
      </w:r>
      <w:r>
        <w:rPr>
          <w:rFonts w:hint="eastAsia" w:ascii="仿宋_GB2312" w:hAnsi="仿宋_GB2312" w:eastAsia="仿宋_GB2312" w:cs="仿宋_GB2312"/>
          <w:color w:val="000000" w:themeColor="text1"/>
          <w:sz w:val="32"/>
          <w:szCs w:val="32"/>
          <w:highlight w:val="none"/>
          <w14:textFill>
            <w14:solidFill>
              <w14:schemeClr w14:val="tx1"/>
            </w14:solidFill>
          </w14:textFill>
        </w:rPr>
        <w:t>总投入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620</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资金来源明确且充足，能够确保项目的顺利实施。从技术层面分析，项目涉及的道路</w:t>
      </w:r>
      <w:r>
        <w:rPr>
          <w:rFonts w:hint="eastAsia" w:ascii="仿宋_GB2312" w:hAnsi="仿宋_GB2312" w:eastAsia="仿宋_GB2312" w:cs="仿宋_GB2312"/>
          <w:color w:val="000000" w:themeColor="text1"/>
          <w:sz w:val="32"/>
          <w:szCs w:val="32"/>
          <w:lang w:eastAsia="zh-CN"/>
          <w14:textFill>
            <w14:solidFill>
              <w14:schemeClr w14:val="tx1"/>
            </w14:solidFill>
          </w14:textFill>
        </w:rPr>
        <w:t>、基础设施</w:t>
      </w:r>
      <w:r>
        <w:rPr>
          <w:rFonts w:hint="eastAsia" w:ascii="仿宋_GB2312" w:hAnsi="仿宋_GB2312" w:eastAsia="仿宋_GB2312" w:cs="仿宋_GB2312"/>
          <w:color w:val="000000" w:themeColor="text1"/>
          <w:sz w:val="32"/>
          <w:szCs w:val="32"/>
          <w14:textFill>
            <w14:solidFill>
              <w14:schemeClr w14:val="tx1"/>
            </w14:solidFill>
          </w14:textFill>
        </w:rPr>
        <w:t>建设为成熟的技术领域，施工单位具备相应的资质和技术能力，可以保证工程质量达到预期标准。在政策环境方面，该项目积极响应国家关于加强少数民族发展任务资金项目管理工作的要求，符合国家和地方关于促进旅游产业发展的政策导向，享受相关政策扶持，有助于项目的持续推进。此外，麦盖提县具有丰富的旅游资源和良好的生态环境，项目所在地库木库萨尔乡交通便利，周边配套设施较为完善，为项目的建设和后期运营提供了有利条件。</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综上所述，无论是从资金、技术还是政策环境来看，该项目都具有很高的可行性和操作性。</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综合条件评价</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本项目建设用地均为空地，无占用耕地和林地。</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outlineLvl w:val="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.施工设计（设计或技术方案）</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项目设计（技术依据）</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本项目设计依据国家、新疆维吾尔自治区有关法律、法规、条例等。</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《建筑结构可靠性设计统一标准》GB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50068</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2018</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《建筑结构荷载规范》GB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50009</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2012</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《建筑抗震设计规范》GB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50011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年版）</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《混凝土结构设计规范》GB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50010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20102015</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年版</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《混凝土结构工程施工质量验收规范》GB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50204</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2015</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《砌体结构通用规范》GB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55007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2021</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《砌体结构工程施工质量验收规范》GB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50203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2011</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《建筑地基基础设计规范》GB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50007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《建筑地基基础工程施工质量验收标准》GB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50202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2018</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《墙体材料应用统一技术规范》GB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50574</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2010</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《工业建筑防腐蚀设计标准》GB/T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50046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2018</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《建筑与市政工程无障碍通用规范》(GB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55019</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《建筑地面设计规范》GB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50037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2013</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《坡屋面工程技术规范》GB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50693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2011</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《建筑工程建筑面积计算规范》GB/T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50353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2013</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《民用建筑设计统一标准》GB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50352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2019</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《民用建筑通用规范》GB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55031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2022</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《屋面工程技术规范》GB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50345</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2012</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《屋面工程质量验收规范》GB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50207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2012</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《民用建筑隔声设计规范》GB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50118</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2010</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《压型金属板建筑构造》</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J</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925</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《建筑工程建筑面积计算规范》(GB/T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50353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《中华人民共和国工程建设标准强制性条文》(</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年版）</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《门式钢架轻型房屋钢结构技术规范》GB</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51022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2015</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建设内容、规模、标准、投资设计等明细资料</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新建产业道路</w:t>
      </w:r>
      <w:r>
        <w:rPr>
          <w:rFonts w:hint="default" w:ascii="Times New Roman" w:hAnsi="Times New Roman" w:eastAsia="仿宋_GB2312" w:cs="Times New Roman"/>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公里（砂石面层），新建沙产业基础设施</w:t>
      </w:r>
      <w:r>
        <w:rPr>
          <w:rFonts w:hint="default" w:ascii="Times New Roman" w:hAnsi="Times New Roman" w:eastAsia="仿宋_GB2312" w:cs="Times New Roman"/>
          <w:color w:val="000000" w:themeColor="text1"/>
          <w:sz w:val="32"/>
          <w:szCs w:val="32"/>
          <w14:textFill>
            <w14:solidFill>
              <w14:schemeClr w14:val="tx1"/>
            </w14:solidFill>
          </w14:textFill>
        </w:rPr>
        <w:t>1200</w:t>
      </w:r>
      <w:r>
        <w:rPr>
          <w:rFonts w:hint="eastAsia" w:ascii="仿宋_GB2312" w:hAnsi="仿宋_GB2312" w:eastAsia="仿宋_GB2312" w:cs="仿宋_GB2312"/>
          <w:color w:val="000000" w:themeColor="text1"/>
          <w:sz w:val="32"/>
          <w:szCs w:val="32"/>
          <w14:textFill>
            <w14:solidFill>
              <w14:schemeClr w14:val="tx1"/>
            </w14:solidFill>
          </w14:textFill>
        </w:rPr>
        <w:t>平方米，新建农副产品及特色饮食展销区</w:t>
      </w: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万平（砂石面层），配套拱排水管网、供电线路及相关附属设施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outlineLvl w:val="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.投资概算和资金筹措</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项目总投资</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拟建项目投资估</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算总金额为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620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资金筹措</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资金来源为少数民族发展资金</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620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资金使用和管理</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衔接资金使用和管理应按照《中央财政衔接推进乡村振兴补助资金管理办法》（财农〔</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19</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号）、《新疆维吾尔自治区财政资金衔接推进乡村振兴补助资金（巩固拓展脱贫攻坚成果和乡村振兴任务）项目管理办法（暂行）》（新乡振〔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号）、《新疆维吾尔自治区财政衔接推进乡村振兴补助资金管理办法》（新财规〔</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等相关文件要求。项目实施单位依据项目计划和实施进度,提出支付申请并提供相关真实、合规的证明材料，制定资金使用计划，经审核后按照国库集中支付管理制度的规定和程序及时支付资金。从国库直接支付到衔接资金项目承担的企业、商户或脱贫户、监测对象个人。严格执行专款专用，杜绝挤占、挪用项目资金，严禁虚列支出、以拨代支虚增项目进度。项目资金支付后,在审计或检查中发现资金使用存在违法违规问题的，应及时追回、收回。对资金使用严格监管，防止资金使用不精准、虚报冒领。为加快资金支出进度，衔接资金项目可实行预付款制，预付资金总额合计原则上不超过应付该项目资金总额的</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%，其中:基础建设类项目预付资金原则上不超过合同金额的</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outlineLvl w:val="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.项目实施保障措施</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组织领导机构</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为了保证项目能够顺利实施，保证质量按时完成，麦盖提县文化体育广播电视和旅游局作为实施单位，成立了项目工作专班。领导小组组长：潘国平，副组长：汪江鹏。成员：杨庆、排孜莱·热合曼。</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专班组下设办公室，办公室主任由汪江鹏同志兼任，负责全面处理日常事务。</w:t>
      </w:r>
    </w:p>
    <w:p>
      <w:pPr>
        <w:pStyle w:val="13"/>
        <w:keepNext w:val="0"/>
        <w:keepLines w:val="0"/>
        <w:pageBreakBefore w:val="0"/>
        <w:widowControl w:val="0"/>
        <w:kinsoku/>
        <w:wordWrap/>
        <w:overflowPunct/>
        <w:topLinePunct w:val="0"/>
        <w:autoSpaceDE/>
        <w:autoSpaceDN/>
        <w:bidi w:val="0"/>
        <w:adjustRightInd/>
        <w:snapToGrid/>
        <w:spacing w:line="240" w:lineRule="atLeast"/>
        <w:ind w:firstLine="643" w:firstLineChars="200"/>
        <w:textAlignment w:val="auto"/>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专班组办公室主要职责：</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专班组办公室负责日常工作，确保项目早开工、早建设、早完工，群众早受益。</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建立与统战部、农业农村局等有关部门工作中的信息沟通和协调，配合完场各项工作。</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做好项目相关信息采集、整理、上报等工作。</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负责协调解决项目实施过程中存在的具体问题。</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技术保障措施</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本项目为低等级公路和房建，实施工程中所采用的技术已广泛应运。</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项目管理、监督检查制度</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根据《新疆维吾尔自治区财政资金衔接推进乡村振兴补助资金（巩固拓展脱贫攻坚成果和乡村振兴任务）项目管理办法（暂行）》（新乡振〔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第一章第三条规定：县委农村工作领导小组是项目管理工作第一责任主体，组长是第一责任人，对项目储备、计划编制、实施推进、资金管理、绩效评价、后期管护、资产管理、监督检查等各项工作负总责。为保质保量按时完成该项目，应全面落实责任分工，细化管理规定，建立奖惩措施，原则上每月至少集体研究一次项目管理工作。项目建设单位应严格落实法人代表制、招投标制、政府采购制、监理制、国库集中支付、竣工验收等相关制度。根据《新疆维吾尔自治区财政资金衔接推进乡村振兴补助资金（巩固拓展脱贫攻坚成果和乡村振兴任务）项目管理办法（暂行）》（新乡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号）第四章第二十条规定：项目建设单位负责加强项目档案资料管理，落实"一项目一档案。</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验收管理</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根据《新疆维吾尔自治区财政资金衔接推进乡村振兴补助资金（巩固拓展脱贫攻坚成果和乡村振兴任务）项目管理办法（暂行）》（新乡振〔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号）等相关文件要求，坚持项目竣工验收制度，遵照属地管理、“谁审批、谁验收”的原则，项目建设单位应于项目完工并全面自查自验项目实施情况后</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日内，向县级项目竣工验收评价工作领导小组提交竣工验收申请报告，提请县级领导小组开展竣工验收工作。未通过竣工验收的项目，由县级项目竣工验收评价工作领导小组督促项目建设单位，采取针对性措施，原则上应于</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个月内完成整改。因主观原因导致项目未正常通过竣工验收的，应严肃追究责任。</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运营模式和运营管理</w:t>
      </w:r>
    </w:p>
    <w:p>
      <w:pPr>
        <w:pStyle w:val="13"/>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项目建成后，固定资产归村集体所有，项目年收益率不低于同期银行贷款利率，收益用于支持巩固拓展脱贫攻坚成果。</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6</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联农带农机制</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本项目机制采用组织带动模式，吸纳当地富余劳动力实现就近就地就业</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25</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人，带动脱贫人口</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人，脱贫户人均月收入达</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3000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元/月，促进群众收入，增强基础组织凝聚力，共享旅游发展成果和红利，带动文旅产业发展，提升县域形象，实现高质量可持续经济发展。助力乡村振兴，为当地脱贫群众实现就近就地就业提供便利，让旅游产业在推动直接经济效益，间接经济效益、就业效益和社会文化效益发挥最大增量。</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outlineLvl w:val="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.项目实施进度</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6</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项目实施进度计划</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根据路网现状、经济评价结果，推荐方案工程内容、建设规模、技术标准等，以及项目区域内地形、地质、水文条件和具体的场地建设条件，本项目的工程工期安排为</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个月。</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前期工作安排：</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月完成</w:t>
      </w:r>
      <w:r>
        <w:rPr>
          <w:rFonts w:hint="eastAsia" w:ascii="仿宋_GB2312" w:hAnsi="仿宋_GB2312" w:eastAsia="仿宋_GB2312" w:cs="仿宋_GB2312"/>
          <w:color w:val="000000" w:themeColor="text1"/>
          <w:sz w:val="32"/>
          <w:szCs w:val="32"/>
          <w14:textFill>
            <w14:solidFill>
              <w14:schemeClr w14:val="tx1"/>
            </w14:solidFill>
          </w14:textFill>
        </w:rPr>
        <w:t>工程实施方案</w:t>
      </w:r>
      <w:r>
        <w:rPr>
          <w:rFonts w:hint="eastAsia" w:ascii="仿宋_GB2312" w:hAnsi="仿宋_GB2312" w:eastAsia="仿宋_GB2312" w:cs="仿宋_GB2312"/>
          <w:color w:val="000000" w:themeColor="text1"/>
          <w:sz w:val="32"/>
          <w:szCs w:val="32"/>
          <w:lang w:eastAsia="zh-CN"/>
          <w14:textFill>
            <w14:solidFill>
              <w14:schemeClr w14:val="tx1"/>
            </w14:solidFill>
          </w14:textFill>
        </w:rPr>
        <w:t>编制及</w:t>
      </w:r>
      <w:r>
        <w:rPr>
          <w:rFonts w:hint="eastAsia" w:ascii="仿宋_GB2312" w:hAnsi="仿宋_GB2312" w:eastAsia="仿宋_GB2312" w:cs="仿宋_GB2312"/>
          <w:color w:val="000000" w:themeColor="text1"/>
          <w:sz w:val="32"/>
          <w:szCs w:val="32"/>
          <w14:textFill>
            <w14:solidFill>
              <w14:schemeClr w14:val="tx1"/>
            </w14:solidFill>
          </w14:textFill>
        </w:rPr>
        <w:t>施工图设计</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月完成可行性研究报告、初步设计及施工图设计。</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月完成招投标工作。</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施工期安排：</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月完工。</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月完成项目验收及审计结算等后续工作。</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6</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招标方案</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招标依据</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项目应严格按照《中华人民共和国招标投标法》《必须招标的工程项目规定》(国家发展改革委令第</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号)、《国务院关于修改和废止部分行政法规的决定》(国务院令第</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698</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号)、国家发展和改革委员会等七部委颁布的第</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号、第</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号令《工程建设项目施工招投标办法》《中华人民共和国招标投标法实施条例(</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修订)》等相关法律法规的规定，并结合本工程项目特点编制项目的招标方案和招标文件、备案和接受行政监督部门的监督。</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招标方式</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依据《中华人民共和国招标投标法》规定，</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2000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年原国家发展计划委报经国国务院批准发布《工程建设项目招标范围和规模标准规定》(国家发展计划委第</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号令，以下简称</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号令)，明确了必须招标的工程项目的具体范围和规模标准。</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令颁布实施以来，我国形成了较为完善的强制招标制度体系对促进招标投标制度的推广应用，规范招标投标行为，保障公平竞争，提高招标采购质量效益，预防惩治腐败发挥了积极作用。随着我国经济社会不断发展和改革持续深化，</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号令在施行中逐步出现范围过宽、标准过低的问题。同时，各省区市根据</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号令规定，普遍制定了本地区必须招标项目的具体范围和规模标准，不同程度上扩大了强制招标范围，并造成了规则不统一，进一步加重了市场主体负担。针对上述问题，国家发展改革委会同国务院有关部门对</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号令进行了修订，形成了《必须招标的工程项目规定》，报请国务院批准后印发，</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2017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年</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日起正式实施。主要修改了三方面内容：一是缩小必须招标项目的范围。二是提高必须招标项目的规模标准。三是明确全国执行统一的规模标准。</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）《中华人民共和国招标投标法》的相关规定</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）在中华人民共和国境内进行下列工程建设项目包括项目的勘察、设计、施工、监理以及与工程建设有关的重要设备、材料等的采购，必须进行招标：</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大型基础设施、公用事业等关系社会公共利益、公众安全的项目：全部或者部分使用国有资金投资或者国家融资的项目：使用国际组织或者外国政府贷款、援助资金的项目。</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）招标分为公开招标和邀请招标：</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公开招标，是指招标人以招标公告的方式邀请不特定的法人或者其他组织投标；邀请招标，是指招标人以投标邀请书的方式邀请特定的法人或者其他组织投标。</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招标人采用公开招标方式的，应当发布招标公告。依法必须进行招标的项目的招标公告，应当通过国家指定的报刊、信息网络或者其他媒介发布。招标公告应当载明招标人的名称和地址、招标项目的性质、数量、实施地点和时间以及获取招标文件的办法等事项。</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招标人采用邀请招标方式的，应当向三个以上具备承担招标项目的能力、资信良好的特定的法人或者其他组织发出投标邀请书。</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）招标人应当根据招标项目的特点和需要编制招标文件。招标文件应当包括招标项目的技术要求、对投标人资格审查的标准、投标报价要求和评标标准等所有实质性要求和条件以及拟签订合同的主要条款。</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国家对招标项目的技术、标准有规定的，招标人应当按照其规定在招标文件中提出相应要求。</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招标项目需要划分标段、确定工期的，招标人应当合理划分标段、确定工期，并在招标文件中载明。</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）招标人应当确定投标人编制投标文件所需要的合理时间：但是，依法必须进行招标的项目，自招标文件开始发出之日起至投标人提交投标文件截止之日止，最短不得少于二十日。</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）《必须招标的工程项目规定》（国家发展改革委令第</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16</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号）的相关规定</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）全部或者部分使用国有资金投资或者国家融资的项目。包括：</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使用预算资金</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万元人民币以上，并且该资金占投资额</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%以上的项目。使用国有企业事业单位资金，并且该资金占控股或者主导地位的项目。</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）全部或者部分使用国有资金投资或者国家融资的项目，其勘察、设计、施工、监理以及与工程建设有关的重要设备、材料等的采购达到下列标准之一的，必须招标：</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施工单项合同估算价在</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400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万元人民币以上；重要设备、材料等货物的采购，单项合同估算价在</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万元人民币以上；勘察、设计、监理等服务的采购，单项合同估算价在</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100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万元人民币以上。</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同一项目中可以合并进行的勘察、设计、施工、监理以及与工程建设有关的重要设备、材料等的采购，合同估算价合计达到前款规定标准的，必须招标。</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根据本项目的投资估算，建议采取的招标组织形式如下：</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招标基本情况汇总表</w:t>
      </w:r>
    </w:p>
    <w:tbl>
      <w:tblPr>
        <w:tblStyle w:val="8"/>
        <w:tblW w:w="9216" w:type="dxa"/>
        <w:tblInd w:w="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98"/>
        <w:gridCol w:w="1125"/>
        <w:gridCol w:w="1141"/>
        <w:gridCol w:w="1008"/>
        <w:gridCol w:w="1348"/>
        <w:gridCol w:w="1348"/>
        <w:gridCol w:w="134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12" w:hRule="atLeast"/>
        </w:trPr>
        <w:tc>
          <w:tcPr>
            <w:tcW w:w="189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名称项目</w:t>
            </w:r>
          </w:p>
        </w:tc>
        <w:tc>
          <w:tcPr>
            <w:tcW w:w="226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招标范围</w:t>
            </w:r>
          </w:p>
        </w:tc>
        <w:tc>
          <w:tcPr>
            <w:tcW w:w="235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招标组织形式</w:t>
            </w:r>
          </w:p>
        </w:tc>
        <w:tc>
          <w:tcPr>
            <w:tcW w:w="269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招标方式</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189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全部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招标</w:t>
            </w:r>
          </w:p>
        </w:tc>
        <w:tc>
          <w:tcPr>
            <w:tcW w:w="114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部分</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招标</w:t>
            </w:r>
          </w:p>
        </w:tc>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自行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招标</w:t>
            </w: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委托</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招标</w:t>
            </w: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公开</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招标</w:t>
            </w: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邀请</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招标</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建筑安装工程</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p>
        </w:tc>
        <w:tc>
          <w:tcPr>
            <w:tcW w:w="114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监理</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p>
        </w:tc>
        <w:tc>
          <w:tcPr>
            <w:tcW w:w="114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设备</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14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设计</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tc>
        <w:tc>
          <w:tcPr>
            <w:tcW w:w="114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134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tc>
      </w:tr>
    </w:tbl>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6</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项目公告公示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本项目建筑安装招标信息在新疆信息网进行公告，中标单位通过新疆信息网进行公示。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定期将项目的绩效监测结果和评估结果进行公示，确保项目的透明度和公信力。通过官方网站等渠道进行公示，确保居民能够及时了解项目进展情况。定期公布资金使用情况，包括资金分配、使用明细等，确保居民对资金使用的知情权。</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outlineLvl w:val="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.项目绩效目标及效益分析</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年度目标</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项目计划投资总金额为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620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万元，主要用于在麦盖提县库木库萨尔乡吐孜鲁克喀什村</w:t>
      </w:r>
      <w:r>
        <w:rPr>
          <w:rFonts w:hint="eastAsia" w:ascii="仿宋_GB2312" w:hAnsi="仿宋_GB2312" w:eastAsia="仿宋_GB2312" w:cs="仿宋_GB2312"/>
          <w:color w:val="000000" w:themeColor="text1"/>
          <w:sz w:val="32"/>
          <w:szCs w:val="32"/>
          <w14:textFill>
            <w14:solidFill>
              <w14:schemeClr w14:val="tx1"/>
            </w14:solidFill>
          </w14:textFill>
        </w:rPr>
        <w:t>新建产业道路</w:t>
      </w:r>
      <w:r>
        <w:rPr>
          <w:rFonts w:hint="default" w:ascii="Times New Roman" w:hAnsi="Times New Roman" w:eastAsia="仿宋_GB2312" w:cs="Times New Roman"/>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公里（砂石面层），新建沙产业基础设施</w:t>
      </w:r>
      <w:r>
        <w:rPr>
          <w:rFonts w:hint="default" w:ascii="Times New Roman" w:hAnsi="Times New Roman" w:eastAsia="仿宋_GB2312" w:cs="Times New Roman"/>
          <w:color w:val="000000" w:themeColor="text1"/>
          <w:sz w:val="32"/>
          <w:szCs w:val="32"/>
          <w14:textFill>
            <w14:solidFill>
              <w14:schemeClr w14:val="tx1"/>
            </w14:solidFill>
          </w14:textFill>
        </w:rPr>
        <w:t>1200</w:t>
      </w:r>
      <w:r>
        <w:rPr>
          <w:rFonts w:hint="eastAsia" w:ascii="仿宋_GB2312" w:hAnsi="仿宋_GB2312" w:eastAsia="仿宋_GB2312" w:cs="仿宋_GB2312"/>
          <w:color w:val="000000" w:themeColor="text1"/>
          <w:sz w:val="32"/>
          <w:szCs w:val="32"/>
          <w14:textFill>
            <w14:solidFill>
              <w14:schemeClr w14:val="tx1"/>
            </w14:solidFill>
          </w14:textFill>
        </w:rPr>
        <w:t>平方米，新建农副产品及特色饮食展销区</w:t>
      </w: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万平（砂石面层），配套拱排水管网、供电线路及相关附属设施</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。通过项目实施带动脱贫人口月收入</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3000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元以上，吸纳当地富余劳动力25人实现就近就地就业，带动受益脱贫人口数</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人，同时显著提高交通可达性，配套建设必要的交通安全设施，确保交通安全与便利，受益脱贫人口满意度和游客满意度可达</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95</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%以上。</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项目覆盖情况</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项目建设地位于</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在麦盖提县库木库萨尔乡吐孜鲁克喀什村项目项目的实施，促进旅游景区落实就业岗位开发拓展，吸纳本就富余劳动力实现就近就地就业，带动经济发展。促进县域内旅游业快速发展，形成旅游产业链，触及经济各个角落，促进产业链上下游的联动，激发县域经济活力，为沿线经济发展提供良好服务。</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经济效益</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直接效益</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本项目预计新建产业道路</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公里（砂石面层），新建沙产业基础设施</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1200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平方米，新建农副产品及特色饮食展销区</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8</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万平（砂石面层）及相关附属设施。项目的实</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施后预计将直接创造</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50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个就业岗位，人均</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月收入达到</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3000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元，有效解决当地劳动力就业问题。此外，项目还将吸引</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家商超入驻，带动相关产业发展，形成旅游产业链，促进县域经济的全面发展，为沿线经济发展提供良好服务。</w:t>
      </w:r>
    </w:p>
    <w:p>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间接效益</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本项目作为基础设施建设，它对区域国民经济的促进作用首先表现在项目投资建设活动多增加国民经济产值，拉动经济的增长上。据有关单位研究测算，基础设施投资增加</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%，GDP就会增长</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如果按投资乘数的理论来计算，其对国民经济发展的拉动作用会更大。投资建设期，本项目的实施除了需要大量的劳动力之外，还要消费大量的砂石、木材、水泥、钢材、沥青等多种建筑材料。建筑本身促进了相关产业的发展，从而带动区域国民经济的发展。</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项目建成之后对国民经济的促进作用将是长期的，缓慢的，难以定量测算。其影响主要表现在：项目的实施完善了道路网格局，优化了路网结构，提高整个路网的通行能力，改善了区域间的交通便利性，交通区位的改善确定了区域经济增长潜力的变化，经济增长潜力最终诱使经济增长。基础设施的完善，对提高旅游环境质量和促进旅游经济发展有着重要的作用。</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社会效益</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项目的实施将显著改善当地居民的生活条件，增加就业机会，提高居民</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收入水平，促进社会和谐稳定。通过提供更多的就业机会，特别是针对本就富余劳动力的就近就地就业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25</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人，带动脱贫人口</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w:t>
      </w:r>
      <w:bookmarkStart w:id="0" w:name="_GoBack"/>
      <w:bookmarkEnd w:id="0"/>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人，项目有助于减少农村剩余劳动</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力的外出务工现象，增强家庭和社会的凝聚力。同时，游客接待服务设施的建设将提升旅游服务质量，改善游客体验，促进文化交流，增强中华民族共同体意识，进一步促进民族团结和社会进步。</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7</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可持续性影响</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道路主体结构包括路基、基层及砂石面层，其中路基为承重核心层，基层采用级配砂砾/碎石材料，面层为符合设计要求的砂石混合料铺装层。通过优化路基压实工艺、选用硬质耐磨砂石材料、设置完善排水设施等措施，抵御雨水冲刷、冻融破坏及日常车辆磨损，确保工程设计</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8</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年使用年限内路面无结构性裂缝、沉陷等质量问题，满足农产品运输及产业作业车辆通行需求。</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满意度指标</w:t>
      </w:r>
    </w:p>
    <w:p>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预计受益脱贫人口满意度和游客满意度可达</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95</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%以上。</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outlineLvl w:val="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.风险分析</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８</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主要风险因素</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一是项目涉及道路建设等复杂工程，施工过程中可能出现意外情况。</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二是施工设备可能出现故障，影响工程进度和质量。</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三是项目地处沙漠地带，可能受到沙尘暴等自然灾害的影响。</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四是施工过程中可能对当地生态环境造成破坏，影响生物多样性。</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五是旅游市场需求受多种因素影响，如经济形势、政策变化、自然灾害等，可能导致游客数量不稳定，影响项目的经济效益。</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六是项目建成后，运营管理不善可能导致服务质量下降，影响游客体验。</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七是项目运营过程中可能发生安全事故，如交通事故、火灾等。</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８</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防范化解措施</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一是制定施工技术方案的科学性和可行性；加强现场管理，及时解决施工中遇到的问题。</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二是定期对设备进行维护保养，确保设备正常运行；制定应急预案，一旦发生故障能够迅速处理。</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三是制定应急预案，加强气象监测，及时采取防范措施；加强基础设施建设，提高抗灾能力。</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四是严格执行环保标准，采取生态修复措施，减少施工对环境的影响；设立生态保护区，保护珍稀动植物。</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五是通过市场调研，了解游客需求变化趋势，制定灵活的市场营销策略；与旅游企业合作，开发多元化旅游产品，分散市场风险。</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六是建立健全管理制度，加强员工培训，提高服务水平；引入先进的管理技术和理念，提升管理水平。</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七是加强安全管理，制定应急预案，定期进行安全检查；开展安全教育，提高员工和游客的安全意识。</w:t>
      </w:r>
    </w:p>
    <w:p>
      <w:pPr>
        <w:pStyle w:val="13"/>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outlineLvl w:val="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.其他</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为保证工程质量，应充分做好施工组织计划，完善工程施工管理体系，加强监督，组建与工程规模相适应的工程监理机构。</w:t>
      </w:r>
    </w:p>
    <w:p>
      <w:pPr>
        <w:keepNext w:val="0"/>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环境保护是我国的一项基本国策，基础设施建设需要加强环境保护。所以有必要进一步对沿线的工程环境、社会环境等方面作深入的调查了解，并根据其影响程度，制定出相应的对策和措施。</w:t>
      </w:r>
    </w:p>
    <w:sectPr>
      <w:pgSz w:w="11906" w:h="16838"/>
      <w:pgMar w:top="1984" w:right="1531" w:bottom="1701" w:left="1531" w:header="851" w:footer="992" w:gutter="0"/>
      <w:cols w:space="425"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HYb2gj">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4ZGRlMTRhN2M3Nzc4YWNiZDg1OGM5NGJkYmJmM2QifQ=="/>
  </w:docVars>
  <w:rsids>
    <w:rsidRoot w:val="00DC3189"/>
    <w:rsid w:val="00036ACC"/>
    <w:rsid w:val="00096F1A"/>
    <w:rsid w:val="001C0158"/>
    <w:rsid w:val="00286DB6"/>
    <w:rsid w:val="00290EF7"/>
    <w:rsid w:val="0036566E"/>
    <w:rsid w:val="00407F2D"/>
    <w:rsid w:val="004B669C"/>
    <w:rsid w:val="00577A4A"/>
    <w:rsid w:val="0092513B"/>
    <w:rsid w:val="00A0692A"/>
    <w:rsid w:val="00A06F97"/>
    <w:rsid w:val="00A21A15"/>
    <w:rsid w:val="00A400FD"/>
    <w:rsid w:val="00B24B29"/>
    <w:rsid w:val="00DC3189"/>
    <w:rsid w:val="00E165F2"/>
    <w:rsid w:val="020E7EB7"/>
    <w:rsid w:val="04E62892"/>
    <w:rsid w:val="07026940"/>
    <w:rsid w:val="091B02D8"/>
    <w:rsid w:val="0A136190"/>
    <w:rsid w:val="0AB731E2"/>
    <w:rsid w:val="0CD1749B"/>
    <w:rsid w:val="10C2005E"/>
    <w:rsid w:val="17120E59"/>
    <w:rsid w:val="1888740D"/>
    <w:rsid w:val="199F1DB3"/>
    <w:rsid w:val="1A584B63"/>
    <w:rsid w:val="1E1660C5"/>
    <w:rsid w:val="1E6E30FE"/>
    <w:rsid w:val="1F173A6E"/>
    <w:rsid w:val="209020F7"/>
    <w:rsid w:val="22AF5101"/>
    <w:rsid w:val="248F44CD"/>
    <w:rsid w:val="261A0C88"/>
    <w:rsid w:val="29A11F55"/>
    <w:rsid w:val="2DC66C82"/>
    <w:rsid w:val="328C0773"/>
    <w:rsid w:val="34212888"/>
    <w:rsid w:val="34C1681F"/>
    <w:rsid w:val="36185EA2"/>
    <w:rsid w:val="36E57249"/>
    <w:rsid w:val="37E071AC"/>
    <w:rsid w:val="3A2B2D7A"/>
    <w:rsid w:val="3B300BA1"/>
    <w:rsid w:val="3C8D220B"/>
    <w:rsid w:val="3CEC23BE"/>
    <w:rsid w:val="3DF26BEC"/>
    <w:rsid w:val="3EE0082F"/>
    <w:rsid w:val="3F414B48"/>
    <w:rsid w:val="3FAC311E"/>
    <w:rsid w:val="4A3C32E7"/>
    <w:rsid w:val="4BD25714"/>
    <w:rsid w:val="4C2E58E4"/>
    <w:rsid w:val="4D7C44CF"/>
    <w:rsid w:val="59762211"/>
    <w:rsid w:val="622D0D14"/>
    <w:rsid w:val="64C51990"/>
    <w:rsid w:val="674555B8"/>
    <w:rsid w:val="6C4B36AE"/>
    <w:rsid w:val="6D012174"/>
    <w:rsid w:val="6D514CC8"/>
    <w:rsid w:val="6EF308E2"/>
    <w:rsid w:val="6FB8461B"/>
    <w:rsid w:val="6FF73669"/>
    <w:rsid w:val="71E46B34"/>
    <w:rsid w:val="733C651E"/>
    <w:rsid w:val="751211B8"/>
    <w:rsid w:val="77BE5A97"/>
    <w:rsid w:val="78C27B55"/>
    <w:rsid w:val="7C82615C"/>
    <w:rsid w:val="7C8971EE"/>
    <w:rsid w:val="7F861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rFonts w:ascii="Times New Roman" w:hAnsi="Times New Roman" w:eastAsia="黑体" w:cs="Arial"/>
      <w:b/>
      <w:bCs/>
      <w:kern w:val="44"/>
      <w:sz w:val="28"/>
      <w:szCs w:val="44"/>
    </w:rPr>
  </w:style>
  <w:style w:type="paragraph" w:styleId="3">
    <w:name w:val="heading 2"/>
    <w:basedOn w:val="1"/>
    <w:next w:val="1"/>
    <w:unhideWhenUsed/>
    <w:qFormat/>
    <w:uiPriority w:val="9"/>
    <w:pPr>
      <w:keepNext/>
      <w:keepLines/>
      <w:spacing w:before="160"/>
      <w:ind w:firstLine="0" w:firstLineChars="0"/>
      <w:outlineLvl w:val="1"/>
    </w:pPr>
    <w:rPr>
      <w:rFonts w:asciiTheme="majorHAnsi" w:hAnsiTheme="majorHAnsi" w:cstheme="majorBidi"/>
      <w:b/>
      <w:color w:val="2F5597" w:themeColor="accent1" w:themeShade="BF"/>
      <w:szCs w:val="4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next w:val="1"/>
    <w:qFormat/>
    <w:uiPriority w:val="0"/>
    <w:rPr>
      <w:sz w:val="24"/>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1 字符"/>
    <w:basedOn w:val="10"/>
    <w:link w:val="2"/>
    <w:qFormat/>
    <w:uiPriority w:val="9"/>
    <w:rPr>
      <w:rFonts w:ascii="Times New Roman" w:hAnsi="Times New Roman" w:eastAsia="黑体" w:cs="Arial"/>
      <w:b/>
      <w:bCs/>
      <w:kern w:val="44"/>
      <w:sz w:val="28"/>
      <w:szCs w:val="44"/>
    </w:rPr>
  </w:style>
  <w:style w:type="paragraph" w:customStyle="1" w:styleId="12">
    <w:name w:val="Default"/>
    <w:qFormat/>
    <w:uiPriority w:val="0"/>
    <w:pPr>
      <w:widowControl w:val="0"/>
      <w:autoSpaceDE w:val="0"/>
      <w:autoSpaceDN w:val="0"/>
      <w:adjustRightInd w:val="0"/>
    </w:pPr>
    <w:rPr>
      <w:rFonts w:ascii="HYb2gj" w:hAnsi="Times New Roman" w:eastAsia="HYb2gj" w:cs="HYb2gj"/>
      <w:color w:val="000000"/>
      <w:sz w:val="24"/>
      <w:szCs w:val="24"/>
      <w:lang w:val="en-US" w:eastAsia="zh-CN" w:bidi="ar-SA"/>
    </w:rPr>
  </w:style>
  <w:style w:type="paragraph" w:customStyle="1" w:styleId="13">
    <w:name w:val="列表段落1"/>
    <w:basedOn w:val="1"/>
    <w:qFormat/>
    <w:uiPriority w:val="34"/>
    <w:pPr>
      <w:ind w:firstLine="420" w:firstLineChars="200"/>
    </w:pPr>
  </w:style>
  <w:style w:type="character" w:customStyle="1" w:styleId="14">
    <w:name w:val="页眉 字符"/>
    <w:basedOn w:val="10"/>
    <w:link w:val="7"/>
    <w:qFormat/>
    <w:uiPriority w:val="99"/>
    <w:rPr>
      <w:sz w:val="18"/>
      <w:szCs w:val="18"/>
    </w:rPr>
  </w:style>
  <w:style w:type="character" w:customStyle="1" w:styleId="15">
    <w:name w:val="页脚 字符"/>
    <w:basedOn w:val="10"/>
    <w:link w:val="6"/>
    <w:qFormat/>
    <w:uiPriority w:val="99"/>
    <w:rPr>
      <w:sz w:val="18"/>
      <w:szCs w:val="18"/>
    </w:rPr>
  </w:style>
  <w:style w:type="paragraph" w:customStyle="1" w:styleId="16">
    <w:name w:val="正文阳"/>
    <w:basedOn w:val="1"/>
    <w:qFormat/>
    <w:uiPriority w:val="99"/>
    <w:pPr>
      <w:spacing w:line="570" w:lineRule="exact"/>
      <w:ind w:firstLine="640" w:firstLineChars="200"/>
      <w:jc w:val="left"/>
    </w:pPr>
    <w:rPr>
      <w:rFonts w:ascii="仿宋" w:hAnsi="仿宋" w:eastAsia="方正仿宋_GBK"/>
      <w:spacing w:val="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8918</Words>
  <Characters>9571</Characters>
  <Lines>21</Lines>
  <Paragraphs>6</Paragraphs>
  <TotalTime>11</TotalTime>
  <ScaleCrop>false</ScaleCrop>
  <LinksUpToDate>false</LinksUpToDate>
  <CharactersWithSpaces>9610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2020-01-26T00:42:00Z</dcterms:created>
  <dc:creator>ThinkPad</dc:creator>
  <cp:lastModifiedBy>Administrator</cp:lastModifiedBy>
  <cp:lastPrinted>2023-07-01T05:17:00Z</cp:lastPrinted>
  <dcterms:modified xsi:type="dcterms:W3CDTF">2026-06-15T02:05:19Z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89588A98130E45268EFACE2810AF9983_13</vt:lpwstr>
  </property>
  <property fmtid="{D5CDD505-2E9C-101B-9397-08002B2CF9AE}" pid="4" name="KSOTemplateDocerSaveRecord">
    <vt:lpwstr>eyJoZGlkIjoiMWI4NWYzZGFkNDJiYTY1ODFjMTg3YjM5MmNjODNlNDkiLCJ1c2VySWQiOiI5MjI2MzAyMzMifQ==</vt:lpwstr>
  </property>
</Properties>
</file>