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ascii="方正小标宋_GBK" w:hAnsi="方正小标宋_GBK" w:eastAsia="方正小标宋_GBK" w:cs="方正小标宋_GBK"/>
          <w:sz w:val="40"/>
          <w:szCs w:val="40"/>
          <w:lang w:val="en-US" w:eastAsia="zh-CN"/>
        </w:rPr>
      </w:pPr>
    </w:p>
    <w:p>
      <w:pPr>
        <w:ind w:left="0" w:leftChars="0" w:firstLine="0" w:firstLineChars="0"/>
        <w:jc w:val="center"/>
        <w:rPr>
          <w:rFonts w:hint="eastAsia" w:ascii="方正小标宋_GBK" w:hAnsi="方正小标宋_GBK" w:eastAsia="方正小标宋_GBK" w:cs="方正小标宋_GBK"/>
          <w:sz w:val="40"/>
          <w:szCs w:val="40"/>
          <w:lang w:val="en-US" w:eastAsia="zh-CN"/>
        </w:rPr>
      </w:pPr>
      <w:r>
        <w:rPr>
          <w:rFonts w:hint="eastAsia" w:ascii="方正小标宋简体" w:hAnsi="等线" w:eastAsia="方正小标宋简体" w:cs="Times New Roman"/>
          <w:sz w:val="36"/>
          <w:szCs w:val="36"/>
        </w:rPr>
        <w:t>麦盖提县胡杨林场2026年中央财政常态化帮扶资金（欠发达国有林场巩固提升任务）巡护道路提升改造项目</w:t>
      </w:r>
    </w:p>
    <w:p>
      <w:pPr>
        <w:ind w:left="0" w:leftChars="0" w:firstLine="0" w:firstLineChars="0"/>
        <w:jc w:val="center"/>
        <w:rPr>
          <w:rFonts w:hint="eastAsia" w:ascii="方正小标宋_GBK" w:hAnsi="方正小标宋_GBK" w:eastAsia="方正小标宋_GBK" w:cs="方正小标宋_GBK"/>
          <w:sz w:val="40"/>
          <w:szCs w:val="40"/>
          <w:lang w:val="en-US" w:eastAsia="zh-CN"/>
        </w:rPr>
      </w:pPr>
    </w:p>
    <w:p>
      <w:pPr>
        <w:ind w:left="0" w:leftChars="0" w:firstLine="0" w:firstLineChars="0"/>
        <w:jc w:val="center"/>
        <w:rPr>
          <w:rFonts w:hint="eastAsia" w:ascii="方正小标宋_GBK" w:hAnsi="方正小标宋_GBK" w:eastAsia="方正小标宋_GBK" w:cs="方正小标宋_GBK"/>
          <w:sz w:val="40"/>
          <w:szCs w:val="40"/>
          <w:lang w:val="en-US" w:eastAsia="zh-CN"/>
        </w:rPr>
      </w:pPr>
    </w:p>
    <w:p>
      <w:pPr>
        <w:ind w:left="0" w:leftChars="0" w:firstLine="0" w:firstLineChars="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实</w:t>
      </w:r>
    </w:p>
    <w:p>
      <w:pPr>
        <w:ind w:left="0" w:leftChars="0" w:firstLine="0" w:firstLineChars="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施</w:t>
      </w:r>
    </w:p>
    <w:p>
      <w:pPr>
        <w:ind w:left="0" w:leftChars="0" w:firstLine="0" w:firstLineChars="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方</w:t>
      </w:r>
    </w:p>
    <w:p>
      <w:pPr>
        <w:ind w:left="0" w:leftChars="0" w:firstLine="0" w:firstLineChars="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案</w:t>
      </w: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pStyle w:val="3"/>
        <w:rPr>
          <w:rFonts w:hint="eastAsia" w:ascii="方正仿宋_GBK" w:hAnsi="方正仿宋_GBK" w:eastAsia="方正仿宋_GBK" w:cs="方正仿宋_GBK"/>
          <w:sz w:val="32"/>
          <w:szCs w:val="32"/>
        </w:rPr>
      </w:pPr>
    </w:p>
    <w:p>
      <w:pPr>
        <w:pStyle w:val="3"/>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ind w:left="2238" w:leftChars="304" w:hanging="1600" w:hangingChars="500"/>
        <w:textAlignment w:val="auto"/>
        <w:rPr>
          <w:rFonts w:hint="eastAsia" w:ascii="方正仿宋_GBK" w:hAnsi="方正仿宋_GBK" w:eastAsia="方正仿宋_GBK" w:cs="方正仿宋_GBK"/>
          <w:sz w:val="32"/>
          <w:szCs w:val="32"/>
          <w:lang w:val="en-US" w:eastAsia="zh-CN"/>
        </w:rPr>
      </w:pPr>
      <w:r>
        <w:rPr>
          <w:rFonts w:hint="eastAsia" w:ascii="黑体" w:hAnsi="黑体" w:eastAsia="黑体" w:cs="黑体"/>
          <w:sz w:val="32"/>
          <w:szCs w:val="32"/>
        </w:rPr>
        <w:t>项目名称</w:t>
      </w:r>
      <w:r>
        <w:rPr>
          <w:rFonts w:hint="eastAsia" w:ascii="黑体" w:hAnsi="黑体" w:eastAsia="黑体" w:cs="黑体"/>
          <w:sz w:val="32"/>
          <w:szCs w:val="32"/>
          <w:lang w:eastAsia="zh-CN"/>
        </w:rPr>
        <w:t>：</w:t>
      </w:r>
      <w:bookmarkStart w:id="0" w:name="OLE_LINK6"/>
      <w:r>
        <w:rPr>
          <w:rFonts w:hint="eastAsia" w:ascii="方正仿宋_GBK" w:hAnsi="方正仿宋_GBK" w:eastAsia="方正仿宋_GBK" w:cs="方正仿宋_GBK"/>
          <w:sz w:val="32"/>
          <w:szCs w:val="32"/>
          <w:lang w:eastAsia="zh-CN"/>
        </w:rPr>
        <w:t>麦盖提县胡杨林场2026年中央财政常态化帮扶资金（欠发达国有林场巩固提升任务）巡护道路提升改造项目</w:t>
      </w:r>
    </w:p>
    <w:bookmarkEnd w:id="0"/>
    <w:p>
      <w:pPr>
        <w:ind w:leftChars="200" w:firstLine="640" w:firstLineChars="200"/>
        <w:jc w:val="left"/>
        <w:rPr>
          <w:rFonts w:hint="default" w:ascii="方正黑体简体" w:hAnsi="方正黑体简体" w:eastAsia="方正黑体简体"/>
          <w:sz w:val="32"/>
          <w:szCs w:val="32"/>
          <w:lang w:val="en-US"/>
        </w:rPr>
      </w:pPr>
      <w:r>
        <w:rPr>
          <w:rFonts w:hint="eastAsia" w:ascii="黑体" w:hAnsi="黑体" w:eastAsia="黑体" w:cs="黑体"/>
          <w:sz w:val="32"/>
          <w:szCs w:val="32"/>
        </w:rPr>
        <w:t>项目主管单位：</w:t>
      </w:r>
      <w:r>
        <w:rPr>
          <w:rFonts w:hint="eastAsia" w:ascii="方正仿宋_GBK" w:hAnsi="方正仿宋_GBK" w:eastAsia="方正仿宋_GBK" w:cs="方正仿宋_GBK"/>
          <w:sz w:val="32"/>
          <w:szCs w:val="32"/>
        </w:rPr>
        <w:t>麦盖提县</w:t>
      </w:r>
      <w:r>
        <w:rPr>
          <w:rFonts w:hint="eastAsia" w:ascii="方正仿宋_GBK" w:hAnsi="方正仿宋_GBK" w:eastAsia="方正仿宋_GBK" w:cs="方正仿宋_GBK"/>
          <w:sz w:val="32"/>
          <w:szCs w:val="32"/>
          <w:lang w:val="en-US" w:eastAsia="zh-CN"/>
        </w:rPr>
        <w:t>林业和草原局</w:t>
      </w:r>
    </w:p>
    <w:p>
      <w:pPr>
        <w:spacing w:line="560" w:lineRule="exact"/>
        <w:ind w:leftChars="200" w:firstLine="640" w:firstLineChars="200"/>
        <w:rPr>
          <w:rFonts w:hint="default" w:ascii="方正仿宋_GBK" w:hAnsi="方正仿宋_GBK" w:eastAsia="方正仿宋_GBK" w:cs="方正仿宋_GBK"/>
          <w:sz w:val="32"/>
          <w:szCs w:val="32"/>
          <w:lang w:val="en-US" w:eastAsia="zh-CN"/>
        </w:rPr>
      </w:pPr>
      <w:r>
        <w:rPr>
          <w:rFonts w:hint="eastAsia" w:ascii="黑体" w:hAnsi="黑体" w:eastAsia="黑体" w:cs="黑体"/>
          <w:sz w:val="32"/>
          <w:szCs w:val="32"/>
        </w:rPr>
        <w:t>项目实施单位：</w:t>
      </w:r>
      <w:r>
        <w:rPr>
          <w:rFonts w:hint="eastAsia" w:ascii="方正仿宋_GBK" w:hAnsi="方正仿宋_GBK" w:eastAsia="方正仿宋_GBK" w:cs="方正仿宋_GBK"/>
          <w:sz w:val="32"/>
          <w:szCs w:val="32"/>
          <w:lang w:val="en-US" w:eastAsia="zh-CN"/>
        </w:rPr>
        <w:t>麦盖提县胡杨林场</w:t>
      </w:r>
    </w:p>
    <w:p>
      <w:pPr>
        <w:spacing w:line="560" w:lineRule="exact"/>
        <w:ind w:leftChars="200" w:firstLine="640" w:firstLineChars="200"/>
        <w:rPr>
          <w:rFonts w:hint="default" w:ascii="方正仿宋_GBK" w:hAnsi="方正仿宋_GBK" w:eastAsia="方正仿宋_GBK" w:cs="方正仿宋_GBK"/>
          <w:sz w:val="32"/>
          <w:szCs w:val="32"/>
          <w:lang w:val="en-US" w:eastAsia="zh-CN"/>
        </w:rPr>
      </w:pPr>
      <w:r>
        <w:rPr>
          <w:rFonts w:hint="eastAsia" w:ascii="黑体" w:hAnsi="黑体" w:eastAsia="黑体" w:cs="黑体"/>
          <w:sz w:val="32"/>
          <w:szCs w:val="32"/>
        </w:rPr>
        <w:t>编制时间：</w:t>
      </w:r>
      <w:r>
        <w:rPr>
          <w:rFonts w:hint="eastAsia" w:ascii="方正仿宋_GBK" w:hAnsi="方正仿宋_GBK" w:eastAsia="方正仿宋_GBK" w:cs="方正仿宋_GBK"/>
          <w:sz w:val="32"/>
          <w:szCs w:val="32"/>
          <w:lang w:val="en-US" w:eastAsia="zh-CN"/>
        </w:rPr>
        <w:t>2026年5月20日</w:t>
      </w:r>
    </w:p>
    <w:p>
      <w:pPr>
        <w:rPr>
          <w:rFonts w:hint="eastAsia"/>
        </w:rPr>
      </w:pPr>
    </w:p>
    <w:p>
      <w:pP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br w:type="page"/>
      </w:r>
    </w:p>
    <w:p>
      <w:pPr>
        <w:pStyle w:val="3"/>
        <w:keepNext w:val="0"/>
        <w:keepLines w:val="0"/>
        <w:pageBreakBefore w:val="0"/>
        <w:topLinePunct w:val="0"/>
        <w:autoSpaceDE/>
        <w:bidi w:val="0"/>
        <w:adjustRightInd/>
        <w:spacing w:after="0" w:line="560" w:lineRule="exact"/>
        <w:jc w:val="cente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第一章</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rPr>
        <w:t>项目概要</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1.1项目名称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麦盖提县胡杨林场2026年中央财政常态化帮扶资金（欠发达国有林场巩固提升任务）巡护道路提升改造项目</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1.2主管单位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方正仿宋_GBK"/>
          <w:lang w:val="en-US" w:eastAsia="zh-CN"/>
        </w:rPr>
      </w:pPr>
      <w:r>
        <w:rPr>
          <w:rFonts w:hint="eastAsia" w:ascii="方正仿宋_GBK" w:hAnsi="方正仿宋_GBK" w:eastAsia="方正仿宋_GBK" w:cs="方正仿宋_GBK"/>
          <w:sz w:val="32"/>
          <w:szCs w:val="32"/>
        </w:rPr>
        <w:t>麦盖提县林业和草原局</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1.3建设规模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bookmarkStart w:id="1" w:name="OLE_LINK1"/>
      <w:r>
        <w:rPr>
          <w:rFonts w:hint="eastAsia" w:ascii="方正仿宋_GBK" w:hAnsi="方正仿宋_GBK" w:eastAsia="方正仿宋_GBK" w:cs="方正仿宋_GBK"/>
          <w:sz w:val="32"/>
          <w:szCs w:val="32"/>
        </w:rPr>
        <w:t>改建5.064公里四级道路（其中：修复水毁路段479米）具体</w:t>
      </w:r>
      <w:r>
        <w:rPr>
          <w:rFonts w:hint="eastAsia" w:ascii="方正仿宋_GBK" w:hAnsi="方正仿宋_GBK" w:eastAsia="方正仿宋_GBK" w:cs="方正仿宋_GBK"/>
          <w:sz w:val="32"/>
          <w:szCs w:val="32"/>
          <w:lang w:val="en-US" w:eastAsia="zh-CN"/>
        </w:rPr>
        <w:t>建设</w:t>
      </w:r>
      <w:r>
        <w:rPr>
          <w:rFonts w:hint="eastAsia" w:ascii="方正仿宋_GBK" w:hAnsi="方正仿宋_GBK" w:eastAsia="方正仿宋_GBK" w:cs="方正仿宋_GBK"/>
          <w:sz w:val="32"/>
          <w:szCs w:val="32"/>
        </w:rPr>
        <w:t>路线包含两段：</w:t>
      </w:r>
      <w:r>
        <w:rPr>
          <w:rFonts w:hint="eastAsia" w:ascii="方正仿宋_GBK" w:hAnsi="方正仿宋_GBK" w:eastAsia="方正仿宋_GBK" w:cs="方正仿宋_GBK"/>
          <w:sz w:val="32"/>
          <w:szCs w:val="32"/>
          <w:lang w:val="en-US" w:eastAsia="zh-CN"/>
        </w:rPr>
        <w:t>一是改建巡护道路2.885公里，二林班区域，目前为沙砾路，计划实施沥青路面，路基宽度采用3.5米，路面宽3.0米，同时对其中水毁路段479米进行修复。二是改建巡护道路2.179公里，二林班区域，目前为沙砾路，计划实施沥青路面，路基宽度采用5米，路面宽4.5米。</w:t>
      </w:r>
    </w:p>
    <w:bookmarkEnd w:id="1"/>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1.4资金规模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项目</w:t>
      </w:r>
      <w:r>
        <w:rPr>
          <w:rFonts w:hint="eastAsia" w:ascii="方正仿宋_GBK" w:hAnsi="方正仿宋_GBK" w:eastAsia="方正仿宋_GBK" w:cs="方正仿宋_GBK"/>
          <w:sz w:val="32"/>
          <w:szCs w:val="32"/>
          <w:lang w:eastAsia="zh-CN"/>
        </w:rPr>
        <w:t>计划</w:t>
      </w:r>
      <w:r>
        <w:rPr>
          <w:rFonts w:hint="eastAsia" w:ascii="方正仿宋_GBK" w:hAnsi="方正仿宋_GBK" w:eastAsia="方正仿宋_GBK" w:cs="方正仿宋_GBK"/>
          <w:sz w:val="32"/>
          <w:szCs w:val="32"/>
        </w:rPr>
        <w:t>总投资</w:t>
      </w:r>
      <w:r>
        <w:rPr>
          <w:rFonts w:hint="eastAsia" w:ascii="方正仿宋_GBK" w:hAnsi="方正仿宋_GBK" w:eastAsia="方正仿宋_GBK" w:cs="方正仿宋_GBK"/>
          <w:sz w:val="32"/>
          <w:szCs w:val="32"/>
          <w:lang w:val="en-US" w:eastAsia="zh-CN"/>
        </w:rPr>
        <w:t>128</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1.5建设期限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建设期限为2026年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月至2026年</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1.6绩效目标和成效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bookmarkStart w:id="2" w:name="OLE_LINK2"/>
      <w:r>
        <w:rPr>
          <w:rFonts w:hint="eastAsia" w:ascii="方正仿宋_GBK" w:hAnsi="方正仿宋_GBK" w:eastAsia="方正仿宋_GBK" w:cs="方正仿宋_GBK"/>
          <w:sz w:val="32"/>
          <w:szCs w:val="32"/>
        </w:rPr>
        <w:t>项目建设地点均位于麦盖提县胡杨林场，其中</w:t>
      </w:r>
      <w:bookmarkStart w:id="3" w:name="OLE_LINK3"/>
      <w:r>
        <w:rPr>
          <w:rFonts w:hint="eastAsia" w:ascii="方正仿宋_GBK" w:hAnsi="方正仿宋_GBK" w:eastAsia="方正仿宋_GBK" w:cs="方正仿宋_GBK"/>
          <w:sz w:val="32"/>
          <w:szCs w:val="32"/>
          <w:lang w:val="en-US" w:eastAsia="zh-CN"/>
        </w:rPr>
        <w:t>主要</w:t>
      </w:r>
      <w:r>
        <w:rPr>
          <w:rFonts w:hint="eastAsia" w:ascii="方正仿宋_GBK" w:hAnsi="方正仿宋_GBK" w:eastAsia="方正仿宋_GBK" w:cs="方正仿宋_GBK"/>
          <w:sz w:val="32"/>
          <w:szCs w:val="32"/>
        </w:rPr>
        <w:t>建设路段为：</w:t>
      </w:r>
      <w:bookmarkEnd w:id="2"/>
      <w:bookmarkEnd w:id="3"/>
      <w:r>
        <w:rPr>
          <w:rFonts w:hint="eastAsia" w:ascii="方正仿宋_GBK" w:hAnsi="方正仿宋_GBK" w:eastAsia="方正仿宋_GBK" w:cs="方正仿宋_GBK"/>
          <w:sz w:val="32"/>
          <w:szCs w:val="32"/>
        </w:rPr>
        <w:t>改建5.064公里四级道路（其中：修复水毁路段479米）项目实施后，将以发展为核心，显著提升林区</w:t>
      </w:r>
      <w:r>
        <w:rPr>
          <w:rFonts w:hint="eastAsia" w:ascii="方正仿宋_GBK" w:hAnsi="方正仿宋_GBK" w:eastAsia="方正仿宋_GBK" w:cs="方正仿宋_GBK"/>
          <w:sz w:val="32"/>
          <w:szCs w:val="32"/>
          <w:lang w:val="en-US" w:eastAsia="zh-CN"/>
        </w:rPr>
        <w:t>旅游</w:t>
      </w:r>
      <w:r>
        <w:rPr>
          <w:rFonts w:hint="eastAsia" w:ascii="方正仿宋_GBK" w:hAnsi="方正仿宋_GBK" w:eastAsia="方正仿宋_GBK" w:cs="方正仿宋_GBK"/>
          <w:sz w:val="32"/>
          <w:szCs w:val="32"/>
        </w:rPr>
        <w:t>与巡护保障能力：一方面，畅通林区运输通道，便捷转运流通，同时完善巡护体系，实现林区巡护和监控无盲区、无空白，为林区产业安全、有序发展筑牢基础，切实保障农牧民作业便捷性与财产安全；另一方面，夯实林场产业多元化发展根基，以便捷交通为支撑，推动林区生态旅游产业提质升级，吸引更多游客前来观光体验，带动旅游相关配套发展，进而新增就业岗位，拓宽当地居民增收渠道，直接助力林场特色产业提质增效、可持续发展，实现</w:t>
      </w:r>
      <w:r>
        <w:rPr>
          <w:rFonts w:hint="eastAsia" w:ascii="方正仿宋_GBK" w:hAnsi="方正仿宋_GBK" w:eastAsia="方正仿宋_GBK" w:cs="方正仿宋_GBK"/>
          <w:sz w:val="32"/>
          <w:szCs w:val="32"/>
          <w:lang w:val="en-US" w:eastAsia="zh-CN"/>
        </w:rPr>
        <w:t>林区巡护</w:t>
      </w:r>
      <w:r>
        <w:rPr>
          <w:rFonts w:hint="eastAsia" w:ascii="方正仿宋_GBK" w:hAnsi="方正仿宋_GBK" w:eastAsia="方正仿宋_GBK" w:cs="方正仿宋_GBK"/>
          <w:sz w:val="32"/>
          <w:szCs w:val="32"/>
        </w:rPr>
        <w:t>与</w:t>
      </w:r>
      <w:r>
        <w:rPr>
          <w:rFonts w:hint="eastAsia" w:ascii="方正仿宋_GBK" w:hAnsi="方正仿宋_GBK" w:eastAsia="方正仿宋_GBK" w:cs="方正仿宋_GBK"/>
          <w:sz w:val="32"/>
          <w:szCs w:val="32"/>
          <w:lang w:val="en-US" w:eastAsia="zh-CN"/>
        </w:rPr>
        <w:t>水土旅游</w:t>
      </w:r>
      <w:r>
        <w:rPr>
          <w:rFonts w:hint="eastAsia" w:ascii="方正仿宋_GBK" w:hAnsi="方正仿宋_GBK" w:eastAsia="方正仿宋_GBK" w:cs="方正仿宋_GBK"/>
          <w:sz w:val="32"/>
          <w:szCs w:val="32"/>
        </w:rPr>
        <w:t>发展双向赋能。</w:t>
      </w:r>
    </w:p>
    <w:p>
      <w:pP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br w:type="page"/>
      </w:r>
    </w:p>
    <w:p>
      <w:pPr>
        <w:pStyle w:val="3"/>
        <w:keepNext w:val="0"/>
        <w:keepLines w:val="0"/>
        <w:pageBreakBefore w:val="0"/>
        <w:topLinePunct w:val="0"/>
        <w:autoSpaceDE/>
        <w:bidi w:val="0"/>
        <w:adjustRightInd/>
        <w:spacing w:after="0" w:line="560" w:lineRule="exact"/>
        <w:jc w:val="cente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第二章</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rPr>
        <w:t>项目建设的必要性</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2.1项目建设的必要性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项目区位于国家级公益林区，胡杨林场二林班共有道路65公里，</w:t>
      </w:r>
      <w:r>
        <w:rPr>
          <w:rFonts w:hint="eastAsia" w:ascii="方正仿宋_GBK" w:hAnsi="方正仿宋_GBK" w:eastAsia="方正仿宋_GBK" w:cs="方正仿宋_GBK"/>
          <w:sz w:val="32"/>
          <w:szCs w:val="32"/>
          <w:lang w:val="en-US" w:eastAsia="zh-CN"/>
        </w:rPr>
        <w:t>仅</w:t>
      </w:r>
      <w:r>
        <w:rPr>
          <w:rFonts w:hint="eastAsia" w:ascii="方正仿宋_GBK" w:hAnsi="方正仿宋_GBK" w:eastAsia="方正仿宋_GBK" w:cs="方正仿宋_GBK"/>
          <w:sz w:val="32"/>
          <w:szCs w:val="32"/>
        </w:rPr>
        <w:t>剩余2.</w:t>
      </w:r>
      <w:r>
        <w:rPr>
          <w:rFonts w:hint="eastAsia" w:ascii="方正仿宋_GBK" w:hAnsi="方正仿宋_GBK" w:eastAsia="方正仿宋_GBK" w:cs="方正仿宋_GBK"/>
          <w:sz w:val="32"/>
          <w:szCs w:val="32"/>
          <w:lang w:val="en-US" w:eastAsia="zh-CN"/>
        </w:rPr>
        <w:t>885</w:t>
      </w:r>
      <w:r>
        <w:rPr>
          <w:rFonts w:hint="eastAsia" w:ascii="方正仿宋_GBK" w:hAnsi="方正仿宋_GBK" w:eastAsia="方正仿宋_GBK" w:cs="方正仿宋_GBK"/>
          <w:sz w:val="32"/>
          <w:szCs w:val="32"/>
        </w:rPr>
        <w:t>公里未铺</w:t>
      </w:r>
      <w:r>
        <w:rPr>
          <w:rFonts w:hint="eastAsia" w:ascii="方正仿宋_GBK" w:hAnsi="方正仿宋_GBK" w:eastAsia="方正仿宋_GBK" w:cs="方正仿宋_GBK"/>
          <w:sz w:val="32"/>
          <w:szCs w:val="32"/>
          <w:lang w:val="en-US" w:eastAsia="zh-CN"/>
        </w:rPr>
        <w:t>设</w:t>
      </w:r>
      <w:r>
        <w:rPr>
          <w:rFonts w:hint="eastAsia" w:ascii="方正仿宋_GBK" w:hAnsi="方正仿宋_GBK" w:eastAsia="方正仿宋_GBK" w:cs="方正仿宋_GBK"/>
          <w:sz w:val="32"/>
          <w:szCs w:val="32"/>
        </w:rPr>
        <w:t>，24公里检查站至三林班铁桥2.</w:t>
      </w:r>
      <w:r>
        <w:rPr>
          <w:rFonts w:hint="eastAsia" w:ascii="方正仿宋_GBK" w:hAnsi="方正仿宋_GBK" w:eastAsia="方正仿宋_GBK" w:cs="方正仿宋_GBK"/>
          <w:sz w:val="32"/>
          <w:szCs w:val="32"/>
          <w:lang w:val="en-US" w:eastAsia="zh-CN"/>
        </w:rPr>
        <w:t>179</w:t>
      </w:r>
      <w:r>
        <w:rPr>
          <w:rFonts w:hint="eastAsia" w:ascii="方正仿宋_GBK" w:hAnsi="方正仿宋_GBK" w:eastAsia="方正仿宋_GBK" w:cs="方正仿宋_GBK"/>
          <w:sz w:val="32"/>
          <w:szCs w:val="32"/>
        </w:rPr>
        <w:t>公里路段为三林班</w:t>
      </w:r>
      <w:r>
        <w:rPr>
          <w:rFonts w:hint="eastAsia" w:ascii="方正仿宋_GBK" w:hAnsi="方正仿宋_GBK" w:eastAsia="方正仿宋_GBK" w:cs="方正仿宋_GBK"/>
          <w:sz w:val="32"/>
          <w:szCs w:val="32"/>
          <w:lang w:eastAsia="zh-CN"/>
        </w:rPr>
        <w:t>巡护</w:t>
      </w:r>
      <w:r>
        <w:rPr>
          <w:rFonts w:hint="eastAsia" w:ascii="方正仿宋_GBK" w:hAnsi="方正仿宋_GBK" w:eastAsia="方正仿宋_GBK" w:cs="方正仿宋_GBK"/>
          <w:sz w:val="32"/>
          <w:szCs w:val="32"/>
        </w:rPr>
        <w:t>道路。同时，存在部分道路老化及水毁路段，严重影响</w:t>
      </w:r>
      <w:r>
        <w:rPr>
          <w:rFonts w:hint="eastAsia" w:ascii="方正仿宋_GBK" w:hAnsi="方正仿宋_GBK" w:eastAsia="方正仿宋_GBK" w:cs="方正仿宋_GBK"/>
          <w:sz w:val="32"/>
          <w:szCs w:val="32"/>
          <w:lang w:eastAsia="zh-CN"/>
        </w:rPr>
        <w:t>巡护及</w:t>
      </w:r>
      <w:r>
        <w:rPr>
          <w:rFonts w:hint="eastAsia" w:ascii="方正仿宋_GBK" w:hAnsi="方正仿宋_GBK" w:eastAsia="方正仿宋_GBK" w:cs="方正仿宋_GBK"/>
          <w:sz w:val="32"/>
          <w:szCs w:val="32"/>
          <w:lang w:val="en-US" w:eastAsia="zh-CN"/>
        </w:rPr>
        <w:t>后期旅游</w:t>
      </w:r>
      <w:r>
        <w:rPr>
          <w:rFonts w:hint="eastAsia" w:ascii="方正仿宋_GBK" w:hAnsi="方正仿宋_GBK" w:eastAsia="方正仿宋_GBK" w:cs="方正仿宋_GBK"/>
          <w:sz w:val="32"/>
          <w:szCs w:val="32"/>
        </w:rPr>
        <w:t>通行。项目实施后，能明显改善林区</w:t>
      </w:r>
      <w:r>
        <w:rPr>
          <w:rFonts w:hint="eastAsia" w:ascii="方正仿宋_GBK" w:hAnsi="方正仿宋_GBK" w:eastAsia="方正仿宋_GBK" w:cs="方正仿宋_GBK"/>
          <w:sz w:val="32"/>
          <w:szCs w:val="32"/>
          <w:lang w:eastAsia="zh-CN"/>
        </w:rPr>
        <w:t>群众通行</w:t>
      </w:r>
      <w:r>
        <w:rPr>
          <w:rFonts w:hint="eastAsia" w:ascii="方正仿宋_GBK" w:hAnsi="方正仿宋_GBK" w:eastAsia="方正仿宋_GBK" w:cs="方正仿宋_GBK"/>
          <w:sz w:val="32"/>
          <w:szCs w:val="32"/>
        </w:rPr>
        <w:t>便捷性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打通最后</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一公里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，确保全天候农牧民</w:t>
      </w:r>
      <w:r>
        <w:rPr>
          <w:rFonts w:hint="eastAsia" w:ascii="方正仿宋_GBK" w:hAnsi="方正仿宋_GBK" w:eastAsia="方正仿宋_GBK" w:cs="方正仿宋_GBK"/>
          <w:sz w:val="32"/>
          <w:szCs w:val="32"/>
          <w:lang w:val="en-US" w:eastAsia="zh-CN"/>
        </w:rPr>
        <w:t>及游客</w:t>
      </w:r>
      <w:r>
        <w:rPr>
          <w:rFonts w:hint="eastAsia" w:ascii="方正仿宋_GBK" w:hAnsi="方正仿宋_GBK" w:eastAsia="方正仿宋_GBK" w:cs="方正仿宋_GBK"/>
          <w:sz w:val="32"/>
          <w:szCs w:val="32"/>
        </w:rPr>
        <w:t>得到有效保障，</w:t>
      </w:r>
      <w:r>
        <w:rPr>
          <w:rFonts w:hint="eastAsia" w:ascii="方正仿宋_GBK" w:hAnsi="方正仿宋_GBK" w:eastAsia="方正仿宋_GBK" w:cs="方正仿宋_GBK"/>
          <w:sz w:val="32"/>
          <w:szCs w:val="32"/>
          <w:lang w:eastAsia="zh-CN"/>
        </w:rPr>
        <w:t>同时</w:t>
      </w:r>
      <w:r>
        <w:rPr>
          <w:rFonts w:hint="eastAsia" w:ascii="方正仿宋_GBK" w:hAnsi="方正仿宋_GBK" w:eastAsia="方正仿宋_GBK" w:cs="方正仿宋_GBK"/>
          <w:sz w:val="32"/>
          <w:szCs w:val="32"/>
        </w:rPr>
        <w:t>提升林区整体能力</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从旅游发展角度看，当前林场因部分道路未铺设或损坏，交通不便，极大地限制了游客的进入。完善的</w:t>
      </w:r>
      <w:r>
        <w:rPr>
          <w:rFonts w:hint="eastAsia" w:ascii="方正仿宋_GBK" w:hAnsi="方正仿宋_GBK" w:eastAsia="方正仿宋_GBK" w:cs="方正仿宋_GBK"/>
          <w:sz w:val="32"/>
          <w:szCs w:val="32"/>
          <w:lang w:eastAsia="zh-CN"/>
        </w:rPr>
        <w:t>巡护道路</w:t>
      </w:r>
      <w:r>
        <w:rPr>
          <w:rFonts w:hint="eastAsia" w:ascii="方正仿宋_GBK" w:hAnsi="方正仿宋_GBK" w:eastAsia="方正仿宋_GBK" w:cs="方正仿宋_GBK"/>
          <w:sz w:val="32"/>
          <w:szCs w:val="32"/>
        </w:rPr>
        <w:t>能将林场内的各个景点串联起来，形成</w:t>
      </w:r>
      <w:r>
        <w:rPr>
          <w:rFonts w:hint="eastAsia" w:ascii="方正仿宋_GBK" w:hAnsi="方正仿宋_GBK" w:eastAsia="方正仿宋_GBK" w:cs="方正仿宋_GBK"/>
          <w:sz w:val="32"/>
          <w:szCs w:val="32"/>
          <w:lang w:eastAsia="zh-CN"/>
        </w:rPr>
        <w:t>巡护及</w:t>
      </w:r>
      <w:r>
        <w:rPr>
          <w:rFonts w:hint="eastAsia" w:ascii="方正仿宋_GBK" w:hAnsi="方正仿宋_GBK" w:eastAsia="方正仿宋_GBK" w:cs="方正仿宋_GBK"/>
          <w:sz w:val="32"/>
          <w:szCs w:val="32"/>
        </w:rPr>
        <w:t>便捷的旅游线路，让游客更轻松地领略胡杨林的壮美风光，从而推动林场</w:t>
      </w:r>
      <w:r>
        <w:rPr>
          <w:rFonts w:hint="eastAsia" w:ascii="方正仿宋_GBK" w:hAnsi="方正仿宋_GBK" w:eastAsia="方正仿宋_GBK" w:cs="方正仿宋_GBK"/>
          <w:sz w:val="32"/>
          <w:szCs w:val="32"/>
          <w:lang w:eastAsia="zh-CN"/>
        </w:rPr>
        <w:t>综合</w:t>
      </w:r>
      <w:r>
        <w:rPr>
          <w:rFonts w:hint="eastAsia" w:ascii="方正仿宋_GBK" w:hAnsi="方正仿宋_GBK" w:eastAsia="方正仿宋_GBK" w:cs="方正仿宋_GBK"/>
          <w:sz w:val="32"/>
          <w:szCs w:val="32"/>
        </w:rPr>
        <w:t>发展</w:t>
      </w:r>
      <w:r>
        <w:rPr>
          <w:rFonts w:hint="eastAsia" w:ascii="方正仿宋_GBK" w:hAnsi="方正仿宋_GBK" w:eastAsia="方正仿宋_GBK" w:cs="方正仿宋_GBK"/>
          <w:sz w:val="32"/>
          <w:szCs w:val="32"/>
          <w:lang w:eastAsia="zh-CN"/>
        </w:rPr>
        <w:t>。</w:t>
      </w:r>
    </w:p>
    <w:p>
      <w:pP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br w:type="page"/>
      </w:r>
    </w:p>
    <w:p>
      <w:pPr>
        <w:pStyle w:val="3"/>
        <w:keepNext w:val="0"/>
        <w:keepLines w:val="0"/>
        <w:pageBreakBefore w:val="0"/>
        <w:topLinePunct w:val="0"/>
        <w:autoSpaceDE/>
        <w:bidi w:val="0"/>
        <w:adjustRightInd/>
        <w:spacing w:after="0" w:line="560" w:lineRule="exact"/>
        <w:jc w:val="cente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第三章</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rPr>
        <w:t>项目实施条件</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3.1项目实施条件</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3.1.1项目建设地点及基本情况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项目建设地点位于麦盖提县胡杨林场，改建5.064公里四级道路（其中：修复水毁路段479米）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该区域胡杨林资源丰富，具有极高的旅游观赏价值，周边还有一些独特的自然景观和人文元素，稳定的道路设施将有助于更好地开发利用这一旅游资源，为发展旅游提供了良好的基础。</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3.1.2项目建设地理位置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麦盖提县胡杨林场位于麦盖提县东北部与巴楚县交界处-叶尔羌河南岸1公里，东邻塔克拉玛干沙漠，南与农三师45团相接，西与巴楚县色力布亚隔河，距县城98公里。麦盖提县胡杨林场为县属林场，属副科级全额预算事业单位，目前正在使用的管护站有4个：凹都库都克管护站、刀郎中心管护站、早尔汗口管护站、野生动物保护站（防火检查站）。全场经营总面积为64.14万亩，其中林地面积17.88万亩（国家级公益林11.78万亩，地方公益林5.6万亩），非林地面积9.92万亩。其独特的地理位置使得林场兼具自然风光和民族文化特色，对游客具有较强的吸引力，完善的基础设施能提升旅游可达性和舒适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3.1.3地形与地貌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麦盖提县属于叶尔羌冲积平原中下游的绿洲平原。全县没有山脉，均为平原，地势平坦，从西南向东北倾斜，灌区呈一长条形分布，地形坡降为1/2500～1/3500，海拔最高1207m，最低1146m。被叶尔羌河分为东西两部分，在靠近沙漠边缘一带，地势起伏不平，荒地、沙丘交错，芦苇草滩，盐碱滩，低洼水坑成群，地貌较为复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这种独特的地形地貌形成了丰富多样的景观，为开展沙漠探险、胡杨观光等旅游活动提供了有利条件，而</w:t>
      </w:r>
      <w:r>
        <w:rPr>
          <w:rFonts w:hint="eastAsia" w:ascii="方正仿宋_GBK" w:hAnsi="方正仿宋_GBK" w:eastAsia="方正仿宋_GBK" w:cs="方正仿宋_GBK"/>
          <w:sz w:val="32"/>
          <w:szCs w:val="32"/>
          <w:lang w:eastAsia="zh-CN"/>
        </w:rPr>
        <w:t>巡护道路</w:t>
      </w:r>
      <w:r>
        <w:rPr>
          <w:rFonts w:hint="eastAsia" w:ascii="方正仿宋_GBK" w:hAnsi="方正仿宋_GBK" w:eastAsia="方正仿宋_GBK" w:cs="方正仿宋_GBK"/>
          <w:sz w:val="32"/>
          <w:szCs w:val="32"/>
        </w:rPr>
        <w:t>的铺设能让游客更安全、便捷地体验这些特色景观。</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3.1.4气候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麦盖提县地处欧亚大陆腹地，塔里木盆地边缘，因远离海洋，周围又有高山阻隔，加塔克拉玛干沙漠的影响，流域内呈典型的干旱大陆性气候，其主要气候特点是：气温年、月变化大，空气干燥，日照长、昼夜温差大，蒸发强烈，降水量小。独特的气候造就了胡杨林独特的生长环境和景观风貌，每年特定季节会吸引大量游客前来观赏。铺设</w:t>
      </w:r>
      <w:r>
        <w:rPr>
          <w:rFonts w:hint="eastAsia" w:ascii="方正仿宋_GBK" w:hAnsi="方正仿宋_GBK" w:eastAsia="方正仿宋_GBK" w:cs="方正仿宋_GBK"/>
          <w:sz w:val="32"/>
          <w:szCs w:val="32"/>
          <w:lang w:eastAsia="zh-CN"/>
        </w:rPr>
        <w:t>该道路</w:t>
      </w:r>
      <w:r>
        <w:rPr>
          <w:rFonts w:hint="eastAsia" w:ascii="方正仿宋_GBK" w:hAnsi="方正仿宋_GBK" w:eastAsia="方正仿宋_GBK" w:cs="方正仿宋_GBK"/>
          <w:sz w:val="32"/>
          <w:szCs w:val="32"/>
        </w:rPr>
        <w:t>能保障游客在适宜旅游的季节顺利进入林场，提升旅游体验。</w:t>
      </w:r>
    </w:p>
    <w:p>
      <w:pP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br w:type="page"/>
      </w:r>
    </w:p>
    <w:p>
      <w:pPr>
        <w:pStyle w:val="3"/>
        <w:keepNext w:val="0"/>
        <w:keepLines w:val="0"/>
        <w:pageBreakBefore w:val="0"/>
        <w:topLinePunct w:val="0"/>
        <w:autoSpaceDE/>
        <w:bidi w:val="0"/>
        <w:adjustRightInd/>
        <w:spacing w:after="0" w:line="560" w:lineRule="exact"/>
        <w:jc w:val="cente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第四章</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rPr>
        <w:t>项目建设规模和布局</w:t>
      </w:r>
    </w:p>
    <w:p>
      <w:pPr>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4.1项目编制依据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《中央财政衔接推进乡村振兴补助资金管理办法》(财农〔2021)19号)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《新疆维吾尔自治区衔接推进乡村振兴补助资金管理办法》(新财规[2021]11号)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《关于加强中央财政衔接推进乡村振兴补助资金使用管理的指导意见》(财农〔2022]14号)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《关于用好中央财政衔接推进乡村振兴补助资金支持欠发达国有林场巩固提升的通知》(规行函[2021]50号)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《新疆维吾尔自治区巩固扩展脱贫攻坚成果同乡村振兴项目入库指南(试行)》(新乡振[2022]35号)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关于做好2026年度中央财政林业草原项目储备工作的通知新林场字〔2025〕143号、相关旅游发展规划及景区道路建设标准。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方正仿宋_GBK"/>
          <w:lang w:eastAsia="zh-CN"/>
        </w:rPr>
      </w:pPr>
      <w:r>
        <w:rPr>
          <w:rFonts w:hint="eastAsia" w:ascii="方正仿宋_GBK" w:hAnsi="方正仿宋_GBK" w:eastAsia="方正仿宋_GBK" w:cs="方正仿宋_GBK"/>
          <w:sz w:val="32"/>
          <w:szCs w:val="32"/>
        </w:rPr>
        <w:t>《财政部关于下达2026年中央财政常态化帮扶资金预算的通知》(财农[2026]25号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4.2项目建设规模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改建5.064公里四级道路（其中：修复水毁路段479米）具体</w:t>
      </w:r>
      <w:r>
        <w:rPr>
          <w:rFonts w:hint="eastAsia" w:ascii="方正仿宋_GBK" w:hAnsi="方正仿宋_GBK" w:eastAsia="方正仿宋_GBK" w:cs="方正仿宋_GBK"/>
          <w:sz w:val="32"/>
          <w:szCs w:val="32"/>
          <w:lang w:val="en-US" w:eastAsia="zh-CN"/>
        </w:rPr>
        <w:t>建设</w:t>
      </w:r>
      <w:r>
        <w:rPr>
          <w:rFonts w:hint="eastAsia" w:ascii="方正仿宋_GBK" w:hAnsi="方正仿宋_GBK" w:eastAsia="方正仿宋_GBK" w:cs="方正仿宋_GBK"/>
          <w:sz w:val="32"/>
          <w:szCs w:val="32"/>
        </w:rPr>
        <w:t>路线包含两段：</w:t>
      </w:r>
      <w:r>
        <w:rPr>
          <w:rFonts w:hint="eastAsia" w:ascii="方正仿宋_GBK" w:hAnsi="方正仿宋_GBK" w:eastAsia="方正仿宋_GBK" w:cs="方正仿宋_GBK"/>
          <w:sz w:val="32"/>
          <w:szCs w:val="32"/>
          <w:lang w:val="en-US" w:eastAsia="zh-CN"/>
        </w:rPr>
        <w:t>一是改建巡护道路2.885公里，二林班区域，目前为沙砾路，计划实施沥青路面，路基宽度采用3.5米，路面宽3.0米，同时对其中水毁路段479米进行修复。二是改建巡护道路2.179公里，二林班区域，目前为沙砾路，计划实施沥青路面，路基宽度采用5米，路面宽4.5米。</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4.3项目建设布局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主要建设：改建5.064公里四级道路（其中：修复水毁路段479米）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从旅游布局来看，</w:t>
      </w:r>
      <w:r>
        <w:rPr>
          <w:rFonts w:hint="eastAsia" w:ascii="方正仿宋_GBK" w:hAnsi="方正仿宋_GBK" w:eastAsia="方正仿宋_GBK" w:cs="方正仿宋_GBK"/>
          <w:sz w:val="32"/>
          <w:szCs w:val="32"/>
          <w:lang w:val="en-US" w:eastAsia="zh-CN"/>
        </w:rPr>
        <w:t>该</w:t>
      </w:r>
      <w:r>
        <w:rPr>
          <w:rFonts w:hint="eastAsia" w:ascii="方正仿宋_GBK" w:hAnsi="方正仿宋_GBK" w:eastAsia="方正仿宋_GBK" w:cs="方正仿宋_GBK"/>
          <w:sz w:val="32"/>
          <w:szCs w:val="32"/>
        </w:rPr>
        <w:t>道路连接了林场内的重要区域和潜在的旅游景点，24公里检查站至3林班铁桥</w:t>
      </w:r>
      <w:r>
        <w:rPr>
          <w:rFonts w:hint="eastAsia" w:ascii="方正仿宋_GBK" w:hAnsi="方正仿宋_GBK" w:eastAsia="方正仿宋_GBK" w:cs="方正仿宋_GBK"/>
          <w:sz w:val="32"/>
          <w:szCs w:val="32"/>
          <w:lang w:eastAsia="zh-CN"/>
        </w:rPr>
        <w:t>区域道路</w:t>
      </w:r>
      <w:r>
        <w:rPr>
          <w:rFonts w:hint="eastAsia" w:ascii="方正仿宋_GBK" w:hAnsi="方正仿宋_GBK" w:eastAsia="方正仿宋_GBK" w:cs="方正仿宋_GBK"/>
          <w:sz w:val="32"/>
          <w:szCs w:val="32"/>
        </w:rPr>
        <w:t>可作为进入林场核心旅游区的主要通道，而其他路段可延伸至一些较为偏远但极具特色的旅游景点，形成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主通道+支线</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的旅游交通网络</w:t>
      </w:r>
      <w:r>
        <w:rPr>
          <w:rFonts w:hint="eastAsia" w:ascii="方正仿宋_GBK" w:hAnsi="方正仿宋_GBK" w:eastAsia="方正仿宋_GBK" w:cs="方正仿宋_GBK"/>
          <w:sz w:val="32"/>
          <w:szCs w:val="32"/>
          <w:lang w:eastAsia="zh-CN"/>
        </w:rPr>
        <w:t>和巡护道路网络的综合能力</w:t>
      </w:r>
      <w:r>
        <w:rPr>
          <w:rFonts w:hint="eastAsia" w:ascii="方正仿宋_GBK" w:hAnsi="方正仿宋_GBK" w:eastAsia="方正仿宋_GBK" w:cs="方正仿宋_GBK"/>
          <w:sz w:val="32"/>
          <w:szCs w:val="32"/>
        </w:rPr>
        <w:t>。</w:t>
      </w:r>
    </w:p>
    <w:p>
      <w:pP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br w:type="page"/>
      </w:r>
    </w:p>
    <w:p>
      <w:pPr>
        <w:jc w:val="cente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第五章 项目建设内容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5.1项目</w:t>
      </w:r>
      <w:r>
        <w:rPr>
          <w:rFonts w:hint="eastAsia" w:ascii="方正仿宋_GBK" w:hAnsi="方正仿宋_GBK" w:eastAsia="方正仿宋_GBK" w:cs="方正仿宋_GBK"/>
          <w:b/>
          <w:bCs/>
          <w:sz w:val="32"/>
          <w:szCs w:val="32"/>
          <w:lang w:val="en-US" w:eastAsia="zh-CN"/>
        </w:rPr>
        <w:t>主要</w:t>
      </w:r>
      <w:r>
        <w:rPr>
          <w:rFonts w:hint="eastAsia" w:ascii="方正仿宋_GBK" w:hAnsi="方正仿宋_GBK" w:eastAsia="方正仿宋_GBK" w:cs="方正仿宋_GBK"/>
          <w:b/>
          <w:bCs/>
          <w:sz w:val="32"/>
          <w:szCs w:val="32"/>
        </w:rPr>
        <w:t>建设内容​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主要建设地点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改建5.064公里四级道路（其中：修复水毁路段479米）具体</w:t>
      </w:r>
      <w:r>
        <w:rPr>
          <w:rFonts w:hint="eastAsia" w:ascii="方正仿宋_GBK" w:hAnsi="方正仿宋_GBK" w:eastAsia="方正仿宋_GBK" w:cs="方正仿宋_GBK"/>
          <w:sz w:val="32"/>
          <w:szCs w:val="32"/>
          <w:lang w:val="en-US" w:eastAsia="zh-CN"/>
        </w:rPr>
        <w:t>建设</w:t>
      </w:r>
      <w:r>
        <w:rPr>
          <w:rFonts w:hint="eastAsia" w:ascii="方正仿宋_GBK" w:hAnsi="方正仿宋_GBK" w:eastAsia="方正仿宋_GBK" w:cs="方正仿宋_GBK"/>
          <w:sz w:val="32"/>
          <w:szCs w:val="32"/>
        </w:rPr>
        <w:t>路线包含两段：</w:t>
      </w:r>
      <w:r>
        <w:rPr>
          <w:rFonts w:hint="eastAsia" w:ascii="方正仿宋_GBK" w:hAnsi="方正仿宋_GBK" w:eastAsia="方正仿宋_GBK" w:cs="方正仿宋_GBK"/>
          <w:sz w:val="32"/>
          <w:szCs w:val="32"/>
          <w:lang w:val="en-US" w:eastAsia="zh-CN"/>
        </w:rPr>
        <w:t>一是改建巡护道路2.885公里，二林班区域，目前为沙砾路，计划实施沥青路面，路基宽度采用3.5米，路面宽3.0米，同时对其中水毁路段479米进行修复。二是改建巡护道路2.179公里，二林班区域，目前为沙砾路，计划实施沥青路面，路基宽度采用5米，路面宽4.5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K" w:hAnsi="方正仿宋_GBK" w:eastAsia="方正仿宋_GBK" w:cs="方正仿宋_GBK"/>
          <w:sz w:val="32"/>
          <w:szCs w:val="32"/>
          <w:lang w:val="en-US" w:eastAsia="zh-CN"/>
        </w:rPr>
      </w:pPr>
    </w:p>
    <w:p>
      <w:pP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br w:type="page"/>
      </w:r>
    </w:p>
    <w:p>
      <w:pPr>
        <w:jc w:val="cente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第六章 项目建设期限及进度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6.1项目建设期限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建设期限为2026年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月至2026年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6.2项目进度安排</w:t>
      </w:r>
    </w:p>
    <w:p>
      <w:pPr>
        <w:keepNext w:val="0"/>
        <w:keepLines w:val="0"/>
        <w:pageBreakBefore w:val="0"/>
        <w:widowControl w:val="0"/>
        <w:kinsoku/>
        <w:wordWrap/>
        <w:overflowPunct/>
        <w:topLinePunct w:val="0"/>
        <w:autoSpaceDE/>
        <w:autoSpaceDN/>
        <w:bidi w:val="0"/>
        <w:adjustRightInd/>
        <w:snapToGrid/>
        <w:ind w:left="638" w:leftChars="304" w:firstLine="0" w:firstLine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20</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31</w:t>
      </w:r>
      <w:r>
        <w:rPr>
          <w:rFonts w:hint="eastAsia" w:ascii="方正仿宋_GBK" w:hAnsi="方正仿宋_GBK" w:eastAsia="方正仿宋_GBK" w:cs="方正仿宋_GBK"/>
          <w:sz w:val="32"/>
          <w:szCs w:val="32"/>
        </w:rPr>
        <w:t>日：线路廊道走向实际勘查路线以及示意图</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编制实施方案、工程设计</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月1日--</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日：办理</w:t>
      </w:r>
      <w:r>
        <w:rPr>
          <w:rFonts w:hint="eastAsia" w:ascii="方正仿宋_GBK" w:hAnsi="方正仿宋_GBK" w:eastAsia="方正仿宋_GBK" w:cs="方正仿宋_GBK"/>
          <w:sz w:val="32"/>
          <w:szCs w:val="32"/>
          <w:lang w:val="en-US" w:eastAsia="zh-CN"/>
        </w:rPr>
        <w:t>相关</w:t>
      </w:r>
      <w:r>
        <w:rPr>
          <w:rFonts w:hint="eastAsia" w:ascii="方正仿宋_GBK" w:hAnsi="方正仿宋_GBK" w:eastAsia="方正仿宋_GBK" w:cs="方正仿宋_GBK"/>
          <w:sz w:val="32"/>
          <w:szCs w:val="32"/>
        </w:rPr>
        <w:t>手续</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日：招标；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rPr>
        <w:t>日：开始施工；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2026年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rPr>
        <w:t>日：竣工验收。</w:t>
      </w:r>
    </w:p>
    <w:tbl>
      <w:tblPr>
        <w:tblStyle w:val="5"/>
        <w:tblW w:w="8839" w:type="dxa"/>
        <w:tblInd w:w="96" w:type="dxa"/>
        <w:tblLayout w:type="autofit"/>
        <w:tblCellMar>
          <w:top w:w="0" w:type="dxa"/>
          <w:left w:w="108" w:type="dxa"/>
          <w:bottom w:w="0" w:type="dxa"/>
          <w:right w:w="108" w:type="dxa"/>
        </w:tblCellMar>
      </w:tblPr>
      <w:tblGrid>
        <w:gridCol w:w="2068"/>
        <w:gridCol w:w="1708"/>
        <w:gridCol w:w="1614"/>
        <w:gridCol w:w="1711"/>
        <w:gridCol w:w="1738"/>
      </w:tblGrid>
      <w:tr>
        <w:tblPrEx>
          <w:tblCellMar>
            <w:top w:w="0" w:type="dxa"/>
            <w:left w:w="108" w:type="dxa"/>
            <w:bottom w:w="0" w:type="dxa"/>
            <w:right w:w="108" w:type="dxa"/>
          </w:tblCellMar>
        </w:tblPrEx>
        <w:trPr>
          <w:trHeight w:val="350" w:hRule="atLeast"/>
        </w:trPr>
        <w:tc>
          <w:tcPr>
            <w:tcW w:w="2068" w:type="dxa"/>
            <w:vMerge w:val="restart"/>
            <w:tcBorders>
              <w:top w:val="single" w:color="000000" w:sz="4" w:space="0"/>
              <w:left w:val="single" w:color="000000" w:sz="4" w:space="0"/>
              <w:bottom w:val="single" w:color="000000" w:sz="4" w:space="0"/>
              <w:right w:val="single" w:color="000000" w:sz="4" w:space="0"/>
            </w:tcBorders>
            <w:noWrap/>
            <w:vAlign w:val="center"/>
          </w:tcPr>
          <w:p>
            <w:pPr>
              <w:ind w:left="0" w:leftChars="0" w:firstLine="0" w:firstLineChars="0"/>
              <w:jc w:val="center"/>
              <w:rPr>
                <w:rFonts w:hint="eastAsia" w:ascii="方正仿宋_GBK" w:hAnsi="方正仿宋_GBK" w:eastAsia="方正仿宋_GBK" w:cs="方正仿宋_GBK"/>
                <w:b/>
                <w:bCs/>
                <w:sz w:val="24"/>
                <w:szCs w:val="24"/>
                <w:lang w:bidi="ar"/>
              </w:rPr>
            </w:pPr>
            <w:r>
              <w:rPr>
                <w:rFonts w:hint="eastAsia" w:ascii="方正仿宋_GBK" w:hAnsi="方正仿宋_GBK" w:eastAsia="方正仿宋_GBK" w:cs="方正仿宋_GBK"/>
                <w:b/>
                <w:bCs/>
                <w:sz w:val="24"/>
                <w:szCs w:val="24"/>
                <w:lang w:bidi="ar"/>
              </w:rPr>
              <w:t>时间</w:t>
            </w:r>
          </w:p>
        </w:tc>
        <w:tc>
          <w:tcPr>
            <w:tcW w:w="677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b/>
                <w:bCs/>
                <w:sz w:val="24"/>
                <w:szCs w:val="24"/>
                <w:lang w:bidi="ar"/>
              </w:rPr>
            </w:pPr>
            <w:r>
              <w:rPr>
                <w:rFonts w:hint="eastAsia" w:ascii="方正仿宋_GBK" w:hAnsi="方正仿宋_GBK" w:eastAsia="方正仿宋_GBK" w:cs="方正仿宋_GBK"/>
                <w:b/>
                <w:bCs/>
                <w:sz w:val="24"/>
                <w:szCs w:val="24"/>
                <w:lang w:bidi="ar"/>
              </w:rPr>
              <w:t>进度</w:t>
            </w:r>
          </w:p>
        </w:tc>
      </w:tr>
      <w:tr>
        <w:tblPrEx>
          <w:tblCellMar>
            <w:top w:w="0" w:type="dxa"/>
            <w:left w:w="108" w:type="dxa"/>
            <w:bottom w:w="0" w:type="dxa"/>
            <w:right w:w="108" w:type="dxa"/>
          </w:tblCellMar>
        </w:tblPrEx>
        <w:trPr>
          <w:trHeight w:val="1652" w:hRule="atLeast"/>
        </w:trPr>
        <w:tc>
          <w:tcPr>
            <w:tcW w:w="2068"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方正仿宋_GBK" w:hAnsi="方正仿宋_GBK" w:eastAsia="方正仿宋_GBK" w:cs="方正仿宋_GBK"/>
                <w:b/>
                <w:bCs/>
                <w:sz w:val="24"/>
                <w:szCs w:val="24"/>
                <w:lang w:bidi="ar"/>
              </w:rPr>
            </w:pPr>
          </w:p>
        </w:tc>
        <w:tc>
          <w:tcPr>
            <w:tcW w:w="1708"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方正仿宋_GBK" w:hAnsi="方正仿宋_GBK" w:eastAsia="方正仿宋_GBK" w:cs="方正仿宋_GBK"/>
                <w:b/>
                <w:bCs/>
                <w:sz w:val="24"/>
                <w:szCs w:val="24"/>
                <w:lang w:bidi="ar"/>
              </w:rPr>
            </w:pPr>
          </w:p>
        </w:tc>
        <w:tc>
          <w:tcPr>
            <w:tcW w:w="1614"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both"/>
              <w:rPr>
                <w:rFonts w:hint="eastAsia" w:ascii="方正仿宋_GBK" w:hAnsi="方正仿宋_GBK" w:eastAsia="方正仿宋_GBK" w:cs="方正仿宋_GBK"/>
                <w:b/>
                <w:bCs/>
                <w:sz w:val="24"/>
                <w:szCs w:val="24"/>
                <w:lang w:bidi="ar"/>
              </w:rPr>
            </w:pPr>
            <w:r>
              <w:rPr>
                <w:rFonts w:hint="eastAsia" w:ascii="方正仿宋_GBK" w:hAnsi="方正仿宋_GBK" w:eastAsia="方正仿宋_GBK" w:cs="方正仿宋_GBK"/>
                <w:b/>
                <w:bCs/>
                <w:sz w:val="22"/>
                <w:szCs w:val="22"/>
                <w:lang w:bidi="ar"/>
              </w:rPr>
              <w:t>编制项目实施方案施工前准备</w:t>
            </w:r>
          </w:p>
        </w:tc>
        <w:tc>
          <w:tcPr>
            <w:tcW w:w="1711"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方正仿宋_GBK" w:hAnsi="方正仿宋_GBK" w:eastAsia="方正仿宋_GBK" w:cs="方正仿宋_GBK"/>
                <w:b/>
                <w:bCs/>
                <w:sz w:val="24"/>
                <w:szCs w:val="24"/>
                <w:lang w:bidi="ar"/>
              </w:rPr>
            </w:pPr>
            <w:r>
              <w:rPr>
                <w:rFonts w:hint="eastAsia" w:ascii="方正仿宋_GBK" w:hAnsi="方正仿宋_GBK" w:eastAsia="方正仿宋_GBK" w:cs="方正仿宋_GBK"/>
                <w:b/>
                <w:bCs/>
                <w:sz w:val="24"/>
                <w:szCs w:val="24"/>
                <w:lang w:bidi="ar"/>
              </w:rPr>
              <w:t>施工建设</w:t>
            </w:r>
          </w:p>
        </w:tc>
        <w:tc>
          <w:tcPr>
            <w:tcW w:w="1738"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方正仿宋_GBK" w:hAnsi="方正仿宋_GBK" w:eastAsia="方正仿宋_GBK" w:cs="方正仿宋_GBK"/>
                <w:b/>
                <w:bCs/>
                <w:sz w:val="24"/>
                <w:szCs w:val="24"/>
                <w:lang w:bidi="ar"/>
              </w:rPr>
            </w:pPr>
            <w:r>
              <w:rPr>
                <w:rFonts w:hint="eastAsia" w:ascii="方正仿宋_GBK" w:hAnsi="方正仿宋_GBK" w:eastAsia="方正仿宋_GBK" w:cs="方正仿宋_GBK"/>
                <w:b/>
                <w:bCs/>
                <w:sz w:val="24"/>
                <w:szCs w:val="24"/>
                <w:lang w:bidi="ar"/>
              </w:rPr>
              <w:t>完成项目、进行验收</w:t>
            </w:r>
          </w:p>
        </w:tc>
      </w:tr>
      <w:tr>
        <w:tblPrEx>
          <w:tblCellMar>
            <w:top w:w="0" w:type="dxa"/>
            <w:left w:w="108" w:type="dxa"/>
            <w:bottom w:w="0" w:type="dxa"/>
            <w:right w:w="108" w:type="dxa"/>
          </w:tblCellMar>
        </w:tblPrEx>
        <w:trPr>
          <w:trHeight w:val="415" w:hRule="atLeast"/>
        </w:trPr>
        <w:tc>
          <w:tcPr>
            <w:tcW w:w="2068" w:type="dxa"/>
            <w:tcBorders>
              <w:top w:val="single" w:color="000000" w:sz="4" w:space="0"/>
              <w:left w:val="single" w:color="000000" w:sz="4" w:space="0"/>
              <w:bottom w:val="single" w:color="000000" w:sz="4" w:space="0"/>
              <w:right w:val="single" w:color="000000" w:sz="4" w:space="0"/>
            </w:tcBorders>
            <w:noWrap/>
            <w:vAlign w:val="center"/>
          </w:tcPr>
          <w:p>
            <w:pPr>
              <w:ind w:left="0" w:leftChars="0" w:firstLine="0" w:firstLineChars="0"/>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bidi="ar"/>
              </w:rPr>
              <w:t>202</w:t>
            </w:r>
            <w:r>
              <w:rPr>
                <w:rFonts w:hint="eastAsia" w:ascii="方正仿宋_GBK" w:hAnsi="方正仿宋_GBK" w:eastAsia="方正仿宋_GBK" w:cs="方正仿宋_GBK"/>
                <w:b/>
                <w:bCs/>
                <w:sz w:val="24"/>
                <w:szCs w:val="24"/>
                <w:lang w:val="en-US" w:eastAsia="zh-CN" w:bidi="ar"/>
              </w:rPr>
              <w:t>6</w:t>
            </w:r>
            <w:r>
              <w:rPr>
                <w:rFonts w:hint="eastAsia" w:ascii="方正仿宋_GBK" w:hAnsi="方正仿宋_GBK" w:eastAsia="方正仿宋_GBK" w:cs="方正仿宋_GBK"/>
                <w:b/>
                <w:bCs/>
                <w:sz w:val="24"/>
                <w:szCs w:val="24"/>
                <w:lang w:bidi="ar"/>
              </w:rPr>
              <w:t>年第一季度</w:t>
            </w:r>
          </w:p>
        </w:tc>
        <w:tc>
          <w:tcPr>
            <w:tcW w:w="170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711"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73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r>
      <w:tr>
        <w:tblPrEx>
          <w:tblCellMar>
            <w:top w:w="0" w:type="dxa"/>
            <w:left w:w="108" w:type="dxa"/>
            <w:bottom w:w="0" w:type="dxa"/>
            <w:right w:w="108" w:type="dxa"/>
          </w:tblCellMar>
        </w:tblPrEx>
        <w:trPr>
          <w:trHeight w:val="435" w:hRule="atLeast"/>
        </w:trPr>
        <w:tc>
          <w:tcPr>
            <w:tcW w:w="2068" w:type="dxa"/>
            <w:tcBorders>
              <w:top w:val="single" w:color="000000" w:sz="4" w:space="0"/>
              <w:left w:val="single" w:color="000000" w:sz="4" w:space="0"/>
              <w:bottom w:val="single" w:color="000000" w:sz="4" w:space="0"/>
              <w:right w:val="single" w:color="000000" w:sz="4" w:space="0"/>
            </w:tcBorders>
            <w:noWrap/>
            <w:vAlign w:val="center"/>
          </w:tcPr>
          <w:p>
            <w:pPr>
              <w:ind w:left="0" w:leftChars="0" w:firstLine="0" w:firstLineChars="0"/>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bidi="ar"/>
              </w:rPr>
              <w:t>202</w:t>
            </w:r>
            <w:r>
              <w:rPr>
                <w:rFonts w:hint="eastAsia" w:ascii="方正仿宋_GBK" w:hAnsi="方正仿宋_GBK" w:eastAsia="方正仿宋_GBK" w:cs="方正仿宋_GBK"/>
                <w:b/>
                <w:bCs/>
                <w:sz w:val="24"/>
                <w:szCs w:val="24"/>
                <w:lang w:val="en-US" w:eastAsia="zh-CN" w:bidi="ar"/>
              </w:rPr>
              <w:t>6</w:t>
            </w:r>
            <w:r>
              <w:rPr>
                <w:rFonts w:hint="eastAsia" w:ascii="方正仿宋_GBK" w:hAnsi="方正仿宋_GBK" w:eastAsia="方正仿宋_GBK" w:cs="方正仿宋_GBK"/>
                <w:b/>
                <w:bCs/>
                <w:sz w:val="24"/>
                <w:szCs w:val="24"/>
                <w:lang w:bidi="ar"/>
              </w:rPr>
              <w:t>年第二季度</w:t>
            </w:r>
          </w:p>
        </w:tc>
        <w:tc>
          <w:tcPr>
            <w:tcW w:w="170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w:t>
            </w:r>
          </w:p>
        </w:tc>
        <w:tc>
          <w:tcPr>
            <w:tcW w:w="171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rPr>
            </w:pPr>
          </w:p>
        </w:tc>
        <w:tc>
          <w:tcPr>
            <w:tcW w:w="173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r>
      <w:tr>
        <w:tblPrEx>
          <w:tblCellMar>
            <w:top w:w="0" w:type="dxa"/>
            <w:left w:w="108" w:type="dxa"/>
            <w:bottom w:w="0" w:type="dxa"/>
            <w:right w:w="108" w:type="dxa"/>
          </w:tblCellMar>
        </w:tblPrEx>
        <w:trPr>
          <w:trHeight w:val="435" w:hRule="atLeast"/>
        </w:trPr>
        <w:tc>
          <w:tcPr>
            <w:tcW w:w="2068" w:type="dxa"/>
            <w:tcBorders>
              <w:top w:val="single" w:color="000000" w:sz="4" w:space="0"/>
              <w:left w:val="single" w:color="000000" w:sz="4" w:space="0"/>
              <w:bottom w:val="single" w:color="000000" w:sz="4" w:space="0"/>
              <w:right w:val="single" w:color="000000" w:sz="4" w:space="0"/>
            </w:tcBorders>
            <w:noWrap/>
            <w:vAlign w:val="center"/>
          </w:tcPr>
          <w:p>
            <w:pPr>
              <w:ind w:left="0" w:leftChars="0" w:firstLine="0" w:firstLineChars="0"/>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bidi="ar"/>
              </w:rPr>
              <w:t>202</w:t>
            </w:r>
            <w:r>
              <w:rPr>
                <w:rFonts w:hint="eastAsia" w:ascii="方正仿宋_GBK" w:hAnsi="方正仿宋_GBK" w:eastAsia="方正仿宋_GBK" w:cs="方正仿宋_GBK"/>
                <w:b/>
                <w:bCs/>
                <w:sz w:val="24"/>
                <w:szCs w:val="24"/>
                <w:lang w:val="en-US" w:eastAsia="zh-CN" w:bidi="ar"/>
              </w:rPr>
              <w:t>6</w:t>
            </w:r>
            <w:r>
              <w:rPr>
                <w:rFonts w:hint="eastAsia" w:ascii="方正仿宋_GBK" w:hAnsi="方正仿宋_GBK" w:eastAsia="方正仿宋_GBK" w:cs="方正仿宋_GBK"/>
                <w:b/>
                <w:bCs/>
                <w:sz w:val="24"/>
                <w:szCs w:val="24"/>
                <w:lang w:bidi="ar"/>
              </w:rPr>
              <w:t>年第三季度</w:t>
            </w:r>
          </w:p>
        </w:tc>
        <w:tc>
          <w:tcPr>
            <w:tcW w:w="170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rPr>
            </w:pPr>
          </w:p>
        </w:tc>
        <w:tc>
          <w:tcPr>
            <w:tcW w:w="171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rPr>
            </w:pPr>
            <w:bookmarkStart w:id="4" w:name="OLE_LINK4"/>
            <w:r>
              <w:rPr>
                <w:rFonts w:hint="eastAsia" w:ascii="方正仿宋_GBK" w:hAnsi="方正仿宋_GBK" w:eastAsia="方正仿宋_GBK" w:cs="方正仿宋_GBK"/>
                <w:sz w:val="24"/>
                <w:szCs w:val="24"/>
                <w:lang w:bidi="ar"/>
              </w:rPr>
              <w:t>━</w:t>
            </w:r>
            <w:bookmarkEnd w:id="4"/>
          </w:p>
        </w:tc>
        <w:tc>
          <w:tcPr>
            <w:tcW w:w="173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lang w:bidi="ar"/>
              </w:rPr>
            </w:pPr>
          </w:p>
        </w:tc>
      </w:tr>
      <w:tr>
        <w:tblPrEx>
          <w:tblCellMar>
            <w:top w:w="0" w:type="dxa"/>
            <w:left w:w="108" w:type="dxa"/>
            <w:bottom w:w="0" w:type="dxa"/>
            <w:right w:w="108" w:type="dxa"/>
          </w:tblCellMar>
        </w:tblPrEx>
        <w:trPr>
          <w:trHeight w:val="583" w:hRule="atLeast"/>
        </w:trPr>
        <w:tc>
          <w:tcPr>
            <w:tcW w:w="2068" w:type="dxa"/>
            <w:tcBorders>
              <w:top w:val="single" w:color="000000" w:sz="4" w:space="0"/>
              <w:left w:val="single" w:color="000000" w:sz="4" w:space="0"/>
              <w:bottom w:val="single" w:color="000000" w:sz="4" w:space="0"/>
              <w:right w:val="single" w:color="000000" w:sz="4" w:space="0"/>
            </w:tcBorders>
            <w:noWrap/>
            <w:vAlign w:val="center"/>
          </w:tcPr>
          <w:p>
            <w:pPr>
              <w:ind w:left="0" w:leftChars="0" w:firstLine="0" w:firstLineChars="0"/>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bidi="ar"/>
              </w:rPr>
              <w:t>202</w:t>
            </w:r>
            <w:r>
              <w:rPr>
                <w:rFonts w:hint="eastAsia" w:ascii="方正仿宋_GBK" w:hAnsi="方正仿宋_GBK" w:eastAsia="方正仿宋_GBK" w:cs="方正仿宋_GBK"/>
                <w:b/>
                <w:bCs/>
                <w:sz w:val="24"/>
                <w:szCs w:val="24"/>
                <w:lang w:val="en-US" w:eastAsia="zh-CN" w:bidi="ar"/>
              </w:rPr>
              <w:t>6</w:t>
            </w:r>
            <w:r>
              <w:rPr>
                <w:rFonts w:hint="eastAsia" w:ascii="方正仿宋_GBK" w:hAnsi="方正仿宋_GBK" w:eastAsia="方正仿宋_GBK" w:cs="方正仿宋_GBK"/>
                <w:b/>
                <w:bCs/>
                <w:sz w:val="24"/>
                <w:szCs w:val="24"/>
                <w:lang w:bidi="ar"/>
              </w:rPr>
              <w:t>年第四季度</w:t>
            </w:r>
          </w:p>
        </w:tc>
        <w:tc>
          <w:tcPr>
            <w:tcW w:w="1708"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pPr>
              <w:rPr>
                <w:rFonts w:hint="eastAsia" w:ascii="方正仿宋_GBK" w:hAnsi="方正仿宋_GBK" w:eastAsia="方正仿宋_GBK" w:cs="方正仿宋_GBK"/>
                <w:sz w:val="24"/>
                <w:szCs w:val="24"/>
              </w:rPr>
            </w:pPr>
          </w:p>
        </w:tc>
        <w:tc>
          <w:tcPr>
            <w:tcW w:w="171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rPr>
            </w:pPr>
          </w:p>
        </w:tc>
        <w:tc>
          <w:tcPr>
            <w:tcW w:w="173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仿宋_GBK" w:hAnsi="方正仿宋_GBK" w:eastAsia="方正仿宋_GBK" w:cs="方正仿宋_GBK"/>
                <w:sz w:val="24"/>
                <w:szCs w:val="24"/>
                <w:lang w:val="en-US" w:eastAsia="zh-CN" w:bidi="ar"/>
              </w:rPr>
            </w:pPr>
            <w:r>
              <w:rPr>
                <w:rFonts w:hint="eastAsia" w:ascii="方正仿宋_GBK" w:hAnsi="方正仿宋_GBK" w:eastAsia="方正仿宋_GBK" w:cs="方正仿宋_GBK"/>
                <w:sz w:val="24"/>
                <w:szCs w:val="24"/>
                <w:lang w:bidi="ar"/>
              </w:rPr>
              <w:t>━</w:t>
            </w:r>
          </w:p>
        </w:tc>
      </w:tr>
    </w:tbl>
    <w:p>
      <w:pPr>
        <w:rPr>
          <w:rFonts w:hint="eastAsia" w:ascii="Times New Roman" w:hAnsi="Times New Roman" w:eastAsia="黑体" w:cs="Times New Roman"/>
          <w:kern w:val="2"/>
          <w:sz w:val="32"/>
          <w:szCs w:val="32"/>
          <w:lang w:val="en-US" w:eastAsia="zh-CN" w:bidi="ar-SA"/>
        </w:rPr>
      </w:pPr>
    </w:p>
    <w:p>
      <w:pPr>
        <w:jc w:val="center"/>
        <w:rPr>
          <w:rFonts w:hint="eastAsia" w:ascii="Times New Roman" w:hAnsi="Times New Roman" w:eastAsia="黑体" w:cs="Times New Roman"/>
          <w:kern w:val="2"/>
          <w:sz w:val="32"/>
          <w:szCs w:val="32"/>
          <w:lang w:val="en-US" w:eastAsia="zh-CN" w:bidi="ar-SA"/>
        </w:rPr>
      </w:pPr>
    </w:p>
    <w:p>
      <w:pPr>
        <w:jc w:val="center"/>
        <w:rPr>
          <w:rFonts w:hint="eastAsia" w:ascii="Times New Roman" w:hAnsi="Times New Roman" w:eastAsia="黑体" w:cs="Times New Roman"/>
          <w:kern w:val="2"/>
          <w:sz w:val="32"/>
          <w:szCs w:val="32"/>
          <w:lang w:val="en-US" w:eastAsia="zh-CN" w:bidi="ar-SA"/>
        </w:rPr>
      </w:pPr>
    </w:p>
    <w:p>
      <w:pPr>
        <w:jc w:val="cente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第七章 资金预算及来源</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7.1预算依据和说明​</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关于开展202</w:t>
      </w:r>
      <w:r>
        <w:rPr>
          <w:rFonts w:hint="eastAsia" w:ascii="方正仿宋_GBK" w:hAnsi="方正仿宋_GBK" w:eastAsia="方正仿宋_GBK" w:cs="方正仿宋_GBK"/>
          <w:sz w:val="32"/>
          <w:szCs w:val="32"/>
          <w:lang w:val="en-US" w:eastAsia="zh-CN"/>
        </w:rPr>
        <w:t>6年中央财政林业草原项目储备工作的通知》（新林规字〔2025〕143号）</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2.《关于下达2026年中央财政常态化帮扶资金预算的通知》（喀地财振〔2026〕2号）</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3.《关于下达2026年中央财政常态化帮扶资金预算的通知》（麦财振〔2026〕13号）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.《城镇道路路面设计规范》（CJJ169-2021）​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.《公路沥青路面设计规范》(JTGD50-2006)​</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.《公路路基设计规范》(JTGD30-2004)​</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.《公路桥涵设计通用规范》（JTGD60－2015）​</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《公路涵洞设计规范》（JGJ/T3365-02-2020）​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.《公路排水设计规范》（JTG/TD33-2012）​</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7.2资金预算（附表）</w:t>
      </w:r>
    </w:p>
    <w:tbl>
      <w:tblPr>
        <w:tblStyle w:val="5"/>
        <w:tblW w:w="97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0"/>
        <w:gridCol w:w="2107"/>
        <w:gridCol w:w="912"/>
        <w:gridCol w:w="804"/>
        <w:gridCol w:w="1217"/>
        <w:gridCol w:w="1524"/>
        <w:gridCol w:w="1056"/>
        <w:gridCol w:w="14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9756" w:type="dxa"/>
            <w:gridSpan w:val="8"/>
            <w:tcBorders>
              <w:top w:val="nil"/>
              <w:left w:val="nil"/>
              <w:bottom w:val="nil"/>
              <w:right w:val="nil"/>
            </w:tcBorders>
            <w:noWrap w:val="0"/>
            <w:vAlign w:val="top"/>
          </w:tcPr>
          <w:p>
            <w:p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麦盖提县胡杨林场巡护道路提升改造项目</w:t>
            </w:r>
            <w:r>
              <w:rPr>
                <w:rFonts w:hint="default" w:ascii="方正仿宋_GBK" w:hAnsi="方正仿宋_GBK" w:eastAsia="方正仿宋_GBK" w:cs="方正仿宋_GBK"/>
                <w:sz w:val="32"/>
                <w:szCs w:val="32"/>
              </w:rPr>
              <w:t>资金预算</w:t>
            </w:r>
            <w:r>
              <w:rPr>
                <w:rFonts w:hint="eastAsia" w:ascii="方正仿宋_GBK" w:hAnsi="方正仿宋_GBK" w:eastAsia="方正仿宋_GBK" w:cs="方正仿宋_GBK"/>
                <w:sz w:val="32"/>
                <w:szCs w:val="32"/>
                <w:lang w:val="en-US" w:eastAsia="zh-CN"/>
              </w:rPr>
              <w:t>表</w:t>
            </w:r>
          </w:p>
          <w:p>
            <w:pPr>
              <w:keepNext w:val="0"/>
              <w:keepLines w:val="0"/>
              <w:pageBreakBefore w:val="0"/>
              <w:widowControl/>
              <w:suppressLineNumbers w:val="0"/>
              <w:kinsoku/>
              <w:wordWrap/>
              <w:overflowPunct/>
              <w:topLinePunct w:val="0"/>
              <w:bidi w:val="0"/>
              <w:spacing w:line="570" w:lineRule="exact"/>
              <w:jc w:val="right"/>
              <w:textAlignment w:val="top"/>
              <w:rPr>
                <w:rFonts w:hint="eastAsia" w:ascii="宋体" w:hAnsi="宋体" w:eastAsia="宋体" w:cs="宋体"/>
                <w:i w:val="0"/>
                <w:iCs w:val="0"/>
                <w:color w:val="000000"/>
                <w:sz w:val="22"/>
                <w:szCs w:val="22"/>
                <w:u w:val="none"/>
              </w:rPr>
            </w:pPr>
            <w:r>
              <w:rPr>
                <w:rStyle w:val="7"/>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序号</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项目名称</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规格、型号</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单位</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数量</w:t>
            </w: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单价</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资金</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 w:lineRule="atLeas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76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合计</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128</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一</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直接费用</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sz w:val="22"/>
                <w:szCs w:val="22"/>
                <w:u w:val="none"/>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sz w:val="22"/>
                <w:szCs w:val="22"/>
                <w:u w:val="none"/>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b/>
                <w:bCs/>
                <w:i w:val="0"/>
                <w:iCs w:val="0"/>
                <w:color w:val="000000"/>
                <w:sz w:val="22"/>
                <w:szCs w:val="22"/>
                <w:u w:val="none"/>
                <w:lang w:val="en-US"/>
              </w:rPr>
            </w:pPr>
            <w:r>
              <w:rPr>
                <w:rFonts w:hint="eastAsia" w:ascii="方正仿宋_GBK" w:hAnsi="方正仿宋_GBK" w:eastAsia="方正仿宋_GBK" w:cs="方正仿宋_GBK"/>
                <w:b/>
                <w:bCs/>
                <w:i w:val="0"/>
                <w:iCs w:val="0"/>
                <w:color w:val="000000"/>
                <w:kern w:val="0"/>
                <w:sz w:val="22"/>
                <w:szCs w:val="22"/>
                <w:u w:val="none"/>
                <w:lang w:val="en-US" w:eastAsia="zh-CN" w:bidi="ar"/>
              </w:rPr>
              <w:t>116</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1</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b w:val="0"/>
                <w:bCs w:val="0"/>
                <w:i w:val="0"/>
                <w:iCs w:val="0"/>
                <w:color w:val="000000"/>
                <w:kern w:val="0"/>
                <w:sz w:val="22"/>
                <w:szCs w:val="22"/>
                <w:u w:val="none"/>
                <w:lang w:val="en-US" w:eastAsia="zh-CN" w:bidi="ar"/>
              </w:rPr>
              <w:t>道路主体建设铺设</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沥青路</w:t>
            </w:r>
          </w:p>
          <w:p>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①长2.885km宽3m;</w:t>
            </w:r>
          </w:p>
          <w:p>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default"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2"/>
                <w:sz w:val="22"/>
                <w:szCs w:val="22"/>
                <w:u w:val="none"/>
                <w:lang w:val="en-US" w:eastAsia="zh-CN" w:bidi="ar-SA"/>
              </w:rPr>
              <w:t>②长2.179km宽4.5m。</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b w:val="0"/>
                <w:bCs w:val="0"/>
                <w:i w:val="0"/>
                <w:iCs w:val="0"/>
                <w:color w:val="000000"/>
                <w:kern w:val="0"/>
                <w:sz w:val="22"/>
                <w:szCs w:val="22"/>
                <w:u w:val="none"/>
                <w:lang w:val="en-US" w:eastAsia="zh-CN" w:bidi="ar"/>
              </w:rPr>
              <w:t>公里</w:t>
            </w: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b w:val="0"/>
                <w:bCs w:val="0"/>
                <w:i w:val="0"/>
                <w:iCs w:val="0"/>
                <w:caps w:val="0"/>
                <w:color w:val="1F2329"/>
                <w:spacing w:val="0"/>
                <w:sz w:val="19"/>
                <w:szCs w:val="19"/>
                <w:shd w:val="clear" w:color="auto" w:fill="FFFFFF"/>
                <w:lang w:val="en-US" w:eastAsia="zh-CN"/>
              </w:rPr>
              <w:t>5.064</w:t>
            </w: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b w:val="0"/>
                <w:bCs w:val="0"/>
                <w:i w:val="0"/>
                <w:iCs w:val="0"/>
                <w:caps w:val="0"/>
                <w:color w:val="1F2329"/>
                <w:spacing w:val="0"/>
                <w:sz w:val="19"/>
                <w:szCs w:val="19"/>
                <w:shd w:val="clear" w:color="auto" w:fill="FFFFFF"/>
              </w:rPr>
              <w:t>分段计取</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b w:val="0"/>
                <w:bCs w:val="0"/>
                <w:i w:val="0"/>
                <w:iCs w:val="0"/>
                <w:color w:val="000000"/>
                <w:kern w:val="0"/>
                <w:sz w:val="22"/>
                <w:szCs w:val="22"/>
                <w:u w:val="none"/>
                <w:lang w:val="en-US" w:eastAsia="zh-CN" w:bidi="ar"/>
              </w:rPr>
            </w:pPr>
            <w:r>
              <w:rPr>
                <w:rFonts w:hint="eastAsia" w:ascii="方正仿宋_GBK" w:hAnsi="方正仿宋_GBK" w:eastAsia="方正仿宋_GBK" w:cs="方正仿宋_GBK"/>
                <w:b w:val="0"/>
                <w:bCs w:val="0"/>
                <w:i w:val="0"/>
                <w:iCs w:val="0"/>
                <w:color w:val="000000"/>
                <w:kern w:val="0"/>
                <w:sz w:val="22"/>
                <w:szCs w:val="22"/>
                <w:u w:val="none"/>
                <w:lang w:val="en-US" w:eastAsia="zh-CN" w:bidi="ar"/>
              </w:rPr>
              <w:t>116</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2"/>
                <w:sz w:val="22"/>
                <w:szCs w:val="22"/>
                <w:u w:val="none"/>
                <w:lang w:val="en-US" w:eastAsia="zh-CN" w:bidi="ar-SA"/>
              </w:rPr>
            </w:pPr>
            <w:r>
              <w:rPr>
                <w:rFonts w:hint="eastAsia" w:ascii="方正仿宋_GBK" w:hAnsi="方正仿宋_GBK" w:eastAsia="方正仿宋_GBK" w:cs="方正仿宋_GBK"/>
                <w:b/>
                <w:bCs/>
                <w:i w:val="0"/>
                <w:iCs w:val="0"/>
                <w:color w:val="000000"/>
                <w:kern w:val="0"/>
                <w:sz w:val="22"/>
                <w:szCs w:val="22"/>
                <w:u w:val="none"/>
                <w:lang w:val="en-US" w:eastAsia="zh-CN" w:bidi="ar"/>
              </w:rPr>
              <w:t>二</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b/>
                <w:bCs/>
                <w:i w:val="0"/>
                <w:iCs w:val="0"/>
                <w:color w:val="000000"/>
                <w:kern w:val="2"/>
                <w:sz w:val="22"/>
                <w:szCs w:val="22"/>
                <w:u w:val="none"/>
                <w:lang w:val="en-US" w:eastAsia="zh-CN" w:bidi="ar-SA"/>
              </w:rPr>
            </w:pPr>
            <w:r>
              <w:rPr>
                <w:rFonts w:hint="eastAsia" w:ascii="方正仿宋_GBK" w:hAnsi="方正仿宋_GBK" w:eastAsia="方正仿宋_GBK" w:cs="方正仿宋_GBK"/>
                <w:b/>
                <w:bCs/>
                <w:i w:val="0"/>
                <w:iCs w:val="0"/>
                <w:color w:val="000000"/>
                <w:kern w:val="0"/>
                <w:sz w:val="22"/>
                <w:szCs w:val="22"/>
                <w:u w:val="none"/>
                <w:lang w:val="en-US" w:eastAsia="zh-CN" w:bidi="ar"/>
              </w:rPr>
              <w:t>间接费用</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iCs/>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b/>
                <w:bCs/>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b/>
                <w:bCs/>
                <w:i w:val="0"/>
                <w:iCs w:val="0"/>
                <w:color w:val="000000"/>
                <w:kern w:val="2"/>
                <w:sz w:val="22"/>
                <w:szCs w:val="22"/>
                <w:u w:val="none"/>
                <w:lang w:val="en-US" w:eastAsia="zh-CN" w:bidi="ar-SA"/>
              </w:rPr>
            </w:pPr>
            <w:r>
              <w:rPr>
                <w:rFonts w:hint="eastAsia" w:ascii="方正仿宋_GBK" w:hAnsi="方正仿宋_GBK" w:eastAsia="方正仿宋_GBK" w:cs="方正仿宋_GBK"/>
                <w:b/>
                <w:bCs/>
                <w:i w:val="0"/>
                <w:iCs w:val="0"/>
                <w:color w:val="000000"/>
                <w:kern w:val="0"/>
                <w:sz w:val="22"/>
                <w:szCs w:val="22"/>
                <w:u w:val="none"/>
                <w:lang w:val="en-US" w:eastAsia="zh-CN" w:bidi="ar"/>
              </w:rPr>
              <w:t>12</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2.1</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设计费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3</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2.2</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监理费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0"/>
                <w:sz w:val="22"/>
                <w:szCs w:val="22"/>
                <w:u w:val="none"/>
                <w:lang w:val="en-US" w:eastAsia="zh-CN" w:bidi="ar"/>
              </w:rPr>
              <w:t>2.3</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水土保持方案编制、验收</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2.4</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征占林地手续</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2.7</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2.5</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工程竣工审计费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0.63</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2.6</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投资预算评审费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0.22</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2.7</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竣工财务决算费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0.18</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2.8</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可行性研究报告</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编制费</w:t>
            </w:r>
          </w:p>
        </w:tc>
        <w:tc>
          <w:tcPr>
            <w:tcW w:w="91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5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eastAsia" w:ascii="方正仿宋_GBK" w:hAnsi="方正仿宋_GBK" w:eastAsia="方正仿宋_GBK" w:cs="方正仿宋_GBK"/>
                <w:i w:val="0"/>
                <w:iCs w:val="0"/>
                <w:color w:val="000000"/>
                <w:kern w:val="2"/>
                <w:sz w:val="22"/>
                <w:szCs w:val="22"/>
                <w:u w:val="none"/>
                <w:lang w:val="en-US" w:eastAsia="zh-CN" w:bidi="ar-SA"/>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70" w:lineRule="exact"/>
              <w:jc w:val="center"/>
              <w:textAlignment w:val="center"/>
              <w:rPr>
                <w:rFonts w:hint="default" w:ascii="方正仿宋_GBK" w:hAnsi="方正仿宋_GBK" w:eastAsia="方正仿宋_GBK" w:cs="方正仿宋_GBK"/>
                <w:i w:val="0"/>
                <w:iCs w:val="0"/>
                <w:color w:val="000000"/>
                <w:kern w:val="2"/>
                <w:sz w:val="22"/>
                <w:szCs w:val="22"/>
                <w:u w:val="none"/>
                <w:lang w:val="en-US" w:eastAsia="zh-CN" w:bidi="ar-SA"/>
              </w:rPr>
            </w:pPr>
            <w:r>
              <w:rPr>
                <w:rFonts w:hint="eastAsia" w:ascii="方正仿宋_GBK" w:hAnsi="方正仿宋_GBK" w:eastAsia="方正仿宋_GBK" w:cs="方正仿宋_GBK"/>
                <w:i w:val="0"/>
                <w:iCs w:val="0"/>
                <w:color w:val="000000"/>
                <w:kern w:val="2"/>
                <w:sz w:val="22"/>
                <w:szCs w:val="22"/>
                <w:u w:val="none"/>
                <w:lang w:val="en-US" w:eastAsia="zh-CN" w:bidi="ar-SA"/>
              </w:rPr>
              <w:t>1.27</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wordWrap/>
              <w:overflowPunct/>
              <w:topLinePunct w:val="0"/>
              <w:bidi w:val="0"/>
              <w:spacing w:line="570" w:lineRule="exact"/>
              <w:jc w:val="center"/>
              <w:rPr>
                <w:rFonts w:hint="eastAsia" w:ascii="方正仿宋_GBK" w:hAnsi="方正仿宋_GBK" w:eastAsia="方正仿宋_GBK" w:cs="方正仿宋_GBK"/>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7.3资金来源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2026年中央财政常态化帮扶资金（欠发达国有林场巩固提升任务）资金。</w:t>
      </w:r>
    </w:p>
    <w:p>
      <w:pP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br w:type="page"/>
      </w:r>
    </w:p>
    <w:p>
      <w:pPr>
        <w:jc w:val="cente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第八章 绩效目标及成效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8.1项目绩效目标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就业带动：项目施工及旅游配套可提供就业岗位，助力无固定收入家庭增收；​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管护提升：实现巡护全覆盖，保障</w:t>
      </w:r>
      <w:r>
        <w:rPr>
          <w:rFonts w:hint="eastAsia" w:ascii="方正仿宋_GBK" w:hAnsi="方正仿宋_GBK" w:eastAsia="方正仿宋_GBK" w:cs="方正仿宋_GBK"/>
          <w:sz w:val="32"/>
          <w:szCs w:val="32"/>
          <w:lang w:eastAsia="zh-CN"/>
        </w:rPr>
        <w:t>17.88</w:t>
      </w:r>
      <w:r>
        <w:rPr>
          <w:rFonts w:hint="eastAsia" w:ascii="方正仿宋_GBK" w:hAnsi="方正仿宋_GBK" w:eastAsia="方正仿宋_GBK" w:cs="方正仿宋_GBK"/>
          <w:sz w:val="32"/>
          <w:szCs w:val="32"/>
        </w:rPr>
        <w:t>万亩公益林安全；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旅游发展：年吸引游客量、旅游收入显著增长，带动餐饮、住宿等关联，提升居民人均收入。​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8.2预期效益分析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直接效益：巡护效率提升30%以上；旅游直接收入年均增长50%以上。​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间接效益：带动</w:t>
      </w:r>
      <w:r>
        <w:rPr>
          <w:rFonts w:hint="eastAsia" w:ascii="方正仿宋_GBK" w:hAnsi="方正仿宋_GBK" w:eastAsia="方正仿宋_GBK" w:cs="方正仿宋_GBK"/>
          <w:sz w:val="32"/>
          <w:szCs w:val="32"/>
          <w:lang w:val="en-US" w:eastAsia="zh-CN"/>
        </w:rPr>
        <w:t>40</w:t>
      </w:r>
      <w:r>
        <w:rPr>
          <w:rFonts w:hint="eastAsia" w:ascii="方正仿宋_GBK" w:hAnsi="方正仿宋_GBK" w:eastAsia="方正仿宋_GBK" w:cs="方正仿宋_GBK"/>
          <w:sz w:val="32"/>
          <w:szCs w:val="32"/>
        </w:rPr>
        <w:t>名林场职工及居民稳定增收，关联年增收。​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社会效益：完善公共服务，提升林场知名度，促进民族文化交流与乡村振兴。​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生态效益：降低</w:t>
      </w:r>
      <w:r>
        <w:rPr>
          <w:rFonts w:hint="eastAsia" w:ascii="方正仿宋_GBK" w:hAnsi="方正仿宋_GBK" w:eastAsia="方正仿宋_GBK" w:cs="方正仿宋_GBK"/>
          <w:sz w:val="32"/>
          <w:szCs w:val="32"/>
          <w:lang w:eastAsia="zh-CN"/>
        </w:rPr>
        <w:t>林区</w:t>
      </w:r>
      <w:r>
        <w:rPr>
          <w:rFonts w:hint="eastAsia" w:ascii="方正仿宋_GBK" w:hAnsi="方正仿宋_GBK" w:eastAsia="方正仿宋_GBK" w:cs="方正仿宋_GBK"/>
          <w:sz w:val="32"/>
          <w:szCs w:val="32"/>
        </w:rPr>
        <w:t>风险，通过旅游宣传强化生态保护意识，实现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保护+开发</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双赢。​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可持续性：设施使用寿命10年以上，</w:t>
      </w:r>
      <w:r>
        <w:rPr>
          <w:rFonts w:hint="eastAsia" w:ascii="方正仿宋_GBK" w:hAnsi="方正仿宋_GBK" w:eastAsia="方正仿宋_GBK" w:cs="方正仿宋_GBK"/>
          <w:sz w:val="32"/>
          <w:szCs w:val="32"/>
          <w:lang w:val="en-US" w:eastAsia="zh-CN"/>
        </w:rPr>
        <w:t>形成林区主通道的旅游交通网络，构建稳定的巡护链</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8.2.5可持续性影响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本项目实施所产生的经济效益、社会效益、生态效益明显，达到了社会效益、生态效益、经济效益相统一，可持续利用10年。</w:t>
      </w:r>
    </w:p>
    <w:p>
      <w:pP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br w:type="page"/>
      </w:r>
    </w:p>
    <w:p>
      <w:pPr>
        <w:jc w:val="center"/>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第九章 保障措施</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9.</w:t>
      </w:r>
      <w:r>
        <w:rPr>
          <w:rFonts w:hint="eastAsia" w:ascii="方正仿宋_GBK" w:hAnsi="方正仿宋_GBK" w:eastAsia="方正仿宋_GBK" w:cs="方正仿宋_GBK"/>
          <w:b/>
          <w:bCs/>
          <w:sz w:val="32"/>
          <w:szCs w:val="32"/>
          <w:lang w:val="en-US" w:eastAsia="zh-CN"/>
        </w:rPr>
        <w:t>1</w:t>
      </w:r>
      <w:r>
        <w:rPr>
          <w:rFonts w:hint="eastAsia" w:ascii="方正仿宋_GBK" w:hAnsi="方正仿宋_GBK" w:eastAsia="方正仿宋_GBK" w:cs="方正仿宋_GBK"/>
          <w:b/>
          <w:bCs/>
          <w:sz w:val="32"/>
          <w:szCs w:val="32"/>
        </w:rPr>
        <w:t>管理方式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根据《新疆维吾尔自治区财政常态化帮扶资金管理办法》新财振〔2026〕4号</w:t>
      </w:r>
      <w:r>
        <w:rPr>
          <w:rFonts w:hint="eastAsia" w:ascii="方正仿宋_GBK" w:hAnsi="方正仿宋_GBK" w:eastAsia="方正仿宋_GBK" w:cs="方正仿宋_GBK"/>
          <w:sz w:val="32"/>
          <w:szCs w:val="32"/>
          <w:lang w:val="en-US" w:eastAsia="zh-CN"/>
        </w:rPr>
        <w:t>等相关文件具体执行开展</w:t>
      </w:r>
      <w:r>
        <w:rPr>
          <w:rFonts w:hint="eastAsia" w:ascii="方正仿宋_GBK" w:hAnsi="方正仿宋_GBK" w:eastAsia="方正仿宋_GBK" w:cs="方正仿宋_GBK"/>
          <w:sz w:val="32"/>
          <w:szCs w:val="32"/>
        </w:rPr>
        <w:t>，全面负责扶贫资金和项目管理、绩效评价、监督检查等各项工作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保质保量按时完成该项目，需实行目标管理责任制，明确领导小组各成员的职责，全面推行项目建设责任制、项目法人责任制，建立健全扶贫资产公开公示、定期巡查、绩效考核、结果反馈等检查机制</w:t>
      </w:r>
      <w:r>
        <w:rPr>
          <w:rFonts w:hint="eastAsia" w:ascii="方正仿宋_GBK" w:hAnsi="方正仿宋_GBK" w:eastAsia="方正仿宋_GBK" w:cs="方正仿宋_GBK"/>
          <w:sz w:val="32"/>
          <w:szCs w:val="32"/>
          <w:lang w:val="en-US" w:eastAsia="zh-CN"/>
        </w:rPr>
        <w:t>等</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根据《新疆维吾尔自治区财政专项扶贫资金（扶贫发展项目管理办法（暂行的通知》（新扶贫领字〔2017〕39号等相关文件要求，坚持项目竣工验收制度，遵照属地管理、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谁审批、谁验收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的原则。按照村、乡、县三个级别逐级开展验收工作。项目竣工后，按照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谁使用、谁管理、谁负责</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的原则，做好产权移交工作。制定项目后期管护制度，明确项目后期管护主体和工作责任。乡村振兴项目实施需按《新疆维吾尔自治区财政专项扶贫资金（扶贫发展项目管理办法（暂行的通知》（新扶贫领字〔2017〕39号、《新疆维吾尔自治区扶贫资金项目公告公示制度实施办法》（〔2018〕27号等文件精神，按事前、事中、</w:t>
      </w:r>
      <w:r>
        <w:rPr>
          <w:rFonts w:hint="eastAsia" w:ascii="方正仿宋_GBK" w:hAnsi="方正仿宋_GBK" w:eastAsia="方正仿宋_GBK" w:cs="方正仿宋_GBK"/>
          <w:sz w:val="32"/>
          <w:szCs w:val="32"/>
          <w:lang w:val="en-US" w:eastAsia="zh-CN"/>
        </w:rPr>
        <w:t>事后</w:t>
      </w:r>
      <w:r>
        <w:rPr>
          <w:rFonts w:hint="eastAsia" w:ascii="方正仿宋_GBK" w:hAnsi="方正仿宋_GBK" w:eastAsia="方正仿宋_GBK" w:cs="方正仿宋_GBK"/>
          <w:sz w:val="32"/>
          <w:szCs w:val="32"/>
        </w:rPr>
        <w:t>增加公示公告章节内容，并明确公示公告的方式。</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9.</w:t>
      </w:r>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rPr>
        <w:t>资金保障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资金使用和管理应按照《财政部关于下达2026年中央财政常态化帮扶资金预算的通知》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财农[2026]25号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新疆维吾尔自治区财政专项扶贫资金（扶贫发展项目管理办法（暂行的通知》（新财扶〔2017〕32号、《关于进一步加强财政扶贫资金监督管理的意见》（新财脱贫组〔2019〕2号等相关文件要求。项目实施单位依据项目计划和实施进度,提出支付申请并提供相关真实、合规的证明材料，制定资金使用计划，经审核后按照国库集中支付管理制度的规定和程序及时支付资金。从国库直接支付到乡村振兴项目承担的企业、商户或乡村振兴受益个人。严格执行专款专用，杜绝挤占、挪用项目资金，严禁虚列支出、以拨代支虚增项目进度。项目资金支付后,在审计或检查中发现资金使用存在违法违规问题的，应及时追回、收回。对资金使用严格监管，防止资金使用不精准、虚报冒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9.</w:t>
      </w:r>
      <w:r>
        <w:rPr>
          <w:rFonts w:hint="eastAsia" w:ascii="方正仿宋_GBK" w:hAnsi="方正仿宋_GBK" w:eastAsia="方正仿宋_GBK" w:cs="方正仿宋_GBK"/>
          <w:b/>
          <w:bCs/>
          <w:sz w:val="32"/>
          <w:szCs w:val="32"/>
          <w:lang w:val="en-US" w:eastAsia="zh-CN"/>
        </w:rPr>
        <w:t>3</w:t>
      </w:r>
      <w:bookmarkStart w:id="5" w:name="_GoBack"/>
      <w:bookmarkEnd w:id="5"/>
      <w:r>
        <w:rPr>
          <w:rFonts w:hint="eastAsia" w:ascii="方正仿宋_GBK" w:hAnsi="方正仿宋_GBK" w:eastAsia="方正仿宋_GBK" w:cs="方正仿宋_GBK"/>
          <w:b/>
          <w:bCs/>
          <w:sz w:val="32"/>
          <w:szCs w:val="32"/>
        </w:rPr>
        <w:t>档案管理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kern w:val="2"/>
          <w:sz w:val="32"/>
          <w:szCs w:val="32"/>
          <w:lang w:val="en-US" w:eastAsia="zh-CN" w:bidi="ar-SA"/>
        </w:rPr>
        <w:t>进一步建立健全档案管理的各项规章制度。将项目相关资料，按照绩效评价资料档、评价项目基本情况和相关文件、评价实施方案、项目支付资料等相关档案进行规整。</w:t>
      </w:r>
    </w:p>
    <w:p>
      <w:pPr>
        <w:keepNext w:val="0"/>
        <w:keepLines w:val="0"/>
        <w:pageBreakBefore w:val="0"/>
        <w:topLinePunct w:val="0"/>
        <w:autoSpaceDE/>
        <w:bidi w:val="0"/>
        <w:adjustRightInd/>
        <w:spacing w:line="560" w:lineRule="exact"/>
        <w:ind w:firstLine="640" w:firstLineChars="200"/>
        <w:rPr>
          <w:rFonts w:hint="eastAsia" w:ascii="方正仿宋_GBK" w:hAnsi="方正仿宋_GBK" w:eastAsia="方正仿宋_GBK" w:cs="方正仿宋_GBK"/>
          <w:b w:val="0"/>
          <w:bCs w:val="0"/>
          <w:sz w:val="32"/>
          <w:szCs w:val="32"/>
          <w:highlight w:val="none"/>
        </w:rPr>
      </w:pPr>
    </w:p>
    <w:p>
      <w:pPr>
        <w:keepNext w:val="0"/>
        <w:keepLines w:val="0"/>
        <w:pageBreakBefore w:val="0"/>
        <w:topLinePunct w:val="0"/>
        <w:autoSpaceDE/>
        <w:bidi w:val="0"/>
        <w:adjustRightInd/>
        <w:spacing w:line="560" w:lineRule="exact"/>
        <w:ind w:firstLine="640" w:firstLineChars="200"/>
        <w:rPr>
          <w:rFonts w:hint="eastAsia" w:ascii="方正仿宋_GBK" w:hAnsi="方正仿宋_GBK" w:eastAsia="方正仿宋_GBK" w:cs="方正仿宋_GBK"/>
          <w:b w:val="0"/>
          <w:bCs w:val="0"/>
          <w:sz w:val="32"/>
          <w:szCs w:val="32"/>
          <w:highlight w:val="none"/>
        </w:rPr>
      </w:pPr>
      <w:r>
        <w:rPr>
          <w:rFonts w:hint="eastAsia" w:ascii="方正仿宋_GBK" w:hAnsi="方正仿宋_GBK" w:eastAsia="方正仿宋_GBK" w:cs="方正仿宋_GBK"/>
          <w:b w:val="0"/>
          <w:bCs w:val="0"/>
          <w:sz w:val="32"/>
          <w:szCs w:val="32"/>
          <w:highlight w:val="none"/>
        </w:rPr>
        <w:t>附：1.</w:t>
      </w:r>
      <w:r>
        <w:rPr>
          <w:rFonts w:hint="eastAsia" w:ascii="方正仿宋_GBK" w:hAnsi="方正仿宋_GBK" w:eastAsia="方正仿宋_GBK" w:cs="方正仿宋_GBK"/>
          <w:b w:val="0"/>
          <w:bCs w:val="0"/>
          <w:sz w:val="32"/>
          <w:szCs w:val="32"/>
          <w:highlight w:val="none"/>
          <w:lang w:val="en-US" w:eastAsia="zh-CN"/>
        </w:rPr>
        <w:t>麦盖提县胡杨林场巡护道路提升改造项目</w:t>
      </w:r>
      <w:r>
        <w:rPr>
          <w:rFonts w:hint="eastAsia" w:ascii="方正仿宋_GBK" w:hAnsi="方正仿宋_GBK" w:eastAsia="方正仿宋_GBK" w:cs="方正仿宋_GBK"/>
          <w:b w:val="0"/>
          <w:bCs w:val="0"/>
          <w:sz w:val="32"/>
          <w:szCs w:val="32"/>
          <w:highlight w:val="none"/>
        </w:rPr>
        <w:t>预算表</w:t>
      </w:r>
    </w:p>
    <w:p>
      <w:pPr>
        <w:keepNext w:val="0"/>
        <w:keepLines w:val="0"/>
        <w:pageBreakBefore w:val="0"/>
        <w:topLinePunct w:val="0"/>
        <w:autoSpaceDE/>
        <w:bidi w:val="0"/>
        <w:adjustRightInd/>
        <w:spacing w:line="560" w:lineRule="exact"/>
        <w:ind w:left="1597" w:leftChars="608" w:hanging="320" w:hangingChars="100"/>
        <w:rPr>
          <w:rFonts w:hint="eastAsia" w:ascii="方正仿宋_GBK" w:hAnsi="方正仿宋_GBK" w:eastAsia="方正仿宋_GBK" w:cs="方正仿宋_GBK"/>
          <w:b w:val="0"/>
          <w:bCs w:val="0"/>
          <w:sz w:val="32"/>
          <w:szCs w:val="32"/>
          <w:highlight w:val="none"/>
        </w:rPr>
      </w:pPr>
      <w:r>
        <w:rPr>
          <w:rFonts w:hint="eastAsia" w:ascii="方正仿宋_GBK" w:hAnsi="方正仿宋_GBK" w:eastAsia="方正仿宋_GBK" w:cs="方正仿宋_GBK"/>
          <w:b w:val="0"/>
          <w:bCs w:val="0"/>
          <w:sz w:val="32"/>
          <w:szCs w:val="32"/>
          <w:highlight w:val="none"/>
        </w:rPr>
        <w:t>2.</w:t>
      </w:r>
      <w:r>
        <w:rPr>
          <w:rFonts w:hint="eastAsia" w:ascii="方正仿宋_GBK" w:hAnsi="方正仿宋_GBK" w:eastAsia="方正仿宋_GBK" w:cs="方正仿宋_GBK"/>
          <w:b w:val="0"/>
          <w:bCs w:val="0"/>
          <w:sz w:val="32"/>
          <w:szCs w:val="32"/>
          <w:highlight w:val="none"/>
          <w:lang w:val="en-US" w:eastAsia="zh-CN"/>
        </w:rPr>
        <w:t>麦盖提县胡杨林场巡护道路提升改造项目</w:t>
      </w:r>
      <w:r>
        <w:rPr>
          <w:rFonts w:hint="eastAsia" w:ascii="方正仿宋_GBK" w:hAnsi="方正仿宋_GBK" w:eastAsia="方正仿宋_GBK" w:cs="方正仿宋_GBK"/>
          <w:b w:val="0"/>
          <w:bCs w:val="0"/>
          <w:sz w:val="32"/>
          <w:szCs w:val="32"/>
          <w:highlight w:val="none"/>
        </w:rPr>
        <w:t>绩效目标申报表</w:t>
      </w:r>
    </w:p>
    <w:p>
      <w:pPr>
        <w:keepNext w:val="0"/>
        <w:keepLines w:val="0"/>
        <w:pageBreakBefore w:val="0"/>
        <w:topLinePunct w:val="0"/>
        <w:autoSpaceDE/>
        <w:bidi w:val="0"/>
        <w:adjustRightInd/>
        <w:spacing w:line="560" w:lineRule="exact"/>
        <w:rPr>
          <w:rFonts w:hint="eastAsia" w:ascii="方正仿宋_GBK" w:hAnsi="方正仿宋_GBK" w:eastAsia="方正仿宋_GBK" w:cs="方正仿宋_GBK"/>
          <w:sz w:val="32"/>
          <w:szCs w:val="32"/>
        </w:rPr>
      </w:pPr>
    </w:p>
    <w:p>
      <w:pPr>
        <w:keepNext w:val="0"/>
        <w:keepLines w:val="0"/>
        <w:widowControl/>
        <w:suppressLineNumbers w:val="0"/>
        <w:jc w:val="left"/>
        <w:textAlignment w:val="center"/>
        <w:rPr>
          <w:rFonts w:hint="eastAsia" w:ascii="方正仿宋_GBK" w:hAnsi="方正仿宋_GBK" w:eastAsia="方正仿宋_GBK" w:cs="方正仿宋_GBK"/>
          <w:b/>
          <w:bCs/>
          <w:i w:val="0"/>
          <w:iCs w:val="0"/>
          <w:color w:val="000000"/>
          <w:kern w:val="0"/>
          <w:sz w:val="36"/>
          <w:szCs w:val="36"/>
          <w:u w:val="none"/>
          <w:lang w:val="en-US" w:eastAsia="zh-CN" w:bidi="ar"/>
        </w:rPr>
      </w:pPr>
      <w:r>
        <w:rPr>
          <w:rFonts w:hint="eastAsia" w:ascii="方正黑体_GBK" w:hAnsi="方正黑体_GBK" w:eastAsia="方正黑体_GBK" w:cs="方正黑体_GBK"/>
          <w:b/>
          <w:bCs/>
          <w:i w:val="0"/>
          <w:iCs w:val="0"/>
          <w:color w:val="000000"/>
          <w:kern w:val="0"/>
          <w:sz w:val="56"/>
          <w:szCs w:val="56"/>
          <w:u w:val="none"/>
          <w:lang w:val="en-US" w:eastAsia="zh-CN" w:bidi="ar"/>
        </w:rPr>
        <w:br w:type="page"/>
      </w:r>
      <w:r>
        <w:rPr>
          <w:rFonts w:hint="eastAsia" w:ascii="方正仿宋_GBK" w:hAnsi="方正仿宋_GBK" w:eastAsia="方正仿宋_GBK" w:cs="方正仿宋_GBK"/>
          <w:sz w:val="32"/>
          <w:szCs w:val="32"/>
          <w:lang w:val="en-US" w:eastAsia="zh-CN"/>
        </w:rPr>
        <w:t>附件1：</w:t>
      </w:r>
    </w:p>
    <w:tbl>
      <w:tblPr>
        <w:tblStyle w:val="5"/>
        <w:tblW w:w="11352" w:type="dxa"/>
        <w:tblInd w:w="-12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8"/>
        <w:gridCol w:w="1620"/>
        <w:gridCol w:w="1656"/>
        <w:gridCol w:w="3216"/>
        <w:gridCol w:w="852"/>
        <w:gridCol w:w="708"/>
        <w:gridCol w:w="828"/>
        <w:gridCol w:w="768"/>
        <w:gridCol w:w="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1352"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黑体_GBK" w:hAnsi="方正黑体_GBK" w:eastAsia="方正黑体_GBK" w:cs="方正黑体_GBK"/>
                <w:b/>
                <w:bCs/>
                <w:i w:val="0"/>
                <w:iCs w:val="0"/>
                <w:color w:val="000000"/>
                <w:sz w:val="56"/>
                <w:szCs w:val="56"/>
                <w:u w:val="none"/>
              </w:rPr>
            </w:pPr>
            <w:r>
              <w:rPr>
                <w:rFonts w:hint="eastAsia" w:ascii="黑体" w:hAnsi="黑体" w:eastAsia="黑体" w:cs="黑体"/>
                <w:b/>
                <w:bCs/>
                <w:i w:val="0"/>
                <w:iCs w:val="0"/>
                <w:color w:val="000000"/>
                <w:kern w:val="0"/>
                <w:sz w:val="44"/>
                <w:szCs w:val="44"/>
                <w:u w:val="none"/>
                <w:lang w:val="en-US" w:eastAsia="zh-CN" w:bidi="ar"/>
              </w:rPr>
              <w:t>麦盖提县胡杨林场巡护道路提升改造项目投资预算表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8" w:type="dxa"/>
            <w:tcBorders>
              <w:top w:val="nil"/>
              <w:left w:val="nil"/>
              <w:bottom w:val="nil"/>
              <w:right w:val="nil"/>
            </w:tcBorders>
            <w:shd w:val="clear" w:color="auto" w:fill="auto"/>
            <w:vAlign w:val="center"/>
          </w:tcPr>
          <w:p>
            <w:pPr>
              <w:jc w:val="both"/>
              <w:rPr>
                <w:rFonts w:hint="eastAsia" w:ascii="方正仿宋_GBK" w:hAnsi="方正仿宋_GBK" w:eastAsia="方正仿宋_GBK" w:cs="方正仿宋_GBK"/>
                <w:i w:val="0"/>
                <w:iCs w:val="0"/>
                <w:color w:val="000000"/>
                <w:sz w:val="24"/>
                <w:szCs w:val="24"/>
                <w:u w:val="none"/>
              </w:rPr>
            </w:pPr>
          </w:p>
        </w:tc>
        <w:tc>
          <w:tcPr>
            <w:tcW w:w="1620" w:type="dxa"/>
            <w:tcBorders>
              <w:top w:val="nil"/>
              <w:left w:val="nil"/>
              <w:bottom w:val="nil"/>
              <w:right w:val="nil"/>
            </w:tcBorders>
            <w:shd w:val="clear" w:color="auto" w:fill="auto"/>
            <w:vAlign w:val="center"/>
          </w:tcPr>
          <w:p>
            <w:pPr>
              <w:jc w:val="both"/>
              <w:rPr>
                <w:rFonts w:hint="eastAsia" w:ascii="方正仿宋_GBK" w:hAnsi="方正仿宋_GBK" w:eastAsia="方正仿宋_GBK" w:cs="方正仿宋_GBK"/>
                <w:i w:val="0"/>
                <w:iCs w:val="0"/>
                <w:color w:val="000000"/>
                <w:sz w:val="24"/>
                <w:szCs w:val="24"/>
                <w:u w:val="none"/>
              </w:rPr>
            </w:pPr>
          </w:p>
        </w:tc>
        <w:tc>
          <w:tcPr>
            <w:tcW w:w="5724" w:type="dxa"/>
            <w:gridSpan w:val="3"/>
            <w:tcBorders>
              <w:top w:val="nil"/>
              <w:left w:val="nil"/>
              <w:bottom w:val="nil"/>
              <w:right w:val="nil"/>
            </w:tcBorders>
            <w:shd w:val="clear" w:color="auto" w:fill="auto"/>
            <w:vAlign w:val="center"/>
          </w:tcPr>
          <w:p>
            <w:pPr>
              <w:jc w:val="both"/>
              <w:rPr>
                <w:rFonts w:hint="eastAsia" w:ascii="方正仿宋_GBK" w:hAnsi="方正仿宋_GBK" w:eastAsia="方正仿宋_GBK" w:cs="方正仿宋_GBK"/>
                <w:i w:val="0"/>
                <w:iCs w:val="0"/>
                <w:color w:val="000000"/>
                <w:sz w:val="24"/>
                <w:szCs w:val="24"/>
                <w:u w:val="none"/>
              </w:rPr>
            </w:pPr>
          </w:p>
        </w:tc>
        <w:tc>
          <w:tcPr>
            <w:tcW w:w="708" w:type="dxa"/>
            <w:tcBorders>
              <w:top w:val="nil"/>
              <w:left w:val="nil"/>
              <w:bottom w:val="nil"/>
              <w:right w:val="nil"/>
            </w:tcBorders>
            <w:shd w:val="clear" w:color="auto" w:fill="auto"/>
            <w:vAlign w:val="center"/>
          </w:tcPr>
          <w:p>
            <w:pPr>
              <w:jc w:val="both"/>
              <w:rPr>
                <w:rFonts w:hint="eastAsia" w:ascii="方正仿宋_GBK" w:hAnsi="方正仿宋_GBK" w:eastAsia="方正仿宋_GBK" w:cs="方正仿宋_GBK"/>
                <w:i w:val="0"/>
                <w:iCs w:val="0"/>
                <w:color w:val="000000"/>
                <w:sz w:val="24"/>
                <w:szCs w:val="24"/>
                <w:u w:val="none"/>
              </w:rPr>
            </w:pPr>
          </w:p>
        </w:tc>
        <w:tc>
          <w:tcPr>
            <w:tcW w:w="828" w:type="dxa"/>
            <w:tcBorders>
              <w:top w:val="nil"/>
              <w:left w:val="nil"/>
              <w:bottom w:val="nil"/>
              <w:right w:val="nil"/>
            </w:tcBorders>
            <w:shd w:val="clear" w:color="auto" w:fill="auto"/>
            <w:vAlign w:val="center"/>
          </w:tcPr>
          <w:p>
            <w:pPr>
              <w:jc w:val="both"/>
              <w:rPr>
                <w:rFonts w:hint="eastAsia" w:ascii="方正仿宋_GBK" w:hAnsi="方正仿宋_GBK" w:eastAsia="方正仿宋_GBK" w:cs="方正仿宋_GBK"/>
                <w:i w:val="0"/>
                <w:iCs w:val="0"/>
                <w:color w:val="000000"/>
                <w:sz w:val="24"/>
                <w:szCs w:val="24"/>
                <w:u w:val="none"/>
              </w:rPr>
            </w:pPr>
          </w:p>
        </w:tc>
        <w:tc>
          <w:tcPr>
            <w:tcW w:w="1704"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项目名称</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分项</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主要建设内容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数量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单价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2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合计</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2"/>
                <w:szCs w:val="22"/>
                <w:u w:val="none"/>
                <w:lang w:val="en-US"/>
              </w:rPr>
            </w:pPr>
            <w:r>
              <w:rPr>
                <w:rFonts w:hint="eastAsia" w:ascii="方正仿宋_GBK" w:hAnsi="方正仿宋_GBK" w:eastAsia="方正仿宋_GBK" w:cs="方正仿宋_GBK"/>
                <w:b/>
                <w:bCs/>
                <w:i w:val="0"/>
                <w:iCs w:val="0"/>
                <w:color w:val="000000"/>
                <w:kern w:val="0"/>
                <w:sz w:val="22"/>
                <w:szCs w:val="22"/>
                <w:u w:val="none"/>
                <w:lang w:val="en-US" w:eastAsia="zh-CN" w:bidi="ar"/>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一</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直接费用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2"/>
                <w:szCs w:val="22"/>
                <w:u w:val="none"/>
                <w:lang w:val="en-US"/>
              </w:rPr>
            </w:pPr>
            <w:r>
              <w:rPr>
                <w:rFonts w:hint="eastAsia" w:ascii="方正仿宋_GBK" w:hAnsi="方正仿宋_GBK" w:eastAsia="方正仿宋_GBK" w:cs="方正仿宋_GBK"/>
                <w:b/>
                <w:bCs/>
                <w:i w:val="0"/>
                <w:iCs w:val="0"/>
                <w:color w:val="000000"/>
                <w:kern w:val="0"/>
                <w:sz w:val="22"/>
                <w:szCs w:val="22"/>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2"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巡护道路铺设</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道路主体工程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计划在二林班改建5.064公里四级道路（其中：修复水毁路段479米）具体建设路线包含两段：一是改建巡护道路2.885公里，沥青路面，路基宽度采用3.5米，路面宽3.0米，同时对其中水毁路段479米进行修复。二是改建巡护道路2.179公里，沥青路面，路基宽度采用5米，路面宽4.5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公里</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5.064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分段计取</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二</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间接费用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2"/>
                <w:szCs w:val="22"/>
                <w:u w:val="none"/>
                <w:lang w:val="en-US"/>
              </w:rPr>
            </w:pPr>
            <w:r>
              <w:rPr>
                <w:rFonts w:hint="eastAsia" w:ascii="方正仿宋_GBK" w:hAnsi="方正仿宋_GBK" w:eastAsia="方正仿宋_GBK" w:cs="方正仿宋_GBK"/>
                <w:b/>
                <w:bCs/>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设计费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监理</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水土保持编制、验收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征占林地手续</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2"/>
                <w:sz w:val="22"/>
                <w:szCs w:val="22"/>
                <w:u w:val="none"/>
                <w:lang w:val="en-US" w:eastAsia="zh-CN" w:bidi="ar-SA"/>
              </w:rPr>
              <w:t>工程竣工审计费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投资预算评审费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2.7</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竣工财务决算费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2.8</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2"/>
                <w:sz w:val="22"/>
                <w:szCs w:val="22"/>
                <w:u w:val="none"/>
                <w:lang w:val="en-US" w:eastAsia="zh-CN" w:bidi="ar-SA"/>
              </w:rPr>
              <w:t>可行性研究报告编制费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lang w:val="en-US"/>
              </w:rPr>
            </w:pPr>
            <w:r>
              <w:rPr>
                <w:rFonts w:hint="eastAsia" w:ascii="方正仿宋_GBK" w:hAnsi="方正仿宋_GBK" w:eastAsia="方正仿宋_GBK" w:cs="方正仿宋_GBK"/>
                <w:i w:val="0"/>
                <w:iCs w:val="0"/>
                <w:color w:val="000000"/>
                <w:kern w:val="0"/>
                <w:sz w:val="22"/>
                <w:szCs w:val="22"/>
                <w:u w:val="none"/>
                <w:lang w:val="en-US" w:eastAsia="zh-CN" w:bidi="ar"/>
              </w:rPr>
              <w:t>1.27</w:t>
            </w:r>
          </w:p>
        </w:tc>
      </w:tr>
    </w:tbl>
    <w:p>
      <w:pPr>
        <w:spacing w:line="139" w:lineRule="exact"/>
        <w:rPr>
          <w:rFonts w:ascii="Arial"/>
          <w:sz w:val="21"/>
        </w:rPr>
      </w:pPr>
    </w:p>
    <w:p>
      <w:pPr>
        <w:spacing w:before="55" w:line="224" w:lineRule="auto"/>
        <w:ind w:left="519"/>
        <w:rPr>
          <w:rFonts w:ascii="黑体" w:hAnsi="黑体" w:eastAsia="黑体" w:cs="黑体"/>
          <w:spacing w:val="5"/>
          <w:sz w:val="17"/>
          <w:szCs w:val="17"/>
        </w:rPr>
      </w:pPr>
    </w:p>
    <w:p>
      <w:pPr>
        <w:spacing w:before="72" w:line="220" w:lineRule="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w:t>
      </w:r>
      <w:r>
        <w:rPr>
          <w:rFonts w:hint="eastAsia" w:ascii="方正仿宋_GBK" w:hAnsi="方正仿宋_GBK" w:eastAsia="方正仿宋_GBK" w:cs="方正仿宋_GBK"/>
          <w:b w:val="0"/>
          <w:bCs w:val="0"/>
          <w:sz w:val="32"/>
          <w:szCs w:val="32"/>
          <w:lang w:val="en-US" w:eastAsia="zh-CN"/>
        </w:rPr>
        <w:t>件</w:t>
      </w:r>
      <w:r>
        <w:rPr>
          <w:rFonts w:hint="eastAsia" w:ascii="方正仿宋_GBK" w:hAnsi="方正仿宋_GBK" w:eastAsia="方正仿宋_GBK" w:cs="方正仿宋_GBK"/>
          <w:sz w:val="32"/>
          <w:szCs w:val="32"/>
          <w:lang w:val="en-US" w:eastAsia="zh-CN"/>
        </w:rPr>
        <w:t>2</w:t>
      </w:r>
    </w:p>
    <w:p>
      <w:pPr>
        <w:keepNext w:val="0"/>
        <w:keepLines w:val="0"/>
        <w:pageBreakBefore w:val="0"/>
        <w:widowControl w:val="0"/>
        <w:kinsoku/>
        <w:wordWrap/>
        <w:overflowPunct/>
        <w:topLinePunct w:val="0"/>
        <w:autoSpaceDE/>
        <w:autoSpaceDN/>
        <w:bidi w:val="0"/>
        <w:adjustRightInd/>
        <w:snapToGrid w:val="0"/>
        <w:spacing w:before="72" w:line="120" w:lineRule="auto"/>
        <w:jc w:val="center"/>
        <w:textAlignment w:val="auto"/>
        <w:rPr>
          <w:rFonts w:ascii="宋体" w:hAnsi="宋体" w:eastAsia="宋体" w:cs="宋体"/>
          <w:sz w:val="28"/>
          <w:szCs w:val="28"/>
        </w:rPr>
      </w:pPr>
      <w:r>
        <w:rPr>
          <w:rFonts w:ascii="宋体" w:hAnsi="宋体" w:eastAsia="宋体" w:cs="宋体"/>
          <w:b/>
          <w:bCs/>
          <w:spacing w:val="-20"/>
          <w:sz w:val="28"/>
          <w:szCs w:val="28"/>
        </w:rPr>
        <w:t>项目支出绩效目标表</w:t>
      </w:r>
    </w:p>
    <w:p>
      <w:pPr>
        <w:keepNext w:val="0"/>
        <w:keepLines w:val="0"/>
        <w:pageBreakBefore w:val="0"/>
        <w:widowControl w:val="0"/>
        <w:kinsoku/>
        <w:wordWrap/>
        <w:overflowPunct/>
        <w:topLinePunct w:val="0"/>
        <w:autoSpaceDE/>
        <w:autoSpaceDN/>
        <w:bidi w:val="0"/>
        <w:adjustRightInd/>
        <w:snapToGrid w:val="0"/>
        <w:spacing w:before="72" w:line="20" w:lineRule="atLeast"/>
        <w:jc w:val="center"/>
        <w:textAlignment w:val="auto"/>
        <w:rPr>
          <w:rFonts w:hint="eastAsia" w:ascii="方正仿宋_GBK" w:hAnsi="方正仿宋_GBK" w:eastAsia="方正仿宋_GBK" w:cs="方正仿宋_GBK"/>
          <w:b w:val="0"/>
          <w:bCs w:val="0"/>
          <w:sz w:val="22"/>
          <w:szCs w:val="22"/>
          <w:lang w:val="en-US" w:eastAsia="zh-CN"/>
        </w:rPr>
      </w:pPr>
      <w:r>
        <w:rPr>
          <w:rFonts w:hint="eastAsia" w:ascii="方正仿宋_GBK" w:hAnsi="方正仿宋_GBK" w:eastAsia="方正仿宋_GBK" w:cs="方正仿宋_GBK"/>
          <w:b w:val="0"/>
          <w:bCs w:val="0"/>
          <w:sz w:val="22"/>
          <w:szCs w:val="22"/>
          <w:lang w:val="en-US" w:eastAsia="zh-CN"/>
        </w:rPr>
        <w:t>(2026年度)</w:t>
      </w:r>
    </w:p>
    <w:tbl>
      <w:tblPr>
        <w:tblStyle w:val="16"/>
        <w:tblpPr w:leftFromText="180" w:rightFromText="180" w:vertAnchor="text" w:horzAnchor="page" w:tblpX="1259" w:tblpY="420"/>
        <w:tblOverlap w:val="never"/>
        <w:tblW w:w="91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369"/>
        <w:gridCol w:w="1009"/>
        <w:gridCol w:w="1169"/>
        <w:gridCol w:w="1189"/>
        <w:gridCol w:w="739"/>
        <w:gridCol w:w="749"/>
        <w:gridCol w:w="1149"/>
        <w:gridCol w:w="2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72" w:type="dxa"/>
            <w:gridSpan w:val="3"/>
            <w:vAlign w:val="top"/>
          </w:tcPr>
          <w:p>
            <w:pPr>
              <w:keepNext w:val="0"/>
              <w:keepLines w:val="0"/>
              <w:pageBreakBefore w:val="0"/>
              <w:widowControl w:val="0"/>
              <w:kinsoku/>
              <w:wordWrap/>
              <w:overflowPunct/>
              <w:topLinePunct w:val="0"/>
              <w:autoSpaceDE/>
              <w:autoSpaceDN/>
              <w:bidi w:val="0"/>
              <w:adjustRightInd/>
              <w:snapToGrid w:val="0"/>
              <w:spacing w:before="91" w:line="20" w:lineRule="atLeast"/>
              <w:ind w:left="695"/>
              <w:textAlignment w:val="auto"/>
              <w:rPr>
                <w:rFonts w:ascii="宋体" w:hAnsi="宋体" w:eastAsia="宋体" w:cs="宋体"/>
                <w:sz w:val="14"/>
                <w:szCs w:val="14"/>
              </w:rPr>
            </w:pPr>
            <w:r>
              <w:rPr>
                <w:rFonts w:ascii="宋体" w:hAnsi="宋体" w:eastAsia="宋体" w:cs="宋体"/>
                <w:spacing w:val="-2"/>
                <w:sz w:val="14"/>
                <w:szCs w:val="14"/>
              </w:rPr>
              <w:t>项目名称</w:t>
            </w:r>
          </w:p>
        </w:tc>
        <w:tc>
          <w:tcPr>
            <w:tcW w:w="7128" w:type="dxa"/>
            <w:gridSpan w:val="6"/>
            <w:vAlign w:val="top"/>
          </w:tcPr>
          <w:p>
            <w:pPr>
              <w:pStyle w:val="17"/>
              <w:keepNext w:val="0"/>
              <w:keepLines w:val="0"/>
              <w:pageBreakBefore w:val="0"/>
              <w:widowControl w:val="0"/>
              <w:tabs>
                <w:tab w:val="left" w:pos="1639"/>
              </w:tabs>
              <w:kinsoku/>
              <w:wordWrap/>
              <w:overflowPunct/>
              <w:topLinePunct w:val="0"/>
              <w:autoSpaceDE/>
              <w:autoSpaceDN/>
              <w:bidi w:val="0"/>
              <w:adjustRightInd/>
              <w:snapToGrid w:val="0"/>
              <w:spacing w:line="20" w:lineRule="atLeast"/>
              <w:textAlignment w:val="auto"/>
              <w:rPr>
                <w:rFonts w:hint="eastAsia" w:eastAsia="宋体"/>
                <w:lang w:eastAsia="zh-CN"/>
              </w:rPr>
            </w:pPr>
            <w:r>
              <w:rPr>
                <w:rFonts w:hint="eastAsia" w:eastAsia="宋体"/>
                <w:lang w:eastAsia="zh-CN"/>
              </w:rPr>
              <w:tab/>
            </w:r>
            <w:r>
              <w:rPr>
                <w:rFonts w:hint="eastAsia" w:ascii="宋体" w:hAnsi="宋体" w:eastAsia="宋体" w:cs="宋体"/>
                <w:snapToGrid w:val="0"/>
                <w:color w:val="000000"/>
                <w:spacing w:val="-3"/>
                <w:kern w:val="0"/>
                <w:sz w:val="14"/>
                <w:szCs w:val="14"/>
                <w:lang w:val="en-US" w:eastAsia="zh-CN" w:bidi="ar-SA"/>
              </w:rPr>
              <w:t>麦盖提县胡杨林场巡护道路提升改造项目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72" w:type="dxa"/>
            <w:gridSpan w:val="3"/>
            <w:vAlign w:val="top"/>
          </w:tcPr>
          <w:p>
            <w:pPr>
              <w:keepNext w:val="0"/>
              <w:keepLines w:val="0"/>
              <w:pageBreakBefore w:val="0"/>
              <w:widowControl w:val="0"/>
              <w:kinsoku/>
              <w:wordWrap/>
              <w:overflowPunct/>
              <w:topLinePunct w:val="0"/>
              <w:autoSpaceDE/>
              <w:autoSpaceDN/>
              <w:bidi w:val="0"/>
              <w:adjustRightInd/>
              <w:snapToGrid w:val="0"/>
              <w:spacing w:before="145" w:line="20" w:lineRule="atLeast"/>
              <w:ind w:left="695"/>
              <w:textAlignment w:val="auto"/>
              <w:rPr>
                <w:rFonts w:ascii="宋体" w:hAnsi="宋体" w:eastAsia="宋体" w:cs="宋体"/>
                <w:sz w:val="14"/>
                <w:szCs w:val="14"/>
              </w:rPr>
            </w:pPr>
            <w:r>
              <w:rPr>
                <w:rFonts w:ascii="宋体" w:hAnsi="宋体" w:eastAsia="宋体" w:cs="宋体"/>
                <w:spacing w:val="-2"/>
                <w:sz w:val="14"/>
                <w:szCs w:val="14"/>
              </w:rPr>
              <w:t>预算单位</w:t>
            </w:r>
          </w:p>
        </w:tc>
        <w:tc>
          <w:tcPr>
            <w:tcW w:w="7128" w:type="dxa"/>
            <w:gridSpan w:val="6"/>
            <w:vAlign w:val="top"/>
          </w:tcPr>
          <w:p>
            <w:pPr>
              <w:keepNext w:val="0"/>
              <w:keepLines w:val="0"/>
              <w:pageBreakBefore w:val="0"/>
              <w:widowControl w:val="0"/>
              <w:kinsoku/>
              <w:wordWrap/>
              <w:overflowPunct/>
              <w:topLinePunct w:val="0"/>
              <w:autoSpaceDE/>
              <w:autoSpaceDN/>
              <w:bidi w:val="0"/>
              <w:adjustRightInd/>
              <w:snapToGrid w:val="0"/>
              <w:spacing w:before="144" w:line="20" w:lineRule="atLeast"/>
              <w:ind w:left="2063"/>
              <w:textAlignment w:val="auto"/>
              <w:rPr>
                <w:rFonts w:hint="default" w:ascii="宋体" w:hAnsi="宋体" w:eastAsia="宋体" w:cs="宋体"/>
                <w:sz w:val="14"/>
                <w:szCs w:val="14"/>
                <w:lang w:val="en-US" w:eastAsia="zh-CN"/>
              </w:rPr>
            </w:pPr>
            <w:r>
              <w:rPr>
                <w:rFonts w:hint="eastAsia" w:ascii="宋体" w:hAnsi="宋体" w:eastAsia="宋体" w:cs="宋体"/>
                <w:sz w:val="14"/>
                <w:szCs w:val="14"/>
                <w:lang w:val="en-US" w:eastAsia="zh-CN"/>
              </w:rPr>
              <w:t>麦盖提县胡杨林场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972" w:type="dxa"/>
            <w:gridSpan w:val="3"/>
            <w:vAlign w:val="top"/>
          </w:tcPr>
          <w:p>
            <w:pPr>
              <w:keepNext w:val="0"/>
              <w:keepLines w:val="0"/>
              <w:pageBreakBefore w:val="0"/>
              <w:widowControl w:val="0"/>
              <w:kinsoku/>
              <w:wordWrap/>
              <w:overflowPunct/>
              <w:topLinePunct w:val="0"/>
              <w:autoSpaceDE/>
              <w:autoSpaceDN/>
              <w:bidi w:val="0"/>
              <w:adjustRightInd/>
              <w:snapToGrid w:val="0"/>
              <w:spacing w:before="95" w:line="20" w:lineRule="atLeast"/>
              <w:ind w:left="695"/>
              <w:textAlignment w:val="auto"/>
              <w:rPr>
                <w:rFonts w:ascii="宋体" w:hAnsi="宋体" w:eastAsia="宋体" w:cs="宋体"/>
                <w:sz w:val="14"/>
                <w:szCs w:val="14"/>
              </w:rPr>
            </w:pPr>
            <w:r>
              <w:rPr>
                <w:rFonts w:ascii="宋体" w:hAnsi="宋体" w:eastAsia="宋体" w:cs="宋体"/>
                <w:spacing w:val="-2"/>
                <w:sz w:val="14"/>
                <w:szCs w:val="14"/>
              </w:rPr>
              <w:t>项目类型</w:t>
            </w:r>
          </w:p>
        </w:tc>
        <w:tc>
          <w:tcPr>
            <w:tcW w:w="1169" w:type="dxa"/>
            <w:vAlign w:val="top"/>
          </w:tcPr>
          <w:p>
            <w:pPr>
              <w:keepNext w:val="0"/>
              <w:keepLines w:val="0"/>
              <w:pageBreakBefore w:val="0"/>
              <w:widowControl w:val="0"/>
              <w:kinsoku/>
              <w:wordWrap/>
              <w:overflowPunct/>
              <w:topLinePunct w:val="0"/>
              <w:autoSpaceDE/>
              <w:autoSpaceDN/>
              <w:bidi w:val="0"/>
              <w:adjustRightInd/>
              <w:snapToGrid w:val="0"/>
              <w:spacing w:before="95" w:line="20" w:lineRule="atLeast"/>
              <w:ind w:left="23" w:firstLine="136" w:firstLineChars="100"/>
              <w:textAlignment w:val="auto"/>
              <w:rPr>
                <w:rFonts w:ascii="宋体" w:hAnsi="宋体" w:eastAsia="宋体" w:cs="宋体"/>
                <w:sz w:val="14"/>
                <w:szCs w:val="14"/>
              </w:rPr>
            </w:pPr>
            <w:r>
              <w:rPr>
                <w:rFonts w:ascii="宋体" w:hAnsi="宋体" w:eastAsia="宋体" w:cs="宋体"/>
                <w:spacing w:val="-2"/>
                <w:sz w:val="14"/>
                <w:szCs w:val="14"/>
              </w:rPr>
              <w:t>产业发展</w:t>
            </w:r>
            <w:r>
              <w:rPr>
                <w:rFonts w:hint="eastAsia" w:ascii="宋体" w:hAnsi="宋体" w:eastAsia="宋体" w:cs="宋体"/>
                <w:spacing w:val="-2"/>
                <w:sz w:val="14"/>
                <w:szCs w:val="14"/>
                <w:lang w:val="en-US" w:eastAsia="zh-CN"/>
              </w:rPr>
              <w:t xml:space="preserve">   </w:t>
            </w:r>
            <w:r>
              <w:rPr>
                <w:rFonts w:ascii="宋体" w:hAnsi="宋体" w:eastAsia="宋体" w:cs="宋体"/>
                <w:sz w:val="14"/>
                <w:szCs w:val="14"/>
              </w:rPr>
              <w:t>口</w:t>
            </w:r>
          </w:p>
        </w:tc>
        <w:tc>
          <w:tcPr>
            <w:tcW w:w="1189" w:type="dxa"/>
            <w:vAlign w:val="top"/>
          </w:tcPr>
          <w:p>
            <w:pPr>
              <w:keepNext w:val="0"/>
              <w:keepLines w:val="0"/>
              <w:pageBreakBefore w:val="0"/>
              <w:widowControl w:val="0"/>
              <w:kinsoku/>
              <w:wordWrap/>
              <w:overflowPunct/>
              <w:topLinePunct w:val="0"/>
              <w:autoSpaceDE/>
              <w:autoSpaceDN/>
              <w:bidi w:val="0"/>
              <w:adjustRightInd/>
              <w:snapToGrid w:val="0"/>
              <w:spacing w:before="95" w:line="20" w:lineRule="atLeast"/>
              <w:ind w:left="163"/>
              <w:textAlignment w:val="auto"/>
              <w:rPr>
                <w:rFonts w:ascii="宋体" w:hAnsi="宋体" w:eastAsia="宋体" w:cs="宋体"/>
                <w:sz w:val="14"/>
                <w:szCs w:val="14"/>
              </w:rPr>
            </w:pPr>
            <w:r>
              <w:rPr>
                <w:rFonts w:ascii="宋体" w:hAnsi="宋体" w:eastAsia="宋体" w:cs="宋体"/>
                <w:sz w:val="14"/>
                <w:szCs w:val="14"/>
              </w:rPr>
              <w:t>民生保障</w:t>
            </w:r>
            <w:r>
              <w:rPr>
                <w:rFonts w:ascii="宋体" w:hAnsi="宋体" w:eastAsia="宋体" w:cs="宋体"/>
                <w:spacing w:val="23"/>
                <w:sz w:val="14"/>
                <w:szCs w:val="14"/>
              </w:rPr>
              <w:t xml:space="preserve">  </w:t>
            </w:r>
            <w:r>
              <w:rPr>
                <w:rFonts w:ascii="宋体" w:hAnsi="宋体" w:eastAsia="宋体" w:cs="宋体"/>
                <w:sz w:val="14"/>
                <w:szCs w:val="14"/>
              </w:rPr>
              <w:t>口</w:t>
            </w:r>
          </w:p>
        </w:tc>
        <w:tc>
          <w:tcPr>
            <w:tcW w:w="1488" w:type="dxa"/>
            <w:gridSpan w:val="2"/>
            <w:vAlign w:val="top"/>
          </w:tcPr>
          <w:p>
            <w:pPr>
              <w:keepNext w:val="0"/>
              <w:keepLines w:val="0"/>
              <w:pageBreakBefore w:val="0"/>
              <w:widowControl w:val="0"/>
              <w:kinsoku/>
              <w:wordWrap/>
              <w:overflowPunct/>
              <w:topLinePunct w:val="0"/>
              <w:autoSpaceDE/>
              <w:autoSpaceDN/>
              <w:bidi w:val="0"/>
              <w:adjustRightInd/>
              <w:snapToGrid w:val="0"/>
              <w:spacing w:before="96" w:line="20" w:lineRule="atLeast"/>
              <w:ind w:left="325"/>
              <w:textAlignment w:val="auto"/>
              <w:rPr>
                <w:rFonts w:ascii="宋体" w:hAnsi="宋体" w:eastAsia="宋体" w:cs="宋体"/>
                <w:sz w:val="14"/>
                <w:szCs w:val="14"/>
              </w:rPr>
            </w:pPr>
            <w:r>
              <w:rPr>
                <w:rFonts w:ascii="宋体" w:hAnsi="宋体" w:eastAsia="宋体" w:cs="宋体"/>
                <w:spacing w:val="1"/>
                <w:sz w:val="14"/>
                <w:szCs w:val="14"/>
              </w:rPr>
              <w:t>基础设施</w:t>
            </w:r>
            <w:r>
              <w:rPr>
                <w:rFonts w:ascii="宋体" w:hAnsi="宋体" w:eastAsia="宋体" w:cs="宋体"/>
                <w:spacing w:val="20"/>
                <w:w w:val="101"/>
                <w:sz w:val="14"/>
                <w:szCs w:val="14"/>
              </w:rPr>
              <w:t xml:space="preserve">  </w:t>
            </w:r>
            <w:r>
              <w:rPr>
                <w:rFonts w:hint="eastAsia" w:ascii="宋体" w:hAnsi="宋体" w:eastAsia="宋体" w:cs="宋体"/>
                <w:spacing w:val="20"/>
                <w:w w:val="101"/>
                <w:sz w:val="14"/>
                <w:szCs w:val="14"/>
                <w:lang w:val="en-US" w:eastAsia="zh-CN"/>
              </w:rPr>
              <w:t>√</w:t>
            </w:r>
            <w:r>
              <w:rPr>
                <w:rFonts w:ascii="宋体" w:hAnsi="宋体" w:eastAsia="宋体" w:cs="宋体"/>
                <w:spacing w:val="1"/>
                <w:sz w:val="14"/>
                <w:szCs w:val="14"/>
              </w:rPr>
              <w:t>口</w:t>
            </w:r>
          </w:p>
        </w:tc>
        <w:tc>
          <w:tcPr>
            <w:tcW w:w="3282" w:type="dxa"/>
            <w:gridSpan w:val="2"/>
            <w:vAlign w:val="top"/>
          </w:tcPr>
          <w:p>
            <w:pPr>
              <w:keepNext w:val="0"/>
              <w:keepLines w:val="0"/>
              <w:pageBreakBefore w:val="0"/>
              <w:widowControl w:val="0"/>
              <w:kinsoku/>
              <w:wordWrap/>
              <w:overflowPunct/>
              <w:topLinePunct w:val="0"/>
              <w:autoSpaceDE/>
              <w:autoSpaceDN/>
              <w:bidi w:val="0"/>
              <w:adjustRightInd/>
              <w:snapToGrid w:val="0"/>
              <w:spacing w:before="96" w:line="20" w:lineRule="atLeast"/>
              <w:ind w:left="1207"/>
              <w:textAlignment w:val="auto"/>
              <w:rPr>
                <w:rFonts w:ascii="宋体" w:hAnsi="宋体" w:eastAsia="宋体" w:cs="宋体"/>
                <w:sz w:val="14"/>
                <w:szCs w:val="14"/>
              </w:rPr>
            </w:pPr>
            <w:r>
              <w:rPr>
                <w:rFonts w:ascii="宋体" w:hAnsi="宋体" w:eastAsia="宋体" w:cs="宋体"/>
                <w:spacing w:val="1"/>
                <w:sz w:val="14"/>
                <w:szCs w:val="14"/>
              </w:rPr>
              <w:t>行政运行</w:t>
            </w:r>
            <w:r>
              <w:rPr>
                <w:rFonts w:ascii="宋体" w:hAnsi="宋体" w:eastAsia="宋体" w:cs="宋体"/>
                <w:spacing w:val="20"/>
                <w:w w:val="101"/>
                <w:sz w:val="14"/>
                <w:szCs w:val="14"/>
              </w:rPr>
              <w:t xml:space="preserve">  </w:t>
            </w:r>
            <w:r>
              <w:rPr>
                <w:rFonts w:ascii="宋体" w:hAnsi="宋体" w:eastAsia="宋体" w:cs="宋体"/>
                <w:spacing w:val="1"/>
                <w:sz w:val="14"/>
                <w:szCs w:val="14"/>
              </w:rPr>
              <w:t>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94" w:type="dxa"/>
            <w:vMerge w:val="restart"/>
            <w:tcBorders>
              <w:bottom w:val="nil"/>
            </w:tcBorders>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keepNext w:val="0"/>
              <w:keepLines w:val="0"/>
              <w:pageBreakBefore w:val="0"/>
              <w:widowControl w:val="0"/>
              <w:kinsoku/>
              <w:wordWrap/>
              <w:overflowPunct/>
              <w:topLinePunct w:val="0"/>
              <w:autoSpaceDE/>
              <w:autoSpaceDN/>
              <w:bidi w:val="0"/>
              <w:adjustRightInd/>
              <w:snapToGrid w:val="0"/>
              <w:spacing w:before="45" w:line="20" w:lineRule="atLeast"/>
              <w:jc w:val="right"/>
              <w:textAlignment w:val="auto"/>
              <w:rPr>
                <w:rFonts w:ascii="宋体" w:hAnsi="宋体" w:eastAsia="宋体" w:cs="宋体"/>
                <w:sz w:val="14"/>
                <w:szCs w:val="14"/>
              </w:rPr>
            </w:pPr>
            <w:r>
              <w:rPr>
                <w:rFonts w:ascii="宋体" w:hAnsi="宋体" w:eastAsia="宋体" w:cs="宋体"/>
                <w:spacing w:val="-3"/>
                <w:sz w:val="14"/>
                <w:szCs w:val="14"/>
              </w:rPr>
              <w:t>项目概况</w:t>
            </w:r>
          </w:p>
        </w:tc>
        <w:tc>
          <w:tcPr>
            <w:tcW w:w="2547" w:type="dxa"/>
            <w:gridSpan w:val="3"/>
            <w:vAlign w:val="top"/>
          </w:tcPr>
          <w:p>
            <w:pPr>
              <w:keepNext w:val="0"/>
              <w:keepLines w:val="0"/>
              <w:pageBreakBefore w:val="0"/>
              <w:widowControl w:val="0"/>
              <w:kinsoku/>
              <w:wordWrap/>
              <w:overflowPunct/>
              <w:topLinePunct w:val="0"/>
              <w:autoSpaceDE/>
              <w:autoSpaceDN/>
              <w:bidi w:val="0"/>
              <w:adjustRightInd/>
              <w:snapToGrid w:val="0"/>
              <w:spacing w:before="95" w:line="20" w:lineRule="atLeast"/>
              <w:jc w:val="right"/>
              <w:textAlignment w:val="auto"/>
              <w:rPr>
                <w:rFonts w:ascii="宋体" w:hAnsi="宋体" w:eastAsia="宋体" w:cs="宋体"/>
                <w:sz w:val="14"/>
                <w:szCs w:val="14"/>
              </w:rPr>
            </w:pPr>
            <w:r>
              <w:rPr>
                <w:rFonts w:ascii="宋体" w:hAnsi="宋体" w:eastAsia="宋体" w:cs="宋体"/>
                <w:sz w:val="14"/>
                <w:szCs w:val="14"/>
              </w:rPr>
              <w:t>中长期规划(名称，文号，仅指常年项目)</w:t>
            </w:r>
          </w:p>
        </w:tc>
        <w:tc>
          <w:tcPr>
            <w:tcW w:w="5959" w:type="dxa"/>
            <w:gridSpan w:val="5"/>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594" w:type="dxa"/>
            <w:vMerge w:val="continue"/>
            <w:tcBorders>
              <w:top w:val="nil"/>
              <w:bottom w:val="nil"/>
            </w:tcBorders>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tc>
        <w:tc>
          <w:tcPr>
            <w:tcW w:w="2547" w:type="dxa"/>
            <w:gridSpan w:val="3"/>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jc w:val="center"/>
              <w:textAlignment w:val="auto"/>
            </w:pPr>
          </w:p>
          <w:p>
            <w:pPr>
              <w:keepNext w:val="0"/>
              <w:keepLines w:val="0"/>
              <w:pageBreakBefore w:val="0"/>
              <w:widowControl w:val="0"/>
              <w:kinsoku/>
              <w:wordWrap/>
              <w:overflowPunct/>
              <w:topLinePunct w:val="0"/>
              <w:autoSpaceDE/>
              <w:autoSpaceDN/>
              <w:bidi w:val="0"/>
              <w:adjustRightInd/>
              <w:snapToGrid w:val="0"/>
              <w:spacing w:before="46" w:line="20" w:lineRule="atLeast"/>
              <w:ind w:left="10"/>
              <w:jc w:val="center"/>
              <w:textAlignment w:val="auto"/>
              <w:rPr>
                <w:rFonts w:ascii="宋体" w:hAnsi="宋体" w:eastAsia="宋体" w:cs="宋体"/>
                <w:sz w:val="14"/>
                <w:szCs w:val="14"/>
              </w:rPr>
            </w:pPr>
            <w:r>
              <w:rPr>
                <w:rFonts w:ascii="宋体" w:hAnsi="宋体" w:eastAsia="宋体" w:cs="宋体"/>
                <w:spacing w:val="2"/>
                <w:sz w:val="14"/>
                <w:szCs w:val="14"/>
              </w:rPr>
              <w:t>资金管理办法(名称、文号)</w:t>
            </w:r>
          </w:p>
        </w:tc>
        <w:tc>
          <w:tcPr>
            <w:tcW w:w="5959" w:type="dxa"/>
            <w:gridSpan w:val="5"/>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ind w:firstLine="140" w:firstLineChars="100"/>
              <w:jc w:val="both"/>
              <w:textAlignment w:val="auto"/>
              <w:rPr>
                <w:rFonts w:ascii="宋体" w:hAnsi="宋体" w:eastAsia="宋体" w:cs="宋体"/>
                <w:spacing w:val="-1"/>
                <w:sz w:val="14"/>
                <w:szCs w:val="14"/>
              </w:rPr>
            </w:pPr>
            <w:r>
              <w:rPr>
                <w:rFonts w:hint="eastAsia" w:ascii="宋体" w:hAnsi="宋体" w:eastAsia="宋体" w:cs="宋体"/>
                <w:sz w:val="14"/>
                <w:szCs w:val="14"/>
                <w:lang w:val="en-US" w:eastAsia="zh-CN"/>
              </w:rPr>
              <w:t>1.</w:t>
            </w:r>
            <w:r>
              <w:rPr>
                <w:rFonts w:ascii="宋体" w:hAnsi="宋体" w:eastAsia="宋体" w:cs="宋体"/>
                <w:sz w:val="14"/>
                <w:szCs w:val="14"/>
              </w:rPr>
              <w:t>《关于印发《中央财政常态化帮扶资金管理办法》的通知》(财农〔2026</w:t>
            </w:r>
            <w:r>
              <w:rPr>
                <w:rFonts w:hint="eastAsia" w:ascii="宋体" w:hAnsi="宋体" w:eastAsia="宋体" w:cs="宋体"/>
                <w:snapToGrid w:val="0"/>
                <w:color w:val="000000"/>
                <w:kern w:val="0"/>
                <w:sz w:val="14"/>
                <w:szCs w:val="14"/>
                <w:lang w:val="en-US" w:eastAsia="zh-CN" w:bidi="ar-SA"/>
              </w:rPr>
              <w:t>〕</w:t>
            </w:r>
            <w:r>
              <w:rPr>
                <w:rFonts w:ascii="宋体" w:hAnsi="宋体" w:eastAsia="宋体" w:cs="宋体"/>
                <w:sz w:val="14"/>
                <w:szCs w:val="14"/>
              </w:rPr>
              <w:t>10</w:t>
            </w:r>
            <w:r>
              <w:rPr>
                <w:rFonts w:ascii="宋体" w:hAnsi="宋体" w:eastAsia="宋体" w:cs="宋体"/>
                <w:spacing w:val="-1"/>
                <w:sz w:val="14"/>
                <w:szCs w:val="14"/>
              </w:rPr>
              <w:t>号)</w:t>
            </w:r>
          </w:p>
          <w:p>
            <w:pPr>
              <w:pStyle w:val="17"/>
              <w:keepNext w:val="0"/>
              <w:keepLines w:val="0"/>
              <w:pageBreakBefore w:val="0"/>
              <w:widowControl w:val="0"/>
              <w:kinsoku/>
              <w:wordWrap/>
              <w:overflowPunct/>
              <w:topLinePunct w:val="0"/>
              <w:autoSpaceDE/>
              <w:autoSpaceDN/>
              <w:bidi w:val="0"/>
              <w:adjustRightInd/>
              <w:snapToGrid w:val="0"/>
              <w:spacing w:line="20" w:lineRule="atLeast"/>
              <w:ind w:firstLine="140" w:firstLineChars="100"/>
              <w:jc w:val="both"/>
              <w:textAlignment w:val="auto"/>
              <w:rPr>
                <w:rFonts w:ascii="宋体" w:hAnsi="宋体" w:eastAsia="宋体" w:cs="宋体"/>
                <w:sz w:val="14"/>
                <w:szCs w:val="14"/>
              </w:rPr>
            </w:pPr>
            <w:r>
              <w:rPr>
                <w:rFonts w:hint="eastAsia" w:ascii="宋体" w:hAnsi="宋体" w:eastAsia="宋体" w:cs="宋体"/>
                <w:sz w:val="14"/>
                <w:szCs w:val="14"/>
                <w:lang w:val="en-US" w:eastAsia="zh-CN"/>
              </w:rPr>
              <w:t>2.</w:t>
            </w:r>
            <w:r>
              <w:rPr>
                <w:rFonts w:hint="eastAsia" w:ascii="宋体" w:hAnsi="宋体" w:eastAsia="宋体" w:cs="宋体"/>
                <w:sz w:val="14"/>
                <w:szCs w:val="14"/>
              </w:rPr>
              <w:t>《财政部关于下达2026年中央财政常态化帮扶资金预算的通知》</w:t>
            </w:r>
            <w:r>
              <w:rPr>
                <w:rFonts w:hint="eastAsia" w:ascii="宋体" w:hAnsi="宋体" w:eastAsia="宋体" w:cs="宋体"/>
                <w:sz w:val="14"/>
                <w:szCs w:val="14"/>
                <w:lang w:eastAsia="zh-CN"/>
              </w:rPr>
              <w:t>（</w:t>
            </w:r>
            <w:r>
              <w:rPr>
                <w:rFonts w:hint="eastAsia" w:ascii="宋体" w:hAnsi="宋体" w:eastAsia="宋体" w:cs="宋体"/>
                <w:sz w:val="14"/>
                <w:szCs w:val="14"/>
              </w:rPr>
              <w:t>财农</w:t>
            </w:r>
            <w:r>
              <w:rPr>
                <w:rFonts w:hint="eastAsia" w:ascii="宋体" w:hAnsi="宋体" w:eastAsia="宋体" w:cs="宋体"/>
                <w:snapToGrid w:val="0"/>
                <w:color w:val="000000"/>
                <w:kern w:val="0"/>
                <w:sz w:val="14"/>
                <w:szCs w:val="14"/>
                <w:lang w:val="en-US" w:eastAsia="zh-CN" w:bidi="ar-SA"/>
              </w:rPr>
              <w:t>〔</w:t>
            </w:r>
            <w:r>
              <w:rPr>
                <w:rFonts w:hint="eastAsia" w:ascii="宋体" w:hAnsi="宋体" w:eastAsia="宋体" w:cs="宋体"/>
                <w:sz w:val="14"/>
                <w:szCs w:val="14"/>
              </w:rPr>
              <w:t>2026</w:t>
            </w:r>
            <w:r>
              <w:rPr>
                <w:rFonts w:hint="eastAsia" w:ascii="宋体" w:hAnsi="宋体" w:eastAsia="宋体" w:cs="宋体"/>
                <w:snapToGrid w:val="0"/>
                <w:color w:val="000000"/>
                <w:kern w:val="0"/>
                <w:sz w:val="14"/>
                <w:szCs w:val="14"/>
                <w:lang w:val="en-US" w:eastAsia="zh-CN" w:bidi="ar-SA"/>
              </w:rPr>
              <w:t>〕</w:t>
            </w:r>
            <w:r>
              <w:rPr>
                <w:rFonts w:hint="eastAsia" w:ascii="宋体" w:hAnsi="宋体" w:eastAsia="宋体" w:cs="宋体"/>
                <w:sz w:val="14"/>
                <w:szCs w:val="14"/>
              </w:rPr>
              <w:t>25号</w:t>
            </w:r>
            <w:r>
              <w:rPr>
                <w:rFonts w:hint="eastAsia" w:ascii="宋体" w:hAnsi="宋体" w:eastAsia="宋体" w:cs="宋体"/>
                <w:sz w:val="14"/>
                <w:szCs w:val="1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594" w:type="dxa"/>
            <w:vMerge w:val="continue"/>
            <w:tcBorders>
              <w:top w:val="nil"/>
              <w:bottom w:val="nil"/>
            </w:tcBorders>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tc>
        <w:tc>
          <w:tcPr>
            <w:tcW w:w="2547" w:type="dxa"/>
            <w:gridSpan w:val="3"/>
            <w:vAlign w:val="top"/>
          </w:tcPr>
          <w:p>
            <w:pPr>
              <w:keepNext w:val="0"/>
              <w:keepLines w:val="0"/>
              <w:pageBreakBefore w:val="0"/>
              <w:widowControl w:val="0"/>
              <w:kinsoku/>
              <w:wordWrap/>
              <w:overflowPunct/>
              <w:topLinePunct w:val="0"/>
              <w:autoSpaceDE/>
              <w:autoSpaceDN/>
              <w:bidi w:val="0"/>
              <w:adjustRightInd/>
              <w:snapToGrid w:val="0"/>
              <w:spacing w:before="87" w:line="20" w:lineRule="atLeast"/>
              <w:ind w:left="841"/>
              <w:jc w:val="left"/>
              <w:textAlignment w:val="auto"/>
              <w:rPr>
                <w:rFonts w:ascii="宋体" w:hAnsi="宋体" w:eastAsia="宋体" w:cs="宋体"/>
                <w:sz w:val="14"/>
                <w:szCs w:val="14"/>
              </w:rPr>
            </w:pPr>
            <w:r>
              <w:rPr>
                <w:rFonts w:ascii="宋体" w:hAnsi="宋体" w:eastAsia="宋体" w:cs="宋体"/>
                <w:spacing w:val="-2"/>
                <w:sz w:val="14"/>
                <w:szCs w:val="14"/>
              </w:rPr>
              <w:t>绩效分配方式</w:t>
            </w:r>
          </w:p>
        </w:tc>
        <w:tc>
          <w:tcPr>
            <w:tcW w:w="5959" w:type="dxa"/>
            <w:gridSpan w:val="5"/>
            <w:vAlign w:val="top"/>
          </w:tcPr>
          <w:p>
            <w:pPr>
              <w:keepNext w:val="0"/>
              <w:keepLines w:val="0"/>
              <w:pageBreakBefore w:val="0"/>
              <w:widowControl w:val="0"/>
              <w:kinsoku/>
              <w:wordWrap/>
              <w:overflowPunct/>
              <w:topLinePunct w:val="0"/>
              <w:autoSpaceDE/>
              <w:autoSpaceDN/>
              <w:bidi w:val="0"/>
              <w:adjustRightInd/>
              <w:snapToGrid w:val="0"/>
              <w:spacing w:before="86" w:line="20" w:lineRule="atLeast"/>
              <w:ind w:left="1083"/>
              <w:textAlignment w:val="auto"/>
              <w:rPr>
                <w:rFonts w:ascii="宋体" w:hAnsi="宋体" w:eastAsia="宋体" w:cs="宋体"/>
                <w:sz w:val="14"/>
                <w:szCs w:val="14"/>
              </w:rPr>
            </w:pPr>
            <w:r>
              <w:rPr>
                <w:rFonts w:ascii="宋体" w:hAnsi="宋体" w:eastAsia="宋体" w:cs="宋体"/>
                <w:spacing w:val="-3"/>
                <w:sz w:val="14"/>
                <w:szCs w:val="14"/>
              </w:rPr>
              <w:t>因素法口</w:t>
            </w:r>
            <w:r>
              <w:rPr>
                <w:rFonts w:hint="eastAsia" w:ascii="宋体" w:hAnsi="宋体" w:eastAsia="宋体" w:cs="宋体"/>
                <w:spacing w:val="-3"/>
                <w:sz w:val="14"/>
                <w:szCs w:val="14"/>
                <w:lang w:val="en-US" w:eastAsia="zh-CN"/>
              </w:rPr>
              <w:t xml:space="preserve">  </w:t>
            </w:r>
            <w:r>
              <w:rPr>
                <w:rFonts w:ascii="宋体" w:hAnsi="宋体" w:eastAsia="宋体" w:cs="宋体"/>
                <w:spacing w:val="-3"/>
                <w:sz w:val="14"/>
                <w:szCs w:val="14"/>
              </w:rPr>
              <w:t xml:space="preserve"> 项目法口 </w:t>
            </w:r>
            <w:r>
              <w:rPr>
                <w:rFonts w:hint="eastAsia" w:ascii="宋体" w:hAnsi="宋体" w:eastAsia="宋体" w:cs="宋体"/>
                <w:spacing w:val="-3"/>
                <w:sz w:val="14"/>
                <w:szCs w:val="14"/>
                <w:lang w:val="en-US" w:eastAsia="zh-CN"/>
              </w:rPr>
              <w:t xml:space="preserve">  </w:t>
            </w:r>
            <w:r>
              <w:rPr>
                <w:rFonts w:ascii="宋体" w:hAnsi="宋体" w:eastAsia="宋体" w:cs="宋体"/>
                <w:spacing w:val="-3"/>
                <w:sz w:val="14"/>
                <w:szCs w:val="14"/>
              </w:rPr>
              <w:t>据实据效</w:t>
            </w:r>
            <w:r>
              <w:rPr>
                <w:rFonts w:hint="eastAsia" w:ascii="宋体" w:hAnsi="宋体" w:eastAsia="宋体" w:cs="宋体"/>
                <w:spacing w:val="-3"/>
                <w:sz w:val="14"/>
                <w:szCs w:val="14"/>
                <w:lang w:val="en-US" w:eastAsia="zh-CN"/>
              </w:rPr>
              <w:t>√</w:t>
            </w:r>
            <w:r>
              <w:rPr>
                <w:rFonts w:ascii="宋体" w:hAnsi="宋体" w:eastAsia="宋体" w:cs="宋体"/>
                <w:spacing w:val="-3"/>
                <w:sz w:val="14"/>
                <w:szCs w:val="14"/>
              </w:rPr>
              <w:t>口</w:t>
            </w:r>
            <w:r>
              <w:rPr>
                <w:rFonts w:hint="eastAsia" w:ascii="宋体" w:hAnsi="宋体" w:eastAsia="宋体" w:cs="宋体"/>
                <w:spacing w:val="-3"/>
                <w:sz w:val="14"/>
                <w:szCs w:val="14"/>
                <w:lang w:val="en-US" w:eastAsia="zh-CN"/>
              </w:rPr>
              <w:t xml:space="preserve"> </w:t>
            </w:r>
            <w:r>
              <w:rPr>
                <w:rFonts w:ascii="宋体" w:hAnsi="宋体" w:eastAsia="宋体" w:cs="宋体"/>
                <w:spacing w:val="19"/>
                <w:sz w:val="14"/>
                <w:szCs w:val="14"/>
              </w:rPr>
              <w:t xml:space="preserve"> </w:t>
            </w:r>
            <w:r>
              <w:rPr>
                <w:rFonts w:ascii="宋体" w:hAnsi="宋体" w:eastAsia="宋体" w:cs="宋体"/>
                <w:spacing w:val="-3"/>
                <w:sz w:val="14"/>
                <w:szCs w:val="14"/>
              </w:rPr>
              <w:t>因素法与项目法相结合</w:t>
            </w:r>
            <w:r>
              <w:rPr>
                <w:rFonts w:ascii="宋体" w:hAnsi="宋体" w:eastAsia="宋体" w:cs="宋体"/>
                <w:spacing w:val="29"/>
                <w:w w:val="101"/>
                <w:sz w:val="14"/>
                <w:szCs w:val="14"/>
              </w:rPr>
              <w:t xml:space="preserve"> </w:t>
            </w:r>
            <w:r>
              <w:rPr>
                <w:rFonts w:ascii="宋体" w:hAnsi="宋体" w:eastAsia="宋体" w:cs="宋体"/>
                <w:spacing w:val="-3"/>
                <w:sz w:val="14"/>
                <w:szCs w:val="14"/>
              </w:rPr>
              <w:t>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594" w:type="dxa"/>
            <w:vMerge w:val="continue"/>
            <w:tcBorders>
              <w:top w:val="nil"/>
              <w:bottom w:val="nil"/>
            </w:tcBorders>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textAlignment w:val="auto"/>
            </w:pPr>
          </w:p>
        </w:tc>
        <w:tc>
          <w:tcPr>
            <w:tcW w:w="2547" w:type="dxa"/>
            <w:gridSpan w:val="3"/>
            <w:vAlign w:val="top"/>
          </w:tcPr>
          <w:p>
            <w:pPr>
              <w:pStyle w:val="17"/>
              <w:keepNext w:val="0"/>
              <w:keepLines w:val="0"/>
              <w:pageBreakBefore w:val="0"/>
              <w:widowControl w:val="0"/>
              <w:kinsoku/>
              <w:wordWrap/>
              <w:overflowPunct/>
              <w:topLinePunct w:val="0"/>
              <w:autoSpaceDE/>
              <w:autoSpaceDN/>
              <w:bidi w:val="0"/>
              <w:adjustRightInd/>
              <w:snapToGrid w:val="0"/>
              <w:spacing w:line="20" w:lineRule="atLeast"/>
              <w:jc w:val="left"/>
              <w:textAlignment w:val="auto"/>
            </w:pPr>
          </w:p>
          <w:p>
            <w:pPr>
              <w:pStyle w:val="17"/>
              <w:keepNext w:val="0"/>
              <w:keepLines w:val="0"/>
              <w:pageBreakBefore w:val="0"/>
              <w:widowControl w:val="0"/>
              <w:kinsoku/>
              <w:wordWrap/>
              <w:overflowPunct/>
              <w:topLinePunct w:val="0"/>
              <w:autoSpaceDE/>
              <w:autoSpaceDN/>
              <w:bidi w:val="0"/>
              <w:adjustRightInd/>
              <w:snapToGrid w:val="0"/>
              <w:spacing w:line="20" w:lineRule="atLeast"/>
              <w:jc w:val="left"/>
              <w:textAlignment w:val="auto"/>
            </w:pPr>
          </w:p>
          <w:p>
            <w:pPr>
              <w:keepNext w:val="0"/>
              <w:keepLines w:val="0"/>
              <w:pageBreakBefore w:val="0"/>
              <w:widowControl w:val="0"/>
              <w:kinsoku/>
              <w:wordWrap/>
              <w:overflowPunct/>
              <w:topLinePunct w:val="0"/>
              <w:autoSpaceDE/>
              <w:autoSpaceDN/>
              <w:bidi w:val="0"/>
              <w:adjustRightInd/>
              <w:snapToGrid w:val="0"/>
              <w:spacing w:before="46" w:line="20" w:lineRule="atLeast"/>
              <w:ind w:left="981"/>
              <w:jc w:val="left"/>
              <w:textAlignment w:val="auto"/>
              <w:rPr>
                <w:rFonts w:ascii="宋体" w:hAnsi="宋体" w:eastAsia="宋体" w:cs="宋体"/>
                <w:sz w:val="14"/>
                <w:szCs w:val="14"/>
              </w:rPr>
            </w:pPr>
            <w:r>
              <w:rPr>
                <w:rFonts w:ascii="宋体" w:hAnsi="宋体" w:eastAsia="宋体" w:cs="宋体"/>
                <w:spacing w:val="-2"/>
                <w:sz w:val="14"/>
                <w:szCs w:val="14"/>
              </w:rPr>
              <w:t>立项依据</w:t>
            </w:r>
          </w:p>
        </w:tc>
        <w:tc>
          <w:tcPr>
            <w:tcW w:w="5959" w:type="dxa"/>
            <w:gridSpan w:val="5"/>
            <w:vAlign w:val="top"/>
          </w:tcPr>
          <w:p>
            <w:pPr>
              <w:keepNext w:val="0"/>
              <w:keepLines w:val="0"/>
              <w:pageBreakBefore w:val="0"/>
              <w:widowControl w:val="0"/>
              <w:kinsoku/>
              <w:wordWrap/>
              <w:overflowPunct/>
              <w:topLinePunct w:val="0"/>
              <w:autoSpaceDE/>
              <w:autoSpaceDN/>
              <w:bidi w:val="0"/>
              <w:adjustRightInd/>
              <w:snapToGrid w:val="0"/>
              <w:spacing w:before="46" w:line="20" w:lineRule="atLeast"/>
              <w:jc w:val="both"/>
              <w:textAlignment w:val="auto"/>
              <w:rPr>
                <w:rFonts w:hint="eastAsia" w:ascii="宋体" w:hAnsi="宋体" w:eastAsia="宋体" w:cs="宋体"/>
                <w:snapToGrid w:val="0"/>
                <w:color w:val="000000"/>
                <w:kern w:val="0"/>
                <w:sz w:val="14"/>
                <w:szCs w:val="14"/>
                <w:lang w:val="en-US" w:eastAsia="zh-CN" w:bidi="ar-SA"/>
              </w:rPr>
            </w:pPr>
          </w:p>
          <w:p>
            <w:pPr>
              <w:keepNext w:val="0"/>
              <w:keepLines w:val="0"/>
              <w:pageBreakBefore w:val="0"/>
              <w:widowControl w:val="0"/>
              <w:kinsoku/>
              <w:wordWrap/>
              <w:overflowPunct/>
              <w:topLinePunct w:val="0"/>
              <w:autoSpaceDE/>
              <w:autoSpaceDN/>
              <w:bidi w:val="0"/>
              <w:adjustRightInd/>
              <w:snapToGrid w:val="0"/>
              <w:spacing w:line="20" w:lineRule="atLeast"/>
              <w:textAlignment w:val="auto"/>
              <w:rPr>
                <w:rFonts w:hint="eastAsia" w:ascii="宋体" w:hAnsi="宋体" w:eastAsia="宋体" w:cs="宋体"/>
                <w:snapToGrid w:val="0"/>
                <w:color w:val="000000"/>
                <w:kern w:val="0"/>
                <w:sz w:val="14"/>
                <w:szCs w:val="14"/>
                <w:lang w:val="en-US" w:eastAsia="zh-CN" w:bidi="ar-SA"/>
              </w:rPr>
            </w:pPr>
          </w:p>
          <w:p>
            <w:pPr>
              <w:keepNext w:val="0"/>
              <w:keepLines w:val="0"/>
              <w:pageBreakBefore w:val="0"/>
              <w:widowControl w:val="0"/>
              <w:kinsoku/>
              <w:wordWrap/>
              <w:overflowPunct/>
              <w:topLinePunct w:val="0"/>
              <w:autoSpaceDE/>
              <w:autoSpaceDN/>
              <w:bidi w:val="0"/>
              <w:adjustRightInd/>
              <w:snapToGrid w:val="0"/>
              <w:spacing w:line="20" w:lineRule="atLeast"/>
              <w:ind w:firstLine="140" w:firstLineChars="100"/>
              <w:textAlignment w:val="auto"/>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1.《</w:t>
            </w:r>
            <w:r>
              <w:rPr>
                <w:rFonts w:hint="eastAsia" w:ascii="宋体" w:hAnsi="宋体" w:eastAsia="宋体" w:cs="宋体"/>
                <w:snapToGrid w:val="0"/>
                <w:color w:val="000000"/>
                <w:kern w:val="0"/>
                <w:sz w:val="14"/>
                <w:szCs w:val="14"/>
                <w:lang w:val="en-US" w:eastAsia="en-US" w:bidi="ar-SA"/>
              </w:rPr>
              <w:t>关于开展2026年中央财政林业草原项目储备工作的通知</w:t>
            </w:r>
            <w:r>
              <w:rPr>
                <w:rFonts w:hint="eastAsia" w:ascii="宋体" w:hAnsi="宋体" w:eastAsia="宋体" w:cs="宋体"/>
                <w:snapToGrid w:val="0"/>
                <w:color w:val="000000"/>
                <w:kern w:val="0"/>
                <w:sz w:val="14"/>
                <w:szCs w:val="14"/>
                <w:lang w:val="en-US" w:eastAsia="zh-CN" w:bidi="ar-SA"/>
              </w:rPr>
              <w:t>》（</w:t>
            </w:r>
            <w:r>
              <w:rPr>
                <w:rFonts w:hint="eastAsia" w:ascii="宋体" w:hAnsi="宋体" w:eastAsia="宋体" w:cs="宋体"/>
                <w:snapToGrid w:val="0"/>
                <w:color w:val="000000"/>
                <w:kern w:val="0"/>
                <w:sz w:val="14"/>
                <w:szCs w:val="14"/>
                <w:lang w:val="en-US" w:eastAsia="en-US" w:bidi="ar-SA"/>
              </w:rPr>
              <w:t>新林规字</w:t>
            </w:r>
            <w:r>
              <w:rPr>
                <w:rFonts w:hint="eastAsia" w:ascii="宋体" w:hAnsi="宋体" w:eastAsia="宋体" w:cs="宋体"/>
                <w:snapToGrid w:val="0"/>
                <w:color w:val="000000"/>
                <w:kern w:val="0"/>
                <w:sz w:val="14"/>
                <w:szCs w:val="14"/>
                <w:lang w:val="en-US" w:eastAsia="zh-CN" w:bidi="ar-SA"/>
              </w:rPr>
              <w:t>〔2025〕143号）</w:t>
            </w:r>
          </w:p>
          <w:p>
            <w:pPr>
              <w:keepNext w:val="0"/>
              <w:keepLines w:val="0"/>
              <w:pageBreakBefore w:val="0"/>
              <w:widowControl w:val="0"/>
              <w:kinsoku/>
              <w:wordWrap/>
              <w:overflowPunct/>
              <w:topLinePunct w:val="0"/>
              <w:autoSpaceDE/>
              <w:autoSpaceDN/>
              <w:bidi w:val="0"/>
              <w:adjustRightInd/>
              <w:snapToGrid w:val="0"/>
              <w:spacing w:line="20" w:lineRule="atLeast"/>
              <w:ind w:firstLine="140" w:firstLineChars="100"/>
              <w:textAlignment w:val="auto"/>
              <w:rPr>
                <w:rFonts w:hint="eastAsia" w:ascii="宋体" w:hAnsi="宋体" w:eastAsia="宋体" w:cs="宋体"/>
                <w:snapToGrid w:val="0"/>
                <w:color w:val="000000"/>
                <w:kern w:val="0"/>
                <w:sz w:val="14"/>
                <w:szCs w:val="14"/>
                <w:lang w:val="en-US" w:eastAsia="en-US" w:bidi="ar-SA"/>
              </w:rPr>
            </w:pPr>
            <w:r>
              <w:rPr>
                <w:rFonts w:hint="eastAsia" w:ascii="宋体" w:hAnsi="宋体" w:eastAsia="宋体" w:cs="宋体"/>
                <w:snapToGrid w:val="0"/>
                <w:color w:val="000000"/>
                <w:kern w:val="0"/>
                <w:sz w:val="14"/>
                <w:szCs w:val="14"/>
                <w:lang w:val="en-US" w:eastAsia="zh-CN" w:bidi="ar-SA"/>
              </w:rPr>
              <w:t>2.《关于下达2026年中央财政常态化帮扶资金预算的通知》（喀地财振〔2026〕2号）</w:t>
            </w:r>
          </w:p>
          <w:p>
            <w:pPr>
              <w:keepNext w:val="0"/>
              <w:keepLines w:val="0"/>
              <w:pageBreakBefore w:val="0"/>
              <w:widowControl w:val="0"/>
              <w:kinsoku/>
              <w:wordWrap/>
              <w:overflowPunct/>
              <w:topLinePunct w:val="0"/>
              <w:autoSpaceDE/>
              <w:autoSpaceDN/>
              <w:bidi w:val="0"/>
              <w:adjustRightInd/>
              <w:snapToGrid w:val="0"/>
              <w:spacing w:line="20" w:lineRule="atLeast"/>
              <w:ind w:firstLine="140" w:firstLineChars="100"/>
              <w:textAlignment w:val="auto"/>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3.《关于下达2026年中央财政常态化帮扶资金预算的通知》（麦财振〔2026〕13号）</w:t>
            </w:r>
          </w:p>
          <w:p>
            <w:pPr>
              <w:keepNext w:val="0"/>
              <w:keepLines w:val="0"/>
              <w:pageBreakBefore w:val="0"/>
              <w:widowControl w:val="0"/>
              <w:kinsoku/>
              <w:wordWrap/>
              <w:overflowPunct/>
              <w:topLinePunct w:val="0"/>
              <w:autoSpaceDE/>
              <w:autoSpaceDN/>
              <w:bidi w:val="0"/>
              <w:adjustRightInd/>
              <w:snapToGrid w:val="0"/>
              <w:spacing w:before="46" w:line="20" w:lineRule="atLeast"/>
              <w:jc w:val="both"/>
              <w:textAlignment w:val="auto"/>
              <w:rPr>
                <w:rFonts w:ascii="宋体" w:hAnsi="宋体" w:eastAsia="宋体" w:cs="宋体"/>
                <w:sz w:val="14"/>
                <w:szCs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94" w:type="dxa"/>
            <w:vMerge w:val="continue"/>
            <w:tcBorders>
              <w:top w:val="nil"/>
              <w:bottom w:val="nil"/>
            </w:tcBorders>
            <w:vAlign w:val="top"/>
          </w:tcPr>
          <w:p>
            <w:pPr>
              <w:pStyle w:val="17"/>
            </w:pPr>
          </w:p>
        </w:tc>
        <w:tc>
          <w:tcPr>
            <w:tcW w:w="2547" w:type="dxa"/>
            <w:gridSpan w:val="3"/>
            <w:vAlign w:val="top"/>
          </w:tcPr>
          <w:p>
            <w:pPr>
              <w:spacing w:before="138" w:line="219" w:lineRule="auto"/>
              <w:ind w:left="981"/>
              <w:rPr>
                <w:rFonts w:ascii="宋体" w:hAnsi="宋体" w:eastAsia="宋体" w:cs="宋体"/>
                <w:sz w:val="14"/>
                <w:szCs w:val="14"/>
              </w:rPr>
            </w:pPr>
            <w:r>
              <w:rPr>
                <w:rFonts w:ascii="宋体" w:hAnsi="宋体" w:eastAsia="宋体" w:cs="宋体"/>
                <w:spacing w:val="-2"/>
                <w:sz w:val="14"/>
                <w:szCs w:val="14"/>
              </w:rPr>
              <w:t>使用范围</w:t>
            </w:r>
          </w:p>
        </w:tc>
        <w:tc>
          <w:tcPr>
            <w:tcW w:w="5959" w:type="dxa"/>
            <w:gridSpan w:val="5"/>
            <w:vAlign w:val="top"/>
          </w:tcPr>
          <w:p>
            <w:pPr>
              <w:pStyle w:val="17"/>
              <w:rPr>
                <w:rFonts w:hint="eastAsia" w:ascii="宋体" w:hAnsi="宋体" w:eastAsia="宋体" w:cs="宋体"/>
                <w:snapToGrid w:val="0"/>
                <w:color w:val="000000"/>
                <w:kern w:val="0"/>
                <w:sz w:val="14"/>
                <w:szCs w:val="14"/>
                <w:lang w:val="en-US" w:eastAsia="zh-CN" w:bidi="ar-SA"/>
              </w:rPr>
            </w:pPr>
          </w:p>
          <w:p>
            <w:pPr>
              <w:pStyle w:val="17"/>
              <w:ind w:firstLine="280" w:firstLineChars="200"/>
              <w:jc w:val="center"/>
            </w:pPr>
            <w:r>
              <w:rPr>
                <w:rFonts w:hint="eastAsia" w:ascii="宋体" w:hAnsi="宋体" w:eastAsia="宋体" w:cs="宋体"/>
                <w:snapToGrid w:val="0"/>
                <w:color w:val="000000"/>
                <w:kern w:val="0"/>
                <w:sz w:val="14"/>
                <w:szCs w:val="14"/>
                <w:lang w:val="en-US" w:eastAsia="zh-CN" w:bidi="ar-SA"/>
              </w:rPr>
              <w:t>改建5.064公里四级道路（其中：修复水毁路段479米）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594" w:type="dxa"/>
            <w:vMerge w:val="continue"/>
            <w:tcBorders>
              <w:top w:val="nil"/>
              <w:bottom w:val="nil"/>
            </w:tcBorders>
            <w:vAlign w:val="top"/>
          </w:tcPr>
          <w:p>
            <w:pPr>
              <w:pStyle w:val="17"/>
            </w:pPr>
          </w:p>
        </w:tc>
        <w:tc>
          <w:tcPr>
            <w:tcW w:w="2547" w:type="dxa"/>
            <w:gridSpan w:val="3"/>
            <w:vAlign w:val="top"/>
          </w:tcPr>
          <w:p>
            <w:pPr>
              <w:spacing w:before="148" w:line="219" w:lineRule="auto"/>
              <w:ind w:left="771"/>
              <w:rPr>
                <w:rFonts w:ascii="宋体" w:hAnsi="宋体" w:eastAsia="宋体" w:cs="宋体"/>
                <w:sz w:val="14"/>
                <w:szCs w:val="14"/>
              </w:rPr>
            </w:pPr>
            <w:r>
              <w:rPr>
                <w:rFonts w:ascii="宋体" w:hAnsi="宋体" w:eastAsia="宋体" w:cs="宋体"/>
                <w:sz w:val="14"/>
                <w:szCs w:val="14"/>
              </w:rPr>
              <w:t>申报(补助)条件</w:t>
            </w:r>
          </w:p>
        </w:tc>
        <w:tc>
          <w:tcPr>
            <w:tcW w:w="5959" w:type="dxa"/>
            <w:gridSpan w:val="5"/>
            <w:vAlign w:val="top"/>
          </w:tcPr>
          <w:p>
            <w:pPr>
              <w:pStyle w:val="17"/>
              <w:jc w:val="center"/>
            </w:pPr>
            <w:r>
              <w:rPr>
                <w:rFonts w:hint="eastAsia" w:ascii="宋体" w:hAnsi="宋体" w:eastAsia="宋体" w:cs="宋体"/>
                <w:snapToGrid w:val="0"/>
                <w:color w:val="000000"/>
                <w:kern w:val="0"/>
                <w:sz w:val="14"/>
                <w:szCs w:val="14"/>
                <w:lang w:val="en-US" w:eastAsia="zh-CN" w:bidi="ar-SA"/>
              </w:rPr>
              <w:t>属于中央财政常态化帮扶资金（欠发达国有林场巩固提升任务）资金支持范围的欠发达国有林场基础设施建设项目，符合相关标准。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594" w:type="dxa"/>
            <w:vMerge w:val="continue"/>
            <w:tcBorders>
              <w:top w:val="nil"/>
            </w:tcBorders>
            <w:vAlign w:val="top"/>
          </w:tcPr>
          <w:p>
            <w:pPr>
              <w:pStyle w:val="17"/>
            </w:pPr>
          </w:p>
        </w:tc>
        <w:tc>
          <w:tcPr>
            <w:tcW w:w="2547" w:type="dxa"/>
            <w:gridSpan w:val="3"/>
            <w:vAlign w:val="top"/>
          </w:tcPr>
          <w:p>
            <w:pPr>
              <w:spacing w:before="149" w:line="219" w:lineRule="auto"/>
              <w:ind w:left="841"/>
              <w:rPr>
                <w:rFonts w:ascii="宋体" w:hAnsi="宋体" w:eastAsia="宋体" w:cs="宋体"/>
                <w:sz w:val="14"/>
                <w:szCs w:val="14"/>
              </w:rPr>
            </w:pPr>
            <w:r>
              <w:rPr>
                <w:rFonts w:ascii="宋体" w:hAnsi="宋体" w:eastAsia="宋体" w:cs="宋体"/>
                <w:spacing w:val="-1"/>
                <w:sz w:val="14"/>
                <w:szCs w:val="14"/>
              </w:rPr>
              <w:t>顶日起止年限</w:t>
            </w:r>
          </w:p>
        </w:tc>
        <w:tc>
          <w:tcPr>
            <w:tcW w:w="5959" w:type="dxa"/>
            <w:gridSpan w:val="5"/>
            <w:vAlign w:val="top"/>
          </w:tcPr>
          <w:p>
            <w:pPr>
              <w:spacing w:before="149" w:line="219" w:lineRule="auto"/>
              <w:ind w:left="2553"/>
              <w:rPr>
                <w:rFonts w:ascii="宋体" w:hAnsi="宋体" w:eastAsia="宋体" w:cs="宋体"/>
                <w:sz w:val="14"/>
                <w:szCs w:val="14"/>
              </w:rPr>
            </w:pPr>
            <w:r>
              <w:rPr>
                <w:rFonts w:ascii="宋体" w:hAnsi="宋体" w:eastAsia="宋体" w:cs="宋体"/>
                <w:spacing w:val="2"/>
                <w:sz w:val="14"/>
                <w:szCs w:val="14"/>
              </w:rPr>
              <w:t>2026年</w:t>
            </w:r>
            <w:r>
              <w:rPr>
                <w:rFonts w:hint="eastAsia" w:ascii="宋体" w:hAnsi="宋体" w:eastAsia="宋体" w:cs="宋体"/>
                <w:spacing w:val="2"/>
                <w:sz w:val="14"/>
                <w:szCs w:val="14"/>
                <w:lang w:val="en-US" w:eastAsia="zh-CN"/>
              </w:rPr>
              <w:t>6</w:t>
            </w:r>
            <w:r>
              <w:rPr>
                <w:rFonts w:ascii="宋体" w:hAnsi="宋体" w:eastAsia="宋体" w:cs="宋体"/>
                <w:spacing w:val="2"/>
                <w:sz w:val="14"/>
                <w:szCs w:val="14"/>
              </w:rPr>
              <w:t>-</w:t>
            </w:r>
            <w:r>
              <w:rPr>
                <w:rFonts w:hint="eastAsia" w:ascii="宋体" w:hAnsi="宋体" w:eastAsia="宋体" w:cs="宋体"/>
                <w:spacing w:val="2"/>
                <w:sz w:val="14"/>
                <w:szCs w:val="14"/>
                <w:lang w:val="en-US" w:eastAsia="zh-CN"/>
              </w:rPr>
              <w:t>11</w:t>
            </w:r>
            <w:r>
              <w:rPr>
                <w:rFonts w:ascii="宋体" w:hAnsi="宋体" w:eastAsia="宋体" w:cs="宋体"/>
                <w:spacing w:val="2"/>
                <w:sz w:val="14"/>
                <w:szCs w:val="1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972" w:type="dxa"/>
            <w:gridSpan w:val="3"/>
            <w:vMerge w:val="restart"/>
            <w:tcBorders>
              <w:bottom w:val="nil"/>
            </w:tcBorders>
            <w:vAlign w:val="top"/>
          </w:tcPr>
          <w:p>
            <w:pPr>
              <w:pStyle w:val="17"/>
              <w:spacing w:line="471" w:lineRule="auto"/>
            </w:pPr>
          </w:p>
          <w:p>
            <w:pPr>
              <w:spacing w:before="46" w:line="211" w:lineRule="auto"/>
              <w:ind w:left="695"/>
              <w:rPr>
                <w:rFonts w:ascii="宋体" w:hAnsi="宋体" w:eastAsia="宋体" w:cs="宋体"/>
                <w:sz w:val="14"/>
                <w:szCs w:val="14"/>
              </w:rPr>
            </w:pPr>
            <w:r>
              <w:rPr>
                <w:rFonts w:ascii="宋体" w:hAnsi="宋体" w:eastAsia="宋体" w:cs="宋体"/>
                <w:spacing w:val="-2"/>
                <w:sz w:val="14"/>
                <w:szCs w:val="14"/>
              </w:rPr>
              <w:t>项目资金</w:t>
            </w:r>
          </w:p>
          <w:p>
            <w:pPr>
              <w:spacing w:line="220" w:lineRule="auto"/>
              <w:ind w:left="765"/>
              <w:rPr>
                <w:rFonts w:ascii="宋体" w:hAnsi="宋体" w:eastAsia="宋体" w:cs="宋体"/>
                <w:sz w:val="14"/>
                <w:szCs w:val="14"/>
              </w:rPr>
            </w:pPr>
            <w:r>
              <w:rPr>
                <w:rFonts w:ascii="宋体" w:hAnsi="宋体" w:eastAsia="宋体" w:cs="宋体"/>
                <w:spacing w:val="7"/>
                <w:sz w:val="14"/>
                <w:szCs w:val="14"/>
              </w:rPr>
              <w:t>(万元)</w:t>
            </w:r>
          </w:p>
        </w:tc>
        <w:tc>
          <w:tcPr>
            <w:tcW w:w="1169" w:type="dxa"/>
            <w:vAlign w:val="top"/>
          </w:tcPr>
          <w:p>
            <w:pPr>
              <w:spacing w:before="139" w:line="219" w:lineRule="auto"/>
              <w:ind w:left="23"/>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中长期资金总额：</w:t>
            </w:r>
          </w:p>
        </w:tc>
        <w:tc>
          <w:tcPr>
            <w:tcW w:w="1189" w:type="dxa"/>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0</w:t>
            </w:r>
          </w:p>
        </w:tc>
        <w:tc>
          <w:tcPr>
            <w:tcW w:w="1488" w:type="dxa"/>
            <w:gridSpan w:val="2"/>
            <w:vAlign w:val="top"/>
          </w:tcPr>
          <w:p>
            <w:pPr>
              <w:spacing w:before="139" w:line="219" w:lineRule="auto"/>
              <w:ind w:left="85"/>
              <w:jc w:val="center"/>
              <w:rPr>
                <w:rFonts w:ascii="宋体" w:hAnsi="宋体" w:eastAsia="宋体" w:cs="宋体"/>
                <w:sz w:val="14"/>
                <w:szCs w:val="14"/>
              </w:rPr>
            </w:pPr>
            <w:r>
              <w:rPr>
                <w:rFonts w:ascii="宋体" w:hAnsi="宋体" w:eastAsia="宋体" w:cs="宋体"/>
                <w:spacing w:val="-1"/>
                <w:sz w:val="14"/>
                <w:szCs w:val="14"/>
              </w:rPr>
              <w:t>年度资金总额：</w:t>
            </w:r>
          </w:p>
        </w:tc>
        <w:tc>
          <w:tcPr>
            <w:tcW w:w="3282" w:type="dxa"/>
            <w:gridSpan w:val="2"/>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default"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128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72" w:type="dxa"/>
            <w:gridSpan w:val="3"/>
            <w:vMerge w:val="continue"/>
            <w:tcBorders>
              <w:top w:val="nil"/>
              <w:bottom w:val="nil"/>
            </w:tcBorders>
            <w:vAlign w:val="top"/>
          </w:tcPr>
          <w:p>
            <w:pPr>
              <w:pStyle w:val="17"/>
            </w:pPr>
          </w:p>
        </w:tc>
        <w:tc>
          <w:tcPr>
            <w:tcW w:w="1169" w:type="dxa"/>
            <w:vAlign w:val="top"/>
          </w:tcPr>
          <w:p>
            <w:pPr>
              <w:spacing w:before="79" w:line="210" w:lineRule="auto"/>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其中：财政拨款</w:t>
            </w:r>
          </w:p>
        </w:tc>
        <w:tc>
          <w:tcPr>
            <w:tcW w:w="1189" w:type="dxa"/>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0</w:t>
            </w:r>
          </w:p>
        </w:tc>
        <w:tc>
          <w:tcPr>
            <w:tcW w:w="1488" w:type="dxa"/>
            <w:gridSpan w:val="2"/>
            <w:vAlign w:val="top"/>
          </w:tcPr>
          <w:p>
            <w:pPr>
              <w:spacing w:before="149" w:line="219" w:lineRule="auto"/>
              <w:ind w:left="335"/>
              <w:rPr>
                <w:rFonts w:ascii="宋体" w:hAnsi="宋体" w:eastAsia="宋体" w:cs="宋体"/>
                <w:sz w:val="14"/>
                <w:szCs w:val="14"/>
              </w:rPr>
            </w:pPr>
            <w:r>
              <w:rPr>
                <w:rFonts w:ascii="宋体" w:hAnsi="宋体" w:eastAsia="宋体" w:cs="宋体"/>
                <w:spacing w:val="-1"/>
                <w:sz w:val="14"/>
                <w:szCs w:val="14"/>
              </w:rPr>
              <w:t>其中：财政拨款</w:t>
            </w:r>
          </w:p>
        </w:tc>
        <w:tc>
          <w:tcPr>
            <w:tcW w:w="3282" w:type="dxa"/>
            <w:gridSpan w:val="2"/>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default"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128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72" w:type="dxa"/>
            <w:gridSpan w:val="3"/>
            <w:vMerge w:val="continue"/>
            <w:tcBorders>
              <w:top w:val="nil"/>
            </w:tcBorders>
            <w:vAlign w:val="top"/>
          </w:tcPr>
          <w:p>
            <w:pPr>
              <w:pStyle w:val="17"/>
            </w:pPr>
          </w:p>
        </w:tc>
        <w:tc>
          <w:tcPr>
            <w:tcW w:w="1169" w:type="dxa"/>
            <w:vAlign w:val="top"/>
          </w:tcPr>
          <w:p>
            <w:pPr>
              <w:spacing w:before="80" w:line="215" w:lineRule="auto"/>
              <w:ind w:right="22"/>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其他资金</w:t>
            </w:r>
          </w:p>
        </w:tc>
        <w:tc>
          <w:tcPr>
            <w:tcW w:w="1189" w:type="dxa"/>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0</w:t>
            </w:r>
          </w:p>
        </w:tc>
        <w:tc>
          <w:tcPr>
            <w:tcW w:w="1488" w:type="dxa"/>
            <w:gridSpan w:val="2"/>
            <w:vAlign w:val="top"/>
          </w:tcPr>
          <w:p>
            <w:pPr>
              <w:spacing w:before="151" w:line="220" w:lineRule="auto"/>
              <w:ind w:left="655"/>
              <w:rPr>
                <w:rFonts w:ascii="宋体" w:hAnsi="宋体" w:eastAsia="宋体" w:cs="宋体"/>
                <w:sz w:val="14"/>
                <w:szCs w:val="14"/>
              </w:rPr>
            </w:pPr>
            <w:r>
              <w:rPr>
                <w:rFonts w:ascii="宋体" w:hAnsi="宋体" w:eastAsia="宋体" w:cs="宋体"/>
                <w:spacing w:val="-2"/>
                <w:sz w:val="14"/>
                <w:szCs w:val="14"/>
              </w:rPr>
              <w:t>其他资金</w:t>
            </w:r>
          </w:p>
        </w:tc>
        <w:tc>
          <w:tcPr>
            <w:tcW w:w="3282" w:type="dxa"/>
            <w:gridSpan w:val="2"/>
            <w:vAlign w:val="top"/>
          </w:tcPr>
          <w:p>
            <w:pPr>
              <w:pStyle w:val="17"/>
              <w:jc w:val="center"/>
              <w:rPr>
                <w:rFonts w:hint="eastAsia" w:ascii="宋体" w:hAnsi="宋体" w:eastAsia="宋体" w:cs="宋体"/>
                <w:snapToGrid w:val="0"/>
                <w:color w:val="000000"/>
                <w:kern w:val="0"/>
                <w:sz w:val="14"/>
                <w:szCs w:val="14"/>
                <w:lang w:val="en-US" w:eastAsia="zh-CN" w:bidi="ar-SA"/>
              </w:rPr>
            </w:pPr>
          </w:p>
          <w:p>
            <w:pPr>
              <w:pStyle w:val="17"/>
              <w:jc w:val="center"/>
              <w:rPr>
                <w:rFonts w:hint="eastAsia" w:ascii="宋体" w:hAnsi="宋体" w:eastAsia="宋体" w:cs="宋体"/>
                <w:snapToGrid w:val="0"/>
                <w:color w:val="000000"/>
                <w:kern w:val="0"/>
                <w:sz w:val="14"/>
                <w:szCs w:val="14"/>
                <w:lang w:val="en-US" w:eastAsia="zh-CN" w:bidi="ar-SA"/>
              </w:rPr>
            </w:pPr>
            <w:r>
              <w:rPr>
                <w:rFonts w:hint="eastAsia" w:ascii="宋体" w:hAnsi="宋体" w:eastAsia="宋体" w:cs="宋体"/>
                <w:snapToGrid w:val="0"/>
                <w:color w:val="000000"/>
                <w:kern w:val="0"/>
                <w:sz w:val="14"/>
                <w:szCs w:val="14"/>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94" w:type="dxa"/>
            <w:vMerge w:val="restart"/>
            <w:tcBorders>
              <w:bottom w:val="nil"/>
            </w:tcBorders>
            <w:textDirection w:val="tbRlV"/>
            <w:vAlign w:val="top"/>
          </w:tcPr>
          <w:p>
            <w:pPr>
              <w:spacing w:before="224" w:line="202" w:lineRule="auto"/>
              <w:ind w:left="328"/>
              <w:rPr>
                <w:rFonts w:ascii="宋体" w:hAnsi="宋体" w:eastAsia="宋体" w:cs="宋体"/>
                <w:sz w:val="14"/>
                <w:szCs w:val="14"/>
              </w:rPr>
            </w:pPr>
            <w:r>
              <w:rPr>
                <w:rFonts w:ascii="宋体" w:hAnsi="宋体" w:eastAsia="宋体" w:cs="宋体"/>
                <w:sz w:val="14"/>
                <w:szCs w:val="14"/>
              </w:rPr>
              <w:t>总体目标</w:t>
            </w:r>
          </w:p>
        </w:tc>
        <w:tc>
          <w:tcPr>
            <w:tcW w:w="3736" w:type="dxa"/>
            <w:gridSpan w:val="4"/>
            <w:vAlign w:val="top"/>
          </w:tcPr>
          <w:p>
            <w:pPr>
              <w:spacing w:before="141" w:line="219" w:lineRule="auto"/>
              <w:ind w:left="751"/>
              <w:rPr>
                <w:rFonts w:ascii="宋体" w:hAnsi="宋体" w:eastAsia="宋体" w:cs="宋体"/>
                <w:sz w:val="14"/>
                <w:szCs w:val="14"/>
              </w:rPr>
            </w:pPr>
            <w:r>
              <w:rPr>
                <w:rFonts w:ascii="宋体" w:hAnsi="宋体" w:eastAsia="宋体" w:cs="宋体"/>
                <w:spacing w:val="1"/>
                <w:sz w:val="14"/>
                <w:szCs w:val="14"/>
              </w:rPr>
              <w:t>中长期目标(20</w:t>
            </w:r>
            <w:r>
              <w:rPr>
                <w:rFonts w:hint="eastAsia" w:ascii="宋体" w:hAnsi="宋体" w:eastAsia="宋体" w:cs="宋体"/>
                <w:spacing w:val="1"/>
                <w:sz w:val="14"/>
                <w:szCs w:val="14"/>
                <w:lang w:val="en-US" w:eastAsia="zh-CN"/>
              </w:rPr>
              <w:t>26</w:t>
            </w:r>
            <w:r>
              <w:rPr>
                <w:rFonts w:ascii="宋体" w:hAnsi="宋体" w:eastAsia="宋体" w:cs="宋体"/>
                <w:spacing w:val="1"/>
                <w:sz w:val="14"/>
                <w:szCs w:val="14"/>
              </w:rPr>
              <w:t>年-2</w:t>
            </w:r>
            <w:r>
              <w:rPr>
                <w:rFonts w:hint="eastAsia" w:ascii="宋体" w:hAnsi="宋体" w:eastAsia="宋体" w:cs="宋体"/>
                <w:spacing w:val="1"/>
                <w:sz w:val="14"/>
                <w:szCs w:val="14"/>
                <w:lang w:val="en-US" w:eastAsia="zh-CN"/>
              </w:rPr>
              <w:t>035</w:t>
            </w:r>
            <w:r>
              <w:rPr>
                <w:rFonts w:ascii="宋体" w:hAnsi="宋体" w:eastAsia="宋体" w:cs="宋体"/>
                <w:spacing w:val="1"/>
                <w:sz w:val="14"/>
                <w:szCs w:val="14"/>
              </w:rPr>
              <w:t>年)</w:t>
            </w:r>
          </w:p>
        </w:tc>
        <w:tc>
          <w:tcPr>
            <w:tcW w:w="4770" w:type="dxa"/>
            <w:gridSpan w:val="4"/>
            <w:vAlign w:val="top"/>
          </w:tcPr>
          <w:p>
            <w:pPr>
              <w:spacing w:before="141" w:line="219" w:lineRule="auto"/>
              <w:ind w:left="2135"/>
              <w:rPr>
                <w:rFonts w:ascii="宋体" w:hAnsi="宋体" w:eastAsia="宋体" w:cs="宋体"/>
                <w:sz w:val="14"/>
                <w:szCs w:val="14"/>
              </w:rPr>
            </w:pPr>
            <w:r>
              <w:rPr>
                <w:rFonts w:ascii="宋体" w:hAnsi="宋体" w:eastAsia="宋体" w:cs="宋体"/>
                <w:spacing w:val="-2"/>
                <w:sz w:val="14"/>
                <w:szCs w:val="14"/>
              </w:rPr>
              <w:t>年度目标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594" w:type="dxa"/>
            <w:vMerge w:val="continue"/>
            <w:tcBorders>
              <w:top w:val="nil"/>
            </w:tcBorders>
            <w:textDirection w:val="tbRlV"/>
            <w:vAlign w:val="top"/>
          </w:tcPr>
          <w:p>
            <w:pPr>
              <w:pStyle w:val="17"/>
            </w:pPr>
          </w:p>
        </w:tc>
        <w:tc>
          <w:tcPr>
            <w:tcW w:w="3736" w:type="dxa"/>
            <w:gridSpan w:val="4"/>
            <w:vAlign w:val="top"/>
          </w:tcPr>
          <w:p>
            <w:pPr>
              <w:pStyle w:val="17"/>
            </w:pPr>
            <w:r>
              <w:rPr>
                <w:rFonts w:hint="eastAsia" w:ascii="宋体" w:hAnsi="宋体" w:eastAsia="宋体" w:cs="宋体"/>
                <w:snapToGrid w:val="0"/>
                <w:color w:val="000000"/>
                <w:spacing w:val="1"/>
                <w:kern w:val="0"/>
                <w:sz w:val="14"/>
                <w:szCs w:val="14"/>
                <w:lang w:val="en-US" w:eastAsia="zh-CN" w:bidi="ar-SA"/>
              </w:rPr>
              <w:t>目标1： 形成林区主通道的旅游交通网络，构建稳定的巡护链；</w:t>
            </w:r>
            <w:r>
              <w:rPr>
                <w:rFonts w:hint="eastAsia" w:ascii="宋体" w:hAnsi="宋体" w:eastAsia="宋体" w:cs="宋体"/>
                <w:snapToGrid w:val="0"/>
                <w:color w:val="000000"/>
                <w:spacing w:val="1"/>
                <w:kern w:val="0"/>
                <w:sz w:val="14"/>
                <w:szCs w:val="14"/>
                <w:lang w:val="en-US" w:eastAsia="zh-CN" w:bidi="ar-SA"/>
              </w:rPr>
              <w:br w:type="textWrapping"/>
            </w:r>
            <w:r>
              <w:rPr>
                <w:rFonts w:hint="eastAsia" w:ascii="宋体" w:hAnsi="宋体" w:eastAsia="宋体" w:cs="宋体"/>
                <w:snapToGrid w:val="0"/>
                <w:color w:val="000000"/>
                <w:spacing w:val="1"/>
                <w:kern w:val="0"/>
                <w:sz w:val="14"/>
                <w:szCs w:val="14"/>
                <w:lang w:val="en-US" w:eastAsia="zh-CN" w:bidi="ar-SA"/>
              </w:rPr>
              <w:t>目标2.：公益林保护能力持续提升，生态保护与旅游开发实现长期双赢，旅游直接收入年均增长50%以上，带动更多群众稳定增收。</w:t>
            </w:r>
          </w:p>
        </w:tc>
        <w:tc>
          <w:tcPr>
            <w:tcW w:w="4770" w:type="dxa"/>
            <w:gridSpan w:val="4"/>
            <w:vAlign w:val="top"/>
          </w:tcPr>
          <w:p>
            <w:pPr>
              <w:pStyle w:val="17"/>
              <w:rPr>
                <w:rFonts w:hint="eastAsia" w:ascii="宋体" w:hAnsi="宋体" w:eastAsia="宋体" w:cs="宋体"/>
                <w:snapToGrid w:val="0"/>
                <w:color w:val="000000"/>
                <w:spacing w:val="1"/>
                <w:kern w:val="0"/>
                <w:sz w:val="14"/>
                <w:szCs w:val="14"/>
                <w:lang w:val="en-US" w:eastAsia="zh-CN" w:bidi="ar-SA"/>
              </w:rPr>
            </w:pPr>
            <w:r>
              <w:rPr>
                <w:rFonts w:hint="eastAsia" w:ascii="宋体" w:hAnsi="宋体" w:eastAsia="宋体" w:cs="宋体"/>
                <w:snapToGrid w:val="0"/>
                <w:color w:val="000000"/>
                <w:spacing w:val="1"/>
                <w:kern w:val="0"/>
                <w:sz w:val="14"/>
                <w:szCs w:val="14"/>
                <w:lang w:val="en-US" w:eastAsia="zh-CN" w:bidi="ar-SA"/>
              </w:rPr>
              <w:t>目标1： 完善基础设施促进经济发展：完成 5.064公里巡护道路沥青铺设，提升林区巡护便捷性供应稳定性，为旅游发展奠定基础；</w:t>
            </w:r>
          </w:p>
          <w:p>
            <w:pPr>
              <w:pStyle w:val="17"/>
              <w:rPr>
                <w:rFonts w:hint="eastAsia" w:ascii="宋体" w:hAnsi="宋体" w:eastAsia="宋体" w:cs="宋体"/>
                <w:snapToGrid w:val="0"/>
                <w:color w:val="000000"/>
                <w:spacing w:val="1"/>
                <w:kern w:val="0"/>
                <w:sz w:val="14"/>
                <w:szCs w:val="14"/>
                <w:lang w:val="en-US" w:eastAsia="zh-CN" w:bidi="ar-SA"/>
              </w:rPr>
            </w:pPr>
          </w:p>
          <w:p>
            <w:pPr>
              <w:pStyle w:val="17"/>
            </w:pPr>
            <w:r>
              <w:rPr>
                <w:rFonts w:hint="eastAsia" w:ascii="宋体" w:hAnsi="宋体" w:eastAsia="宋体" w:cs="宋体"/>
                <w:snapToGrid w:val="0"/>
                <w:color w:val="000000"/>
                <w:spacing w:val="1"/>
                <w:kern w:val="0"/>
                <w:sz w:val="14"/>
                <w:szCs w:val="14"/>
                <w:lang w:val="en-US" w:eastAsia="zh-CN" w:bidi="ar-SA"/>
              </w:rPr>
              <w:t>目标2：带动辖区40名群众稳定增收，旅游直接收入年均增长50%以上；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4" w:type="dxa"/>
            <w:vMerge w:val="restart"/>
            <w:tcBorders>
              <w:bottom w:val="nil"/>
            </w:tcBorders>
            <w:textDirection w:val="tbRlV"/>
            <w:vAlign w:val="top"/>
          </w:tcPr>
          <w:p>
            <w:pPr>
              <w:keepNext w:val="0"/>
              <w:keepLines w:val="0"/>
              <w:widowControl/>
              <w:suppressLineNumbers w:val="0"/>
              <w:jc w:val="both"/>
              <w:rPr>
                <w:rFonts w:hint="eastAsia" w:ascii="宋体" w:hAnsi="宋体" w:eastAsia="宋体" w:cs="宋体"/>
                <w:sz w:val="14"/>
                <w:szCs w:val="14"/>
                <w:lang w:val="en-US" w:eastAsia="zh-CN"/>
              </w:rPr>
            </w:pPr>
          </w:p>
          <w:p>
            <w:pPr>
              <w:keepNext w:val="0"/>
              <w:keepLines w:val="0"/>
              <w:widowControl/>
              <w:suppressLineNumbers w:val="0"/>
              <w:ind w:firstLine="1820" w:firstLineChars="1300"/>
              <w:jc w:val="both"/>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z w:val="14"/>
                <w:szCs w:val="14"/>
                <w:lang w:val="en-US" w:eastAsia="zh-CN"/>
              </w:rPr>
              <w:t>绩效指标</w:t>
            </w:r>
          </w:p>
        </w:tc>
        <w:tc>
          <w:tcPr>
            <w:tcW w:w="3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一级</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指标</w:t>
            </w:r>
          </w:p>
        </w:tc>
        <w:tc>
          <w:tcPr>
            <w:tcW w:w="100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二级指标</w:t>
            </w: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三级指标</w:t>
            </w: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指标值(包含数字 及文字描述)</w:t>
            </w:r>
          </w:p>
        </w:tc>
        <w:tc>
          <w:tcPr>
            <w:tcW w:w="739" w:type="dxa"/>
            <w:vAlign w:val="top"/>
          </w:tcPr>
          <w:p>
            <w:pPr>
              <w:spacing w:before="143" w:line="220" w:lineRule="auto"/>
              <w:ind w:left="85"/>
              <w:rPr>
                <w:rFonts w:ascii="宋体" w:hAnsi="宋体" w:eastAsia="宋体" w:cs="宋体"/>
                <w:sz w:val="14"/>
                <w:szCs w:val="14"/>
              </w:rPr>
            </w:pPr>
            <w:r>
              <w:rPr>
                <w:rFonts w:ascii="宋体" w:hAnsi="宋体" w:eastAsia="宋体" w:cs="宋体"/>
                <w:spacing w:val="-2"/>
                <w:sz w:val="14"/>
                <w:szCs w:val="14"/>
              </w:rPr>
              <w:t>二级指标</w:t>
            </w:r>
          </w:p>
        </w:tc>
        <w:tc>
          <w:tcPr>
            <w:tcW w:w="1898" w:type="dxa"/>
            <w:gridSpan w:val="2"/>
            <w:vAlign w:val="top"/>
          </w:tcPr>
          <w:p>
            <w:pPr>
              <w:spacing w:before="143" w:line="220" w:lineRule="auto"/>
              <w:ind w:left="686"/>
              <w:rPr>
                <w:rFonts w:ascii="宋体" w:hAnsi="宋体" w:eastAsia="宋体" w:cs="宋体"/>
                <w:sz w:val="14"/>
                <w:szCs w:val="14"/>
              </w:rPr>
            </w:pPr>
            <w:r>
              <w:rPr>
                <w:rFonts w:ascii="宋体" w:hAnsi="宋体" w:eastAsia="宋体" w:cs="宋体"/>
                <w:spacing w:val="-2"/>
                <w:sz w:val="14"/>
                <w:szCs w:val="14"/>
              </w:rPr>
              <w:t>三级指标</w:t>
            </w:r>
          </w:p>
        </w:tc>
        <w:tc>
          <w:tcPr>
            <w:tcW w:w="2133" w:type="dxa"/>
            <w:vAlign w:val="top"/>
          </w:tcPr>
          <w:p>
            <w:pPr>
              <w:spacing w:before="142" w:line="219" w:lineRule="auto"/>
              <w:ind w:left="177"/>
              <w:rPr>
                <w:rFonts w:ascii="宋体" w:hAnsi="宋体" w:eastAsia="宋体" w:cs="宋体"/>
                <w:sz w:val="14"/>
                <w:szCs w:val="14"/>
              </w:rPr>
            </w:pPr>
            <w:r>
              <w:rPr>
                <w:rFonts w:ascii="宋体" w:hAnsi="宋体" w:eastAsia="宋体" w:cs="宋体"/>
                <w:spacing w:val="2"/>
                <w:sz w:val="14"/>
                <w:szCs w:val="14"/>
              </w:rPr>
              <w:t>指标值(包含数字及文字描述)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产出 指标</w:t>
            </w:r>
          </w:p>
        </w:tc>
        <w:tc>
          <w:tcPr>
            <w:tcW w:w="100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数量指标</w:t>
            </w:r>
          </w:p>
        </w:tc>
        <w:tc>
          <w:tcPr>
            <w:tcW w:w="1169" w:type="dxa"/>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巡护道路长度</w:t>
            </w: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≥5.064公里</w:t>
            </w:r>
          </w:p>
        </w:tc>
        <w:tc>
          <w:tcPr>
            <w:tcW w:w="739" w:type="dxa"/>
            <w:vMerge w:val="restart"/>
            <w:tcBorders>
              <w:bottom w:val="nil"/>
            </w:tcBorders>
            <w:vAlign w:val="top"/>
          </w:tcPr>
          <w:p>
            <w:pPr>
              <w:pStyle w:val="17"/>
              <w:spacing w:line="315" w:lineRule="auto"/>
              <w:jc w:val="center"/>
              <w:rPr>
                <w:rFonts w:hint="eastAsia" w:ascii="宋体" w:hAnsi="宋体" w:eastAsia="宋体" w:cs="宋体"/>
                <w:snapToGrid w:val="0"/>
                <w:color w:val="000000"/>
                <w:kern w:val="0"/>
                <w:sz w:val="16"/>
                <w:szCs w:val="16"/>
                <w:lang w:val="en-US" w:eastAsia="zh-CN" w:bidi="ar"/>
              </w:rPr>
            </w:pPr>
          </w:p>
          <w:p>
            <w:pPr>
              <w:spacing w:before="45" w:line="219" w:lineRule="auto"/>
              <w:jc w:val="both"/>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数量指标</w:t>
            </w:r>
          </w:p>
        </w:tc>
        <w:tc>
          <w:tcPr>
            <w:tcW w:w="1898" w:type="dxa"/>
            <w:gridSpan w:val="2"/>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巡护道路长度</w:t>
            </w:r>
          </w:p>
        </w:tc>
        <w:tc>
          <w:tcPr>
            <w:tcW w:w="2133"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≥5.064公里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69" w:type="dxa"/>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建设道路</w:t>
            </w:r>
          </w:p>
        </w:tc>
        <w:tc>
          <w:tcPr>
            <w:tcW w:w="1189" w:type="dxa"/>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≥1条</w:t>
            </w:r>
          </w:p>
        </w:tc>
        <w:tc>
          <w:tcPr>
            <w:tcW w:w="739" w:type="dxa"/>
            <w:vMerge w:val="continue"/>
            <w:tcBorders>
              <w:top w:val="nil"/>
            </w:tcBorders>
            <w:vAlign w:val="top"/>
          </w:tcPr>
          <w:p>
            <w:pPr>
              <w:pStyle w:val="17"/>
              <w:jc w:val="center"/>
              <w:rPr>
                <w:rFonts w:hint="eastAsia" w:ascii="宋体" w:hAnsi="宋体" w:eastAsia="宋体" w:cs="宋体"/>
                <w:snapToGrid w:val="0"/>
                <w:color w:val="000000"/>
                <w:kern w:val="0"/>
                <w:sz w:val="16"/>
                <w:szCs w:val="16"/>
                <w:lang w:val="en-US" w:eastAsia="zh-CN" w:bidi="ar"/>
              </w:rPr>
            </w:pPr>
          </w:p>
        </w:tc>
        <w:tc>
          <w:tcPr>
            <w:tcW w:w="1898" w:type="dxa"/>
            <w:gridSpan w:val="2"/>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路面宽度</w:t>
            </w:r>
          </w:p>
        </w:tc>
        <w:tc>
          <w:tcPr>
            <w:tcW w:w="2133" w:type="dxa"/>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≥路面宽3m（2.885公里）、4.5m（2.179公里）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时效指标</w:t>
            </w:r>
          </w:p>
        </w:tc>
        <w:tc>
          <w:tcPr>
            <w:tcW w:w="1169" w:type="dxa"/>
            <w:vAlign w:val="top"/>
          </w:tcPr>
          <w:p>
            <w:pPr>
              <w:keepNext w:val="0"/>
              <w:keepLines w:val="0"/>
              <w:widowControl/>
              <w:suppressLineNumbers w:val="0"/>
              <w:jc w:val="left"/>
              <w:rPr>
                <w:sz w:val="16"/>
                <w:szCs w:val="16"/>
              </w:rPr>
            </w:pPr>
            <w:r>
              <w:rPr>
                <w:rFonts w:hint="eastAsia" w:ascii="宋体" w:hAnsi="宋体" w:eastAsia="宋体" w:cs="宋体"/>
                <w:snapToGrid w:val="0"/>
                <w:color w:val="000000"/>
                <w:kern w:val="0"/>
                <w:sz w:val="16"/>
                <w:szCs w:val="16"/>
                <w:lang w:val="en-US" w:eastAsia="zh-CN" w:bidi="ar"/>
              </w:rPr>
              <w:t>项目开工时间</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2026年8月15日前</w:t>
            </w:r>
          </w:p>
        </w:tc>
        <w:tc>
          <w:tcPr>
            <w:tcW w:w="739" w:type="dxa"/>
            <w:vMerge w:val="restart"/>
            <w:tcBorders>
              <w:bottom w:val="nil"/>
            </w:tcBorders>
            <w:vAlign w:val="top"/>
          </w:tcPr>
          <w:p>
            <w:pPr>
              <w:pStyle w:val="17"/>
              <w:spacing w:line="262" w:lineRule="auto"/>
              <w:jc w:val="center"/>
              <w:rPr>
                <w:rFonts w:hint="eastAsia" w:ascii="宋体" w:hAnsi="宋体" w:eastAsia="宋体" w:cs="宋体"/>
                <w:snapToGrid w:val="0"/>
                <w:color w:val="000000"/>
                <w:kern w:val="0"/>
                <w:sz w:val="16"/>
                <w:szCs w:val="16"/>
                <w:lang w:val="en-US" w:eastAsia="zh-CN" w:bidi="ar"/>
              </w:rPr>
            </w:pPr>
          </w:p>
          <w:p>
            <w:pPr>
              <w:pStyle w:val="17"/>
              <w:spacing w:line="263" w:lineRule="auto"/>
              <w:jc w:val="center"/>
              <w:rPr>
                <w:rFonts w:hint="eastAsia" w:ascii="宋体" w:hAnsi="宋体" w:eastAsia="宋体" w:cs="宋体"/>
                <w:snapToGrid w:val="0"/>
                <w:color w:val="000000"/>
                <w:kern w:val="0"/>
                <w:sz w:val="16"/>
                <w:szCs w:val="16"/>
                <w:lang w:val="en-US" w:eastAsia="zh-CN" w:bidi="ar"/>
              </w:rPr>
            </w:pPr>
          </w:p>
          <w:p>
            <w:pPr>
              <w:spacing w:before="45" w:line="220" w:lineRule="auto"/>
              <w:jc w:val="both"/>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质量指标</w:t>
            </w: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工程验收合格率</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2133"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项目竣工验收</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时间</w:t>
            </w: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2026年11月15日前</w:t>
            </w:r>
          </w:p>
        </w:tc>
        <w:tc>
          <w:tcPr>
            <w:tcW w:w="739" w:type="dxa"/>
            <w:vMerge w:val="continue"/>
            <w:tcBorders>
              <w:top w:val="nil"/>
              <w:bottom w:val="nil"/>
            </w:tcBorders>
            <w:vAlign w:val="top"/>
          </w:tcPr>
          <w:p>
            <w:pPr>
              <w:pStyle w:val="17"/>
              <w:jc w:val="center"/>
              <w:rPr>
                <w:rFonts w:hint="eastAsia" w:ascii="宋体" w:hAnsi="宋体" w:eastAsia="宋体" w:cs="宋体"/>
                <w:snapToGrid w:val="0"/>
                <w:color w:val="000000"/>
                <w:kern w:val="0"/>
                <w:sz w:val="16"/>
                <w:szCs w:val="16"/>
                <w:lang w:val="en-US" w:eastAsia="zh-CN" w:bidi="ar"/>
              </w:rPr>
            </w:pP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道路建设标准</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2133"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符合相关建设规范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成本指标</w:t>
            </w: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项目总投资</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≤128万元</w:t>
            </w:r>
          </w:p>
        </w:tc>
        <w:tc>
          <w:tcPr>
            <w:tcW w:w="739" w:type="dxa"/>
            <w:vMerge w:val="continue"/>
            <w:tcBorders>
              <w:top w:val="nil"/>
            </w:tcBorders>
            <w:vAlign w:val="top"/>
          </w:tcPr>
          <w:p>
            <w:pPr>
              <w:pStyle w:val="17"/>
              <w:jc w:val="center"/>
              <w:rPr>
                <w:rFonts w:hint="eastAsia" w:ascii="宋体" w:hAnsi="宋体" w:eastAsia="宋体" w:cs="宋体"/>
                <w:snapToGrid w:val="0"/>
                <w:color w:val="000000"/>
                <w:kern w:val="0"/>
                <w:sz w:val="16"/>
                <w:szCs w:val="16"/>
                <w:lang w:val="en-US" w:eastAsia="zh-CN" w:bidi="ar"/>
              </w:rPr>
            </w:pP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沥青路面铺设合格率</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2133"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continue"/>
            <w:tcBorders>
              <w:top w:val="nil"/>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sz w:val="16"/>
                <w:szCs w:val="16"/>
              </w:rPr>
            </w:pPr>
            <w:r>
              <w:rPr>
                <w:rFonts w:hint="eastAsia" w:ascii="宋体" w:hAnsi="宋体" w:eastAsia="宋体" w:cs="宋体"/>
                <w:snapToGrid w:val="0"/>
                <w:color w:val="000000"/>
                <w:kern w:val="0"/>
                <w:sz w:val="16"/>
                <w:szCs w:val="16"/>
                <w:lang w:val="en-US" w:eastAsia="zh-CN" w:bidi="ar"/>
              </w:rPr>
              <w:t>直接费用</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89" w:type="dxa"/>
            <w:vAlign w:val="top"/>
          </w:tcPr>
          <w:p>
            <w:pPr>
              <w:keepNext w:val="0"/>
              <w:keepLines w:val="0"/>
              <w:widowControl/>
              <w:suppressLineNumbers w:val="0"/>
              <w:jc w:val="center"/>
              <w:rPr>
                <w:rFonts w:hint="eastAsia"/>
                <w:lang w:val="en-US" w:eastAsia="zh-CN"/>
              </w:rPr>
            </w:pPr>
          </w:p>
          <w:p>
            <w:pPr>
              <w:pStyle w:val="2"/>
              <w:ind w:left="0" w:leftChars="0" w:firstLine="0" w:firstLineChars="0"/>
              <w:jc w:val="center"/>
              <w:rPr>
                <w:rFonts w:hint="default"/>
                <w:lang w:val="en-US" w:eastAsia="zh-CN"/>
              </w:rPr>
            </w:pPr>
            <w:r>
              <w:rPr>
                <w:rFonts w:hint="eastAsia" w:hAnsi="宋体" w:cs="宋体"/>
                <w:snapToGrid w:val="0"/>
                <w:color w:val="000000"/>
                <w:kern w:val="0"/>
                <w:sz w:val="16"/>
                <w:szCs w:val="16"/>
                <w:lang w:val="en-US" w:eastAsia="zh-CN" w:bidi="ar"/>
              </w:rPr>
              <w:t>≤116万元</w:t>
            </w:r>
          </w:p>
        </w:tc>
        <w:tc>
          <w:tcPr>
            <w:tcW w:w="73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社会效益</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指标</w:t>
            </w: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完善林区公共服务</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基础设施</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2133"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有效提升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间接费用</w:t>
            </w:r>
          </w:p>
        </w:tc>
        <w:tc>
          <w:tcPr>
            <w:tcW w:w="118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≤12万元</w:t>
            </w:r>
          </w:p>
        </w:tc>
        <w:tc>
          <w:tcPr>
            <w:tcW w:w="739" w:type="dxa"/>
            <w:vMerge w:val="continue"/>
            <w:tcBorders>
              <w:top w:val="nil"/>
            </w:tcBorders>
            <w:vAlign w:val="top"/>
          </w:tcPr>
          <w:p>
            <w:pPr>
              <w:pStyle w:val="17"/>
              <w:jc w:val="center"/>
              <w:rPr>
                <w:rFonts w:hint="eastAsia" w:ascii="宋体" w:hAnsi="宋体" w:eastAsia="宋体" w:cs="宋体"/>
                <w:snapToGrid w:val="0"/>
                <w:color w:val="000000"/>
                <w:kern w:val="0"/>
                <w:sz w:val="16"/>
                <w:szCs w:val="16"/>
                <w:lang w:val="en-US" w:eastAsia="zh-CN" w:bidi="ar"/>
              </w:rPr>
            </w:pP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提升农牧民及游客便捷性</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2133" w:type="dxa"/>
            <w:vAlign w:val="top"/>
          </w:tcPr>
          <w:p>
            <w:pPr>
              <w:keepNext w:val="0"/>
              <w:keepLines w:val="0"/>
              <w:widowControl/>
              <w:suppressLineNumbers w:val="0"/>
              <w:jc w:val="center"/>
              <w:rPr>
                <w:rFonts w:hint="default"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有效提升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4" w:type="dxa"/>
            <w:vMerge w:val="continue"/>
            <w:tcBorders>
              <w:top w:val="nil"/>
              <w:bottom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满意</w:t>
            </w: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度指 标</w:t>
            </w:r>
          </w:p>
        </w:tc>
        <w:tc>
          <w:tcPr>
            <w:tcW w:w="1009" w:type="dxa"/>
            <w:vMerge w:val="restart"/>
            <w:tcBorders>
              <w:bottom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满意度指标</w:t>
            </w:r>
          </w:p>
        </w:tc>
        <w:tc>
          <w:tcPr>
            <w:tcW w:w="1169" w:type="dxa"/>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sz w:val="16"/>
                <w:szCs w:val="16"/>
              </w:rPr>
            </w:pPr>
            <w:r>
              <w:rPr>
                <w:rFonts w:hint="eastAsia" w:ascii="宋体" w:hAnsi="宋体" w:eastAsia="宋体" w:cs="宋体"/>
                <w:snapToGrid w:val="0"/>
                <w:color w:val="000000"/>
                <w:kern w:val="0"/>
                <w:sz w:val="16"/>
                <w:szCs w:val="16"/>
                <w:lang w:val="en-US" w:eastAsia="zh-CN" w:bidi="ar"/>
              </w:rPr>
              <w:t>林场职工满意度</w:t>
            </w:r>
          </w:p>
          <w:p>
            <w:pPr>
              <w:pStyle w:val="17"/>
              <w:jc w:val="center"/>
              <w:rPr>
                <w:rFonts w:hint="eastAsia" w:ascii="宋体" w:hAnsi="宋体" w:eastAsia="宋体" w:cs="宋体"/>
                <w:snapToGrid w:val="0"/>
                <w:color w:val="000000"/>
                <w:kern w:val="0"/>
                <w:sz w:val="16"/>
                <w:szCs w:val="16"/>
                <w:lang w:val="en-US" w:eastAsia="zh-CN" w:bidi="ar"/>
              </w:rPr>
            </w:pPr>
          </w:p>
        </w:tc>
        <w:tc>
          <w:tcPr>
            <w:tcW w:w="1189" w:type="dxa"/>
            <w:vAlign w:val="top"/>
          </w:tcPr>
          <w:p>
            <w:pPr>
              <w:pStyle w:val="17"/>
              <w:jc w:val="center"/>
              <w:rPr>
                <w:rFonts w:hint="eastAsia" w:ascii="宋体" w:hAnsi="宋体" w:eastAsia="宋体" w:cs="宋体"/>
                <w:snapToGrid w:val="0"/>
                <w:color w:val="000000"/>
                <w:kern w:val="0"/>
                <w:sz w:val="16"/>
                <w:szCs w:val="16"/>
                <w:lang w:val="en-US" w:eastAsia="zh-CN" w:bidi="ar"/>
              </w:rPr>
            </w:pPr>
          </w:p>
          <w:p>
            <w:pPr>
              <w:pStyle w:val="17"/>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≥95%</w:t>
            </w:r>
          </w:p>
        </w:tc>
        <w:tc>
          <w:tcPr>
            <w:tcW w:w="739" w:type="dxa"/>
            <w:vMerge w:val="restart"/>
            <w:tcBorders>
              <w:bottom w:val="nil"/>
            </w:tcBorders>
            <w:vAlign w:val="top"/>
          </w:tcPr>
          <w:p>
            <w:pPr>
              <w:pStyle w:val="17"/>
              <w:spacing w:line="308" w:lineRule="auto"/>
              <w:jc w:val="center"/>
              <w:rPr>
                <w:rFonts w:hint="eastAsia" w:ascii="宋体" w:hAnsi="宋体" w:eastAsia="宋体" w:cs="宋体"/>
                <w:snapToGrid w:val="0"/>
                <w:color w:val="000000"/>
                <w:kern w:val="0"/>
                <w:sz w:val="16"/>
                <w:szCs w:val="16"/>
                <w:lang w:val="en-US" w:eastAsia="zh-CN" w:bidi="ar"/>
              </w:rPr>
            </w:pPr>
          </w:p>
          <w:p>
            <w:pPr>
              <w:spacing w:before="45" w:line="219" w:lineRule="auto"/>
              <w:ind w:left="15"/>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满意度指标</w:t>
            </w:r>
          </w:p>
        </w:tc>
        <w:tc>
          <w:tcPr>
            <w:tcW w:w="1898" w:type="dxa"/>
            <w:gridSpan w:val="2"/>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p>
            <w:pPr>
              <w:keepNext w:val="0"/>
              <w:keepLines w:val="0"/>
              <w:widowControl/>
              <w:suppressLineNumbers w:val="0"/>
              <w:jc w:val="center"/>
              <w:rPr>
                <w:sz w:val="16"/>
                <w:szCs w:val="16"/>
              </w:rPr>
            </w:pPr>
            <w:r>
              <w:rPr>
                <w:rFonts w:hint="eastAsia" w:ascii="宋体" w:hAnsi="宋体" w:eastAsia="宋体" w:cs="宋体"/>
                <w:snapToGrid w:val="0"/>
                <w:color w:val="000000"/>
                <w:kern w:val="0"/>
                <w:sz w:val="16"/>
                <w:szCs w:val="16"/>
                <w:lang w:val="en-US" w:eastAsia="zh-CN" w:bidi="ar"/>
              </w:rPr>
              <w:t>林场职工满意度</w:t>
            </w:r>
          </w:p>
          <w:p>
            <w:pPr>
              <w:pStyle w:val="17"/>
              <w:jc w:val="center"/>
              <w:rPr>
                <w:sz w:val="11"/>
                <w:szCs w:val="11"/>
              </w:rPr>
            </w:pPr>
          </w:p>
        </w:tc>
        <w:tc>
          <w:tcPr>
            <w:tcW w:w="2133" w:type="dxa"/>
            <w:vAlign w:val="top"/>
          </w:tcPr>
          <w:p>
            <w:pPr>
              <w:pStyle w:val="17"/>
              <w:jc w:val="center"/>
              <w:rPr>
                <w:sz w:val="11"/>
                <w:szCs w:val="11"/>
              </w:rPr>
            </w:pPr>
            <w:r>
              <w:rPr>
                <w:rFonts w:hint="eastAsia" w:ascii="宋体" w:hAnsi="宋体" w:eastAsia="宋体" w:cs="宋体"/>
                <w:snapToGrid w:val="0"/>
                <w:color w:val="000000"/>
                <w:kern w:val="0"/>
                <w:sz w:val="16"/>
                <w:szCs w:val="16"/>
                <w:lang w:val="en-US" w:eastAsia="zh-CN" w:bidi="ar"/>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94" w:type="dxa"/>
            <w:vMerge w:val="continue"/>
            <w:tcBorders>
              <w:top w:val="nil"/>
            </w:tcBorders>
            <w:textDirection w:val="tbRlV"/>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36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009" w:type="dxa"/>
            <w:vMerge w:val="continue"/>
            <w:tcBorders>
              <w:top w:val="nil"/>
            </w:tcBorders>
            <w:vAlign w:val="top"/>
          </w:tcPr>
          <w:p>
            <w:pPr>
              <w:keepNext w:val="0"/>
              <w:keepLines w:val="0"/>
              <w:widowControl/>
              <w:suppressLineNumbers w:val="0"/>
              <w:jc w:val="center"/>
              <w:rPr>
                <w:rFonts w:hint="eastAsia" w:ascii="宋体" w:hAnsi="宋体" w:eastAsia="宋体" w:cs="宋体"/>
                <w:snapToGrid w:val="0"/>
                <w:color w:val="000000"/>
                <w:kern w:val="0"/>
                <w:sz w:val="16"/>
                <w:szCs w:val="16"/>
                <w:lang w:val="en-US" w:eastAsia="zh-CN" w:bidi="ar"/>
              </w:rPr>
            </w:pPr>
          </w:p>
        </w:tc>
        <w:tc>
          <w:tcPr>
            <w:tcW w:w="1169" w:type="dxa"/>
            <w:vAlign w:val="top"/>
          </w:tcPr>
          <w:p>
            <w:pPr>
              <w:pStyle w:val="17"/>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林场群众</w:t>
            </w:r>
          </w:p>
        </w:tc>
        <w:tc>
          <w:tcPr>
            <w:tcW w:w="1189" w:type="dxa"/>
            <w:vAlign w:val="top"/>
          </w:tcPr>
          <w:p>
            <w:pPr>
              <w:pStyle w:val="17"/>
              <w:jc w:val="center"/>
              <w:rPr>
                <w:rFonts w:hint="eastAsia" w:ascii="宋体" w:hAnsi="宋体" w:eastAsia="宋体" w:cs="宋体"/>
                <w:snapToGrid w:val="0"/>
                <w:color w:val="000000"/>
                <w:kern w:val="0"/>
                <w:sz w:val="16"/>
                <w:szCs w:val="16"/>
                <w:lang w:val="en-US" w:eastAsia="zh-CN" w:bidi="ar"/>
              </w:rPr>
            </w:pPr>
          </w:p>
          <w:p>
            <w:pPr>
              <w:pStyle w:val="17"/>
              <w:jc w:val="center"/>
              <w:rPr>
                <w:rFonts w:hint="eastAsia" w:ascii="宋体" w:hAnsi="宋体" w:eastAsia="宋体" w:cs="宋体"/>
                <w:snapToGrid w:val="0"/>
                <w:color w:val="000000"/>
                <w:kern w:val="0"/>
                <w:sz w:val="16"/>
                <w:szCs w:val="16"/>
                <w:lang w:val="en-US" w:eastAsia="zh-CN" w:bidi="ar"/>
              </w:rPr>
            </w:pPr>
            <w:r>
              <w:rPr>
                <w:rFonts w:hint="eastAsia" w:ascii="宋体" w:hAnsi="宋体" w:eastAsia="宋体" w:cs="宋体"/>
                <w:snapToGrid w:val="0"/>
                <w:color w:val="000000"/>
                <w:kern w:val="0"/>
                <w:sz w:val="16"/>
                <w:szCs w:val="16"/>
                <w:lang w:val="en-US" w:eastAsia="zh-CN" w:bidi="ar"/>
              </w:rPr>
              <w:t>≥95%</w:t>
            </w:r>
          </w:p>
        </w:tc>
        <w:tc>
          <w:tcPr>
            <w:tcW w:w="739" w:type="dxa"/>
            <w:vMerge w:val="continue"/>
            <w:tcBorders>
              <w:top w:val="nil"/>
            </w:tcBorders>
            <w:vAlign w:val="top"/>
          </w:tcPr>
          <w:p>
            <w:pPr>
              <w:pStyle w:val="17"/>
              <w:jc w:val="center"/>
              <w:rPr>
                <w:sz w:val="11"/>
                <w:szCs w:val="11"/>
              </w:rPr>
            </w:pPr>
          </w:p>
        </w:tc>
        <w:tc>
          <w:tcPr>
            <w:tcW w:w="1898" w:type="dxa"/>
            <w:gridSpan w:val="2"/>
            <w:vAlign w:val="top"/>
          </w:tcPr>
          <w:p>
            <w:pPr>
              <w:pStyle w:val="17"/>
              <w:jc w:val="center"/>
              <w:rPr>
                <w:rFonts w:hint="eastAsia" w:ascii="宋体" w:hAnsi="宋体" w:eastAsia="宋体" w:cs="宋体"/>
                <w:snapToGrid w:val="0"/>
                <w:color w:val="000000"/>
                <w:kern w:val="0"/>
                <w:sz w:val="16"/>
                <w:szCs w:val="16"/>
                <w:lang w:val="en-US" w:eastAsia="zh-CN" w:bidi="ar"/>
              </w:rPr>
            </w:pPr>
          </w:p>
          <w:p>
            <w:pPr>
              <w:pStyle w:val="17"/>
              <w:jc w:val="center"/>
              <w:rPr>
                <w:rFonts w:hint="default" w:eastAsia="宋体"/>
                <w:sz w:val="11"/>
                <w:szCs w:val="11"/>
                <w:lang w:val="en-US" w:eastAsia="zh-CN"/>
              </w:rPr>
            </w:pPr>
            <w:r>
              <w:rPr>
                <w:rFonts w:hint="eastAsia" w:ascii="宋体" w:hAnsi="宋体" w:eastAsia="宋体" w:cs="宋体"/>
                <w:snapToGrid w:val="0"/>
                <w:color w:val="000000"/>
                <w:kern w:val="0"/>
                <w:sz w:val="16"/>
                <w:szCs w:val="16"/>
                <w:lang w:val="en-US" w:eastAsia="zh-CN" w:bidi="ar"/>
              </w:rPr>
              <w:t>林场群众</w:t>
            </w:r>
          </w:p>
        </w:tc>
        <w:tc>
          <w:tcPr>
            <w:tcW w:w="2133" w:type="dxa"/>
            <w:vAlign w:val="top"/>
          </w:tcPr>
          <w:p>
            <w:pPr>
              <w:pStyle w:val="17"/>
              <w:jc w:val="center"/>
              <w:rPr>
                <w:sz w:val="11"/>
                <w:szCs w:val="11"/>
              </w:rPr>
            </w:pPr>
            <w:r>
              <w:rPr>
                <w:rFonts w:hint="eastAsia" w:ascii="宋体" w:hAnsi="宋体" w:eastAsia="宋体" w:cs="宋体"/>
                <w:snapToGrid w:val="0"/>
                <w:color w:val="000000"/>
                <w:kern w:val="0"/>
                <w:sz w:val="16"/>
                <w:szCs w:val="16"/>
                <w:lang w:val="en-US" w:eastAsia="zh-CN" w:bidi="ar"/>
              </w:rPr>
              <w:t>≥95%</w:t>
            </w:r>
          </w:p>
        </w:tc>
      </w:tr>
    </w:tbl>
    <w:p>
      <w:pPr>
        <w:spacing w:line="73" w:lineRule="exact"/>
      </w:pPr>
    </w:p>
    <w:p>
      <w:pPr>
        <w:rPr>
          <w:rFonts w:ascii="Arial"/>
          <w:sz w:val="21"/>
        </w:rPr>
      </w:pPr>
    </w:p>
    <w:p>
      <w:pPr>
        <w:rPr>
          <w:rFonts w:ascii="Arial"/>
          <w:sz w:val="21"/>
        </w:rPr>
      </w:pP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5CE7"/>
    <w:rsid w:val="00D606F4"/>
    <w:rsid w:val="01BD5D8E"/>
    <w:rsid w:val="024D6A25"/>
    <w:rsid w:val="02E73772"/>
    <w:rsid w:val="02F83289"/>
    <w:rsid w:val="03B0186C"/>
    <w:rsid w:val="04E73FDC"/>
    <w:rsid w:val="05B23194"/>
    <w:rsid w:val="065435B5"/>
    <w:rsid w:val="06950312"/>
    <w:rsid w:val="06CC69B0"/>
    <w:rsid w:val="07396928"/>
    <w:rsid w:val="07660257"/>
    <w:rsid w:val="07D16583"/>
    <w:rsid w:val="07F70A75"/>
    <w:rsid w:val="08094A64"/>
    <w:rsid w:val="082F249C"/>
    <w:rsid w:val="08D25B36"/>
    <w:rsid w:val="091D1A95"/>
    <w:rsid w:val="09A91C48"/>
    <w:rsid w:val="09AE0913"/>
    <w:rsid w:val="09CA209A"/>
    <w:rsid w:val="09EA5544"/>
    <w:rsid w:val="0A606A81"/>
    <w:rsid w:val="0A8057C6"/>
    <w:rsid w:val="0B2C2AC7"/>
    <w:rsid w:val="0B7A5DB7"/>
    <w:rsid w:val="0B9D2F03"/>
    <w:rsid w:val="0BC807B5"/>
    <w:rsid w:val="0C097ED9"/>
    <w:rsid w:val="0C25427A"/>
    <w:rsid w:val="0D8F7930"/>
    <w:rsid w:val="0E393E9D"/>
    <w:rsid w:val="0F167DBC"/>
    <w:rsid w:val="0F600462"/>
    <w:rsid w:val="0F672A4C"/>
    <w:rsid w:val="0F717167"/>
    <w:rsid w:val="0F756F6E"/>
    <w:rsid w:val="0F782FF1"/>
    <w:rsid w:val="0F9867B5"/>
    <w:rsid w:val="101414A2"/>
    <w:rsid w:val="11274E8E"/>
    <w:rsid w:val="11B60877"/>
    <w:rsid w:val="125A31CC"/>
    <w:rsid w:val="13437B1C"/>
    <w:rsid w:val="13747373"/>
    <w:rsid w:val="13924F45"/>
    <w:rsid w:val="13C65805"/>
    <w:rsid w:val="14177A27"/>
    <w:rsid w:val="1421048F"/>
    <w:rsid w:val="15CE77CF"/>
    <w:rsid w:val="1677514A"/>
    <w:rsid w:val="16F02BDF"/>
    <w:rsid w:val="18545D6E"/>
    <w:rsid w:val="185D3323"/>
    <w:rsid w:val="18AA16AE"/>
    <w:rsid w:val="18D047DA"/>
    <w:rsid w:val="18F67700"/>
    <w:rsid w:val="19801708"/>
    <w:rsid w:val="19AC2468"/>
    <w:rsid w:val="19BE3D62"/>
    <w:rsid w:val="1A567071"/>
    <w:rsid w:val="1AB15803"/>
    <w:rsid w:val="1B413F5E"/>
    <w:rsid w:val="1C0E655E"/>
    <w:rsid w:val="1C291D83"/>
    <w:rsid w:val="1C8E530F"/>
    <w:rsid w:val="1CE9659C"/>
    <w:rsid w:val="1DB134D6"/>
    <w:rsid w:val="1E405610"/>
    <w:rsid w:val="1F0A3AF0"/>
    <w:rsid w:val="1F986C22"/>
    <w:rsid w:val="201A6F02"/>
    <w:rsid w:val="20404729"/>
    <w:rsid w:val="20DF2F7C"/>
    <w:rsid w:val="20F71DA1"/>
    <w:rsid w:val="21764253"/>
    <w:rsid w:val="21CD53EA"/>
    <w:rsid w:val="22BD0059"/>
    <w:rsid w:val="22FC3F17"/>
    <w:rsid w:val="23640312"/>
    <w:rsid w:val="2383574D"/>
    <w:rsid w:val="23B139D4"/>
    <w:rsid w:val="23F80393"/>
    <w:rsid w:val="240D0B62"/>
    <w:rsid w:val="242621D7"/>
    <w:rsid w:val="245176BD"/>
    <w:rsid w:val="2454630C"/>
    <w:rsid w:val="249D29C4"/>
    <w:rsid w:val="24AB01F2"/>
    <w:rsid w:val="24B321D9"/>
    <w:rsid w:val="2551383F"/>
    <w:rsid w:val="25681C19"/>
    <w:rsid w:val="257F1CAD"/>
    <w:rsid w:val="25FE04A5"/>
    <w:rsid w:val="27444659"/>
    <w:rsid w:val="275717ED"/>
    <w:rsid w:val="27602338"/>
    <w:rsid w:val="276A7DD8"/>
    <w:rsid w:val="279A5EF5"/>
    <w:rsid w:val="27B42088"/>
    <w:rsid w:val="282124AC"/>
    <w:rsid w:val="28930975"/>
    <w:rsid w:val="28D141AA"/>
    <w:rsid w:val="29155142"/>
    <w:rsid w:val="29697C3A"/>
    <w:rsid w:val="29742D35"/>
    <w:rsid w:val="29EF57AE"/>
    <w:rsid w:val="2A5471F2"/>
    <w:rsid w:val="2A575754"/>
    <w:rsid w:val="2A8C0016"/>
    <w:rsid w:val="2B880B4C"/>
    <w:rsid w:val="2B891066"/>
    <w:rsid w:val="2B915223"/>
    <w:rsid w:val="2BAA3D5B"/>
    <w:rsid w:val="2BC54786"/>
    <w:rsid w:val="2C53293A"/>
    <w:rsid w:val="2CAD5DBD"/>
    <w:rsid w:val="2CB74F0E"/>
    <w:rsid w:val="2DD77A3F"/>
    <w:rsid w:val="2DDD22D2"/>
    <w:rsid w:val="2DEC3BCD"/>
    <w:rsid w:val="2EBA390A"/>
    <w:rsid w:val="2F3B58C9"/>
    <w:rsid w:val="2FCD5D02"/>
    <w:rsid w:val="2FD508A1"/>
    <w:rsid w:val="30090D1A"/>
    <w:rsid w:val="3081492D"/>
    <w:rsid w:val="30D418E3"/>
    <w:rsid w:val="30EA2E47"/>
    <w:rsid w:val="311D2213"/>
    <w:rsid w:val="311D78E7"/>
    <w:rsid w:val="311F0462"/>
    <w:rsid w:val="311F4B9C"/>
    <w:rsid w:val="31A932C7"/>
    <w:rsid w:val="32D57DF0"/>
    <w:rsid w:val="32E64EC2"/>
    <w:rsid w:val="3342718A"/>
    <w:rsid w:val="3374542A"/>
    <w:rsid w:val="337B06BF"/>
    <w:rsid w:val="33A240A8"/>
    <w:rsid w:val="33DB1718"/>
    <w:rsid w:val="354C18B2"/>
    <w:rsid w:val="35645C66"/>
    <w:rsid w:val="37A2673D"/>
    <w:rsid w:val="38112938"/>
    <w:rsid w:val="384D097C"/>
    <w:rsid w:val="390F77BD"/>
    <w:rsid w:val="396D0BE0"/>
    <w:rsid w:val="39BC7CF9"/>
    <w:rsid w:val="39F43D23"/>
    <w:rsid w:val="3A096B9F"/>
    <w:rsid w:val="3AC72E8A"/>
    <w:rsid w:val="3C417A04"/>
    <w:rsid w:val="3CCD0FF7"/>
    <w:rsid w:val="3CF8115D"/>
    <w:rsid w:val="3D103C0C"/>
    <w:rsid w:val="3D662478"/>
    <w:rsid w:val="3DCC7CF8"/>
    <w:rsid w:val="3E032470"/>
    <w:rsid w:val="3E4D5B21"/>
    <w:rsid w:val="3ED435B9"/>
    <w:rsid w:val="3EFC4526"/>
    <w:rsid w:val="3F6D1E1A"/>
    <w:rsid w:val="3F7E759C"/>
    <w:rsid w:val="3FF00F41"/>
    <w:rsid w:val="40624B04"/>
    <w:rsid w:val="407837C1"/>
    <w:rsid w:val="40830A4E"/>
    <w:rsid w:val="4085721E"/>
    <w:rsid w:val="40EF738F"/>
    <w:rsid w:val="41254BD4"/>
    <w:rsid w:val="4132368A"/>
    <w:rsid w:val="415954B6"/>
    <w:rsid w:val="41EE4BB0"/>
    <w:rsid w:val="422E4F62"/>
    <w:rsid w:val="42AC462A"/>
    <w:rsid w:val="42B47AA8"/>
    <w:rsid w:val="430324B1"/>
    <w:rsid w:val="43103C12"/>
    <w:rsid w:val="43772E17"/>
    <w:rsid w:val="43F64ECA"/>
    <w:rsid w:val="44026CC1"/>
    <w:rsid w:val="445610CB"/>
    <w:rsid w:val="4499568A"/>
    <w:rsid w:val="44B86D62"/>
    <w:rsid w:val="457773D9"/>
    <w:rsid w:val="45794E56"/>
    <w:rsid w:val="45823E7E"/>
    <w:rsid w:val="460F6B95"/>
    <w:rsid w:val="4614169F"/>
    <w:rsid w:val="46202DC1"/>
    <w:rsid w:val="4668188C"/>
    <w:rsid w:val="46DF64DA"/>
    <w:rsid w:val="47323442"/>
    <w:rsid w:val="479372E6"/>
    <w:rsid w:val="48380C55"/>
    <w:rsid w:val="485E5570"/>
    <w:rsid w:val="48C434A0"/>
    <w:rsid w:val="498475A9"/>
    <w:rsid w:val="49AB35D6"/>
    <w:rsid w:val="49AE5D45"/>
    <w:rsid w:val="49F96054"/>
    <w:rsid w:val="4A6C686E"/>
    <w:rsid w:val="4A9F125D"/>
    <w:rsid w:val="4AB02D90"/>
    <w:rsid w:val="4AEB0463"/>
    <w:rsid w:val="4B88792B"/>
    <w:rsid w:val="4C187483"/>
    <w:rsid w:val="4C78009D"/>
    <w:rsid w:val="4DAC5BEE"/>
    <w:rsid w:val="4DD03381"/>
    <w:rsid w:val="4E0C36A9"/>
    <w:rsid w:val="4F001146"/>
    <w:rsid w:val="4F217744"/>
    <w:rsid w:val="4F3D48AF"/>
    <w:rsid w:val="4F593A47"/>
    <w:rsid w:val="4F8767AB"/>
    <w:rsid w:val="501010DE"/>
    <w:rsid w:val="509D408D"/>
    <w:rsid w:val="511A09DD"/>
    <w:rsid w:val="515E56A4"/>
    <w:rsid w:val="517A1F92"/>
    <w:rsid w:val="51BC37FF"/>
    <w:rsid w:val="520F0151"/>
    <w:rsid w:val="52702EBF"/>
    <w:rsid w:val="536E6DDB"/>
    <w:rsid w:val="54085318"/>
    <w:rsid w:val="545E5C12"/>
    <w:rsid w:val="547626D3"/>
    <w:rsid w:val="55004564"/>
    <w:rsid w:val="553202AC"/>
    <w:rsid w:val="571E2DA6"/>
    <w:rsid w:val="57DC0EDF"/>
    <w:rsid w:val="57F04961"/>
    <w:rsid w:val="58611F66"/>
    <w:rsid w:val="58D60609"/>
    <w:rsid w:val="58DE6285"/>
    <w:rsid w:val="591120DA"/>
    <w:rsid w:val="592B6FFA"/>
    <w:rsid w:val="59D038AB"/>
    <w:rsid w:val="5A1F5BAB"/>
    <w:rsid w:val="5A3A41E6"/>
    <w:rsid w:val="5A862B84"/>
    <w:rsid w:val="5A9F6AA1"/>
    <w:rsid w:val="5B6F7488"/>
    <w:rsid w:val="5B742DFC"/>
    <w:rsid w:val="5BF0351B"/>
    <w:rsid w:val="5C073897"/>
    <w:rsid w:val="5C625A41"/>
    <w:rsid w:val="5CE54334"/>
    <w:rsid w:val="5CEF1EF7"/>
    <w:rsid w:val="5D1131FB"/>
    <w:rsid w:val="5D126C4F"/>
    <w:rsid w:val="5DA46FBD"/>
    <w:rsid w:val="5DB8369E"/>
    <w:rsid w:val="5E2B6836"/>
    <w:rsid w:val="5E6377B6"/>
    <w:rsid w:val="5E842522"/>
    <w:rsid w:val="5EE67F31"/>
    <w:rsid w:val="5F894C3F"/>
    <w:rsid w:val="5FCE3B52"/>
    <w:rsid w:val="600C798C"/>
    <w:rsid w:val="604C3DA9"/>
    <w:rsid w:val="60570036"/>
    <w:rsid w:val="60963FAF"/>
    <w:rsid w:val="60BA5F11"/>
    <w:rsid w:val="60DD3BA3"/>
    <w:rsid w:val="61C370C3"/>
    <w:rsid w:val="61E74804"/>
    <w:rsid w:val="623E4DE1"/>
    <w:rsid w:val="629C3C07"/>
    <w:rsid w:val="62B740B5"/>
    <w:rsid w:val="62F12683"/>
    <w:rsid w:val="64327B7D"/>
    <w:rsid w:val="64BD6323"/>
    <w:rsid w:val="67BC4868"/>
    <w:rsid w:val="67BD0F1F"/>
    <w:rsid w:val="68D81258"/>
    <w:rsid w:val="69134514"/>
    <w:rsid w:val="6A047789"/>
    <w:rsid w:val="6B4018BC"/>
    <w:rsid w:val="6C2B32EF"/>
    <w:rsid w:val="6C8721BB"/>
    <w:rsid w:val="6D016B7C"/>
    <w:rsid w:val="6D8034C2"/>
    <w:rsid w:val="6DC2456A"/>
    <w:rsid w:val="6DD165C6"/>
    <w:rsid w:val="6E0D2875"/>
    <w:rsid w:val="6E294C25"/>
    <w:rsid w:val="6E2B0821"/>
    <w:rsid w:val="6E3D38F8"/>
    <w:rsid w:val="6E860E81"/>
    <w:rsid w:val="6ECE7C70"/>
    <w:rsid w:val="6F892923"/>
    <w:rsid w:val="6F93655C"/>
    <w:rsid w:val="706D7BF0"/>
    <w:rsid w:val="70B94455"/>
    <w:rsid w:val="71084F39"/>
    <w:rsid w:val="71385951"/>
    <w:rsid w:val="716B1D9F"/>
    <w:rsid w:val="71854EA6"/>
    <w:rsid w:val="721D4FCC"/>
    <w:rsid w:val="72304BB4"/>
    <w:rsid w:val="72346FBF"/>
    <w:rsid w:val="72402801"/>
    <w:rsid w:val="734E173F"/>
    <w:rsid w:val="73794FB0"/>
    <w:rsid w:val="73880E33"/>
    <w:rsid w:val="74474DAE"/>
    <w:rsid w:val="749B1E96"/>
    <w:rsid w:val="74BD59BE"/>
    <w:rsid w:val="750D77EA"/>
    <w:rsid w:val="752F439D"/>
    <w:rsid w:val="756E432A"/>
    <w:rsid w:val="76D237CC"/>
    <w:rsid w:val="77550132"/>
    <w:rsid w:val="77976315"/>
    <w:rsid w:val="7813268E"/>
    <w:rsid w:val="78277926"/>
    <w:rsid w:val="78B53FD7"/>
    <w:rsid w:val="79D75E1C"/>
    <w:rsid w:val="79EF0C43"/>
    <w:rsid w:val="7A050B83"/>
    <w:rsid w:val="7A105C81"/>
    <w:rsid w:val="7A4F54C0"/>
    <w:rsid w:val="7B370C89"/>
    <w:rsid w:val="7C425BC7"/>
    <w:rsid w:val="7C4D6A7F"/>
    <w:rsid w:val="7C5535D4"/>
    <w:rsid w:val="7C6A4892"/>
    <w:rsid w:val="7C956E4A"/>
    <w:rsid w:val="7CBB421C"/>
    <w:rsid w:val="7D454D12"/>
    <w:rsid w:val="7D532FBB"/>
    <w:rsid w:val="7D635340"/>
    <w:rsid w:val="7E2B14D6"/>
    <w:rsid w:val="7E8D0B0A"/>
    <w:rsid w:val="7F5A58E4"/>
    <w:rsid w:val="7F722DF4"/>
    <w:rsid w:val="7F923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List"/>
    <w:basedOn w:val="1"/>
    <w:qFormat/>
    <w:uiPriority w:val="0"/>
    <w:pPr>
      <w:keepNext w:val="0"/>
      <w:keepLines w:val="0"/>
      <w:widowControl w:val="0"/>
      <w:suppressLineNumbers w:val="0"/>
      <w:adjustRightInd w:val="0"/>
      <w:snapToGrid w:val="0"/>
      <w:spacing w:before="0" w:beforeAutospacing="0" w:after="0" w:afterAutospacing="0" w:line="360" w:lineRule="auto"/>
      <w:ind w:left="200" w:right="0" w:hanging="200" w:hangingChars="200"/>
      <w:contextualSpacing/>
      <w:jc w:val="both"/>
    </w:pPr>
    <w:rPr>
      <w:rFonts w:hint="eastAsia" w:ascii="宋体" w:hAnsi="Times New Roman" w:eastAsia="宋体" w:cs="Times New Roman"/>
      <w:snapToGrid/>
      <w:kern w:val="0"/>
      <w:sz w:val="24"/>
      <w:szCs w:val="20"/>
      <w:lang w:val="en-US" w:eastAsia="zh-CN" w:bidi="ar"/>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character" w:customStyle="1" w:styleId="7">
    <w:name w:val="font11"/>
    <w:basedOn w:val="6"/>
    <w:qFormat/>
    <w:uiPriority w:val="0"/>
    <w:rPr>
      <w:rFonts w:hint="eastAsia" w:ascii="宋体" w:hAnsi="宋体" w:eastAsia="宋体" w:cs="宋体"/>
      <w:color w:val="000000"/>
      <w:sz w:val="22"/>
      <w:szCs w:val="22"/>
      <w:u w:val="none"/>
    </w:rPr>
  </w:style>
  <w:style w:type="character" w:customStyle="1" w:styleId="8">
    <w:name w:val="font121"/>
    <w:basedOn w:val="6"/>
    <w:qFormat/>
    <w:uiPriority w:val="0"/>
    <w:rPr>
      <w:rFonts w:ascii="方正仿宋_GBK" w:hAnsi="方正仿宋_GBK" w:eastAsia="方正仿宋_GBK" w:cs="方正仿宋_GBK"/>
      <w:color w:val="2D3133"/>
      <w:sz w:val="16"/>
      <w:szCs w:val="16"/>
      <w:u w:val="none"/>
    </w:rPr>
  </w:style>
  <w:style w:type="character" w:customStyle="1" w:styleId="9">
    <w:name w:val="font31"/>
    <w:basedOn w:val="6"/>
    <w:qFormat/>
    <w:uiPriority w:val="0"/>
    <w:rPr>
      <w:rFonts w:hint="default" w:ascii="Times New Roman" w:hAnsi="Times New Roman" w:cs="Times New Roman"/>
      <w:color w:val="2D3133"/>
      <w:sz w:val="16"/>
      <w:szCs w:val="16"/>
      <w:u w:val="none"/>
    </w:rPr>
  </w:style>
  <w:style w:type="character" w:customStyle="1" w:styleId="10">
    <w:name w:val="font71"/>
    <w:basedOn w:val="6"/>
    <w:qFormat/>
    <w:uiPriority w:val="0"/>
    <w:rPr>
      <w:rFonts w:hint="eastAsia" w:ascii="方正仿宋_GBK" w:hAnsi="方正仿宋_GBK" w:eastAsia="方正仿宋_GBK" w:cs="方正仿宋_GBK"/>
      <w:color w:val="2D3133"/>
      <w:sz w:val="12"/>
      <w:szCs w:val="12"/>
      <w:u w:val="none"/>
    </w:rPr>
  </w:style>
  <w:style w:type="character" w:customStyle="1" w:styleId="11">
    <w:name w:val="font61"/>
    <w:basedOn w:val="6"/>
    <w:qFormat/>
    <w:uiPriority w:val="0"/>
    <w:rPr>
      <w:rFonts w:hint="eastAsia" w:ascii="方正仿宋_GBK" w:hAnsi="方正仿宋_GBK" w:eastAsia="方正仿宋_GBK" w:cs="方正仿宋_GBK"/>
      <w:color w:val="42484B"/>
      <w:sz w:val="12"/>
      <w:szCs w:val="12"/>
      <w:u w:val="none"/>
    </w:rPr>
  </w:style>
  <w:style w:type="character" w:customStyle="1" w:styleId="12">
    <w:name w:val="font131"/>
    <w:basedOn w:val="6"/>
    <w:qFormat/>
    <w:uiPriority w:val="0"/>
    <w:rPr>
      <w:rFonts w:hint="eastAsia" w:ascii="方正仿宋_GBK" w:hAnsi="方正仿宋_GBK" w:eastAsia="方正仿宋_GBK" w:cs="方正仿宋_GBK"/>
      <w:color w:val="2D3133"/>
      <w:sz w:val="20"/>
      <w:szCs w:val="20"/>
      <w:u w:val="none"/>
      <w:vertAlign w:val="subscript"/>
    </w:rPr>
  </w:style>
  <w:style w:type="character" w:customStyle="1" w:styleId="13">
    <w:name w:val="font81"/>
    <w:basedOn w:val="6"/>
    <w:qFormat/>
    <w:uiPriority w:val="0"/>
    <w:rPr>
      <w:rFonts w:hint="eastAsia" w:ascii="方正仿宋_GBK" w:hAnsi="方正仿宋_GBK" w:eastAsia="方正仿宋_GBK" w:cs="方正仿宋_GBK"/>
      <w:color w:val="181C1C"/>
      <w:sz w:val="12"/>
      <w:szCs w:val="12"/>
      <w:u w:val="none"/>
    </w:rPr>
  </w:style>
  <w:style w:type="character" w:customStyle="1" w:styleId="14">
    <w:name w:val="font91"/>
    <w:basedOn w:val="6"/>
    <w:qFormat/>
    <w:uiPriority w:val="0"/>
    <w:rPr>
      <w:rFonts w:hint="eastAsia" w:ascii="方正仿宋_GBK" w:hAnsi="方正仿宋_GBK" w:eastAsia="方正仿宋_GBK" w:cs="方正仿宋_GBK"/>
      <w:color w:val="181C1C"/>
      <w:sz w:val="15"/>
      <w:szCs w:val="15"/>
      <w:u w:val="none"/>
    </w:rPr>
  </w:style>
  <w:style w:type="character" w:customStyle="1" w:styleId="15">
    <w:name w:val="font141"/>
    <w:basedOn w:val="6"/>
    <w:qFormat/>
    <w:uiPriority w:val="0"/>
    <w:rPr>
      <w:rFonts w:hint="eastAsia" w:ascii="方正仿宋_GBK" w:hAnsi="方正仿宋_GBK" w:eastAsia="方正仿宋_GBK" w:cs="方正仿宋_GBK"/>
      <w:color w:val="2D3133"/>
      <w:sz w:val="15"/>
      <w:szCs w:val="15"/>
      <w:u w:val="none"/>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5991</Words>
  <Characters>6696</Characters>
  <Lines>0</Lines>
  <Paragraphs>0</Paragraphs>
  <TotalTime>1</TotalTime>
  <ScaleCrop>false</ScaleCrop>
  <LinksUpToDate>false</LinksUpToDate>
  <CharactersWithSpaces>6738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2025-09-12T03:11:00Z</dcterms:created>
  <dc:creator>Administrator</dc:creator>
  <cp:lastModifiedBy>Administrator</cp:lastModifiedBy>
  <cp:lastPrinted>2026-06-27T04:13:00Z</cp:lastPrinted>
  <dcterms:modified xsi:type="dcterms:W3CDTF">2026-08-28T12:27:54Z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B74EEF15F6104CDBBB2198B4890E85A1</vt:lpwstr>
  </property>
</Properties>
</file>