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ascii="微软雅黑" w:eastAsia="微软雅黑"/>
          <w:sz w:val="44"/>
          <w:szCs w:val="44"/>
        </w:rPr>
      </w:pPr>
    </w:p>
    <w:p>
      <w:pPr>
        <w:pStyle w:val="2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微软雅黑" w:eastAsia="微软雅黑"/>
          <w:sz w:val="44"/>
          <w:szCs w:val="44"/>
        </w:rPr>
      </w:pPr>
      <w:r>
        <w:rPr>
          <w:rFonts w:hint="eastAsia" w:ascii="微软雅黑" w:eastAsia="微软雅黑"/>
          <w:sz w:val="44"/>
          <w:szCs w:val="44"/>
        </w:rPr>
        <w:t>麦盖提县巴扎结米镇2026年基础设施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微软雅黑" w:eastAsia="微软雅黑"/>
          <w:sz w:val="44"/>
          <w:szCs w:val="44"/>
        </w:rPr>
      </w:pPr>
      <w:r>
        <w:rPr>
          <w:rFonts w:hint="eastAsia" w:ascii="微软雅黑" w:eastAsia="微软雅黑"/>
          <w:sz w:val="44"/>
          <w:szCs w:val="44"/>
        </w:rPr>
        <w:t>建设项目实施方案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ascii="微软雅黑" w:eastAsia="微软雅黑"/>
          <w:sz w:val="44"/>
          <w:szCs w:val="4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ascii="微软雅黑" w:eastAsia="微软雅黑"/>
          <w:sz w:val="44"/>
          <w:szCs w:val="4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ascii="微软雅黑" w:eastAsia="微软雅黑"/>
          <w:sz w:val="44"/>
          <w:szCs w:val="4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ascii="微软雅黑" w:eastAsia="微软雅黑"/>
          <w:sz w:val="44"/>
          <w:szCs w:val="4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ascii="微软雅黑" w:eastAsia="微软雅黑"/>
          <w:sz w:val="44"/>
          <w:szCs w:val="4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ascii="微软雅黑" w:eastAsia="微软雅黑"/>
          <w:sz w:val="44"/>
          <w:szCs w:val="4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ascii="微软雅黑" w:eastAsia="微软雅黑"/>
          <w:sz w:val="44"/>
          <w:szCs w:val="4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ascii="微软雅黑" w:eastAsia="微软雅黑"/>
          <w:sz w:val="44"/>
          <w:szCs w:val="4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2877" w:leftChars="608" w:hanging="1600" w:hangingChars="500"/>
        <w:textAlignment w:val="auto"/>
        <w:rPr>
          <w:rFonts w:ascii="方正黑体简体" w:hAnsi="方正黑体简体" w:eastAsia="方正黑体简体"/>
          <w:sz w:val="32"/>
          <w:szCs w:val="32"/>
        </w:rPr>
      </w:pPr>
      <w:r>
        <w:rPr>
          <w:rFonts w:hint="eastAsia" w:ascii="方正黑体简体" w:hAnsi="方正黑体简体" w:eastAsia="方正黑体简体"/>
          <w:sz w:val="32"/>
          <w:szCs w:val="32"/>
        </w:rPr>
        <w:t>项目名称：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麦盖提县巴扎结米镇2026年基础设施建设项目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/>
          <w:sz w:val="32"/>
          <w:szCs w:val="32"/>
        </w:rPr>
        <w:t>项目主管单位：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麦盖提县农业农村局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/>
          <w:sz w:val="32"/>
          <w:szCs w:val="32"/>
        </w:rPr>
        <w:t>项目实施单位：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巴扎结米镇人民政府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1280" w:firstLineChars="400"/>
        <w:textAlignment w:val="auto"/>
        <w:rPr>
          <w:rFonts w:hint="default" w:ascii="方正仿宋_GBK" w:hAnsi="方正仿宋_GBK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简体" w:hAnsi="方正黑体简体" w:eastAsia="方正黑体简体"/>
          <w:sz w:val="32"/>
          <w:szCs w:val="32"/>
          <w:lang w:val="en-US" w:eastAsia="zh-CN"/>
        </w:rPr>
        <w:t>编制时间：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2025年10月10日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1280" w:firstLineChars="400"/>
        <w:textAlignment w:val="auto"/>
        <w:rPr>
          <w:rFonts w:ascii="方正黑体简体" w:hAnsi="方正黑体简体" w:eastAsia="方正黑体简体"/>
          <w:sz w:val="32"/>
          <w:szCs w:val="32"/>
        </w:rPr>
      </w:pPr>
    </w:p>
    <w:p>
      <w:pPr>
        <w:pStyle w:val="2"/>
        <w:rPr>
          <w:rFonts w:hint="eastAsia" w:eastAsia="方正黑体简体"/>
          <w:lang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1280" w:firstLineChars="400"/>
        <w:textAlignment w:val="auto"/>
        <w:rPr>
          <w:rFonts w:ascii="方正黑体简体" w:hAnsi="方正黑体简体" w:eastAsia="方正黑体简体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240" w:afterLines="100" w:line="570" w:lineRule="exact"/>
        <w:jc w:val="both"/>
        <w:textAlignment w:val="auto"/>
        <w:rPr>
          <w:rFonts w:hint="eastAsia" w:ascii="微软雅黑" w:eastAsia="微软雅黑"/>
          <w:sz w:val="44"/>
          <w:szCs w:val="4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240" w:afterLines="100" w:line="570" w:lineRule="exact"/>
        <w:jc w:val="center"/>
        <w:textAlignment w:val="auto"/>
        <w:rPr>
          <w:rFonts w:hint="eastAsia" w:ascii="微软雅黑" w:hAnsi="方正黑体简体" w:eastAsia="微软雅黑"/>
          <w:sz w:val="36"/>
          <w:szCs w:val="36"/>
          <w:lang w:val="en-US" w:eastAsia="zh-CN"/>
        </w:rPr>
      </w:pPr>
      <w:r>
        <w:rPr>
          <w:rFonts w:hint="eastAsia" w:ascii="微软雅黑" w:hAnsi="方正黑体简体" w:eastAsia="微软雅黑"/>
          <w:sz w:val="36"/>
          <w:szCs w:val="36"/>
          <w:lang w:val="en-US" w:eastAsia="zh-CN"/>
        </w:rPr>
        <w:t>麦盖提县巴扎结米镇2026年基础设施建设项目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240" w:afterLines="100" w:line="570" w:lineRule="exact"/>
        <w:jc w:val="center"/>
        <w:textAlignment w:val="auto"/>
        <w:rPr>
          <w:rFonts w:ascii="微软雅黑" w:hAnsi="方正黑体简体" w:eastAsia="微软雅黑"/>
          <w:sz w:val="36"/>
          <w:szCs w:val="36"/>
        </w:rPr>
      </w:pPr>
      <w:r>
        <w:rPr>
          <w:rFonts w:hint="eastAsia" w:ascii="微软雅黑" w:hAnsi="方正黑体简体" w:eastAsia="微软雅黑"/>
          <w:sz w:val="36"/>
          <w:szCs w:val="36"/>
        </w:rPr>
        <w:t>实施方案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outlineLvl w:val="0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1.基本情况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1.1项目库编号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MGT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-2026-017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1.2项目名称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麦盖提县巴扎结米镇2026年基础设施建设项目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1.3项目主管单位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麦盖提县农业农村局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，陈建丽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1.4项目实施单位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巴扎结米镇人民政府，努尔买买提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·吐尔逊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1.5项目建设性质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新建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1.6项目类别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乡村建设行动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1.7 项目建设内容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1、建设道路10799平方米。其中:沥青道路5466平方米、混凝土路面985平方米、砂砾路面4348平方米;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2、建设给水管道5020米，其中:PPR管(DN110)3690米、PPR管(DN25)800米、PPR管(DN20)530米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3、建设排水管道3536米，其中:HDPE管(DN300)1040米、HDPE管(DN200)1966米、PVC-U管(DN100)530米: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4、建设电力系统2套，其中:(1)500kva变压器1台，线缆JLYJ-4*95电缆1050米、YJVHD-3*16电缆4650米、YJVHD-5*16电缆2330米，(2)400kva变压器1台及配套电缆3000米;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5、实施土地平整12000立方米。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1.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项目建设期限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本项目计划于2026年4月开工，2026年9月完工。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1.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项目建设地点及基本情况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/>
          <w:spacing w:val="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spacing w:val="6"/>
          <w:kern w:val="0"/>
          <w:sz w:val="32"/>
          <w:szCs w:val="32"/>
          <w:highlight w:val="none"/>
          <w:lang w:val="en-US" w:eastAsia="zh-CN" w:bidi="ar-SA"/>
        </w:rPr>
        <w:t>1.9.1项目建设地点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巴扎结米镇古勒巴格（1）村、巴扎结米镇阔什艾肯村（15）村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spacing w:val="6"/>
          <w:kern w:val="0"/>
          <w:sz w:val="32"/>
          <w:szCs w:val="32"/>
          <w:highlight w:val="none"/>
          <w:lang w:val="en-US" w:eastAsia="zh-CN" w:bidi="ar-SA"/>
        </w:rPr>
        <w:t>1.9.2基本情况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巴扎结米镇古勒巴格村位于麦盖提县城北面、距县城0.5公里、全村辖4个小组、10个片区、总面积7平方公里。辖区人口810户2975人，其中一般户648户2237人，脱贫户162户608人，脱贫不稳定户7户16人、监测户40户130人，其中(新增边缘易致贫户2户7人)。耕地总面积4104.09亩、其中：退耕还林552亩、粮食面积928亩、设施农业25座。人均耕地面积1.4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巴扎结米镇阔什艾肯村位于麦盖提县城东面、距县城0.5公里、全村辖3个小组、9个片区、总面积6.5平方公里。辖区人口420户1657人，其中一般户309户1205人，脱贫户63户244人，脱贫不稳定户5户23人、监测户48户208人其中(新增边缘易致贫户1户4人)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highlight w:val="none"/>
          <w:lang w:val="en-US" w:eastAsia="zh-CN"/>
        </w:rPr>
        <w:t>。耕地总面积3302亩、其中：退耕还林268亩、粮食面积929.53亩、设施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农业73座。人均耕地面积1.4亩。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2.项目立项情况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2.1项目建设依据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项目的核心目标是通过系统化的基础设施建设，全面提升巴扎结米镇古勒巴格村、阔什艾肯村的生产生活条件，推动区域经济社会的可持续发展。项目将重点解决当前电力供应不足、供水排水系统不完善交通条件落后等问题，为村民提供更加安全、便捷的生活环境。通过新建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500kva、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400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kva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变压器及配套电缆线，确保电力供应的稳定性和可靠性，满足未来村庄发展的用电需求。供水管网和排水管网的建设将有效改善村民的用水质量，提升污水处理能力，减少环境污染:保障生态平衡。道路建设和土地平整工程将优化村庄交通网络，提升通行效率，促进农产品流通和外部资源的引入。同时，项目的实施将带动当地就业，增强村民的获得感和幸福感，为乡村振兴战略的实施奠定坚实基础。最终，项目将通过基础设施的全面提升，推动巴扎结米镇向现代化、宜居化、生态化的新型农村社区迈进，推进项目区人员生活保障，项目总投资820万元，全部由乡村振兴衔接资金投资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2.2立项批复的建设内容及规模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新建农村道路1746米，宽度4米；给水管道5020米；排水管道3536米；建设电力系统2套；土地平整12000立方米。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2.3项目建设的必要性和可行性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随着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人口的增长和经济的发展，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现有住宅区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布局无法满足现代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发展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功能的要求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为了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促进乡村发展，深入贯彻习近平新时代中国特色社会主义思想和党的二十大精神，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改善公共服务设施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，为建设社会主义新农村奠定了良好的基础。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2.4综合条件评价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3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自然条件。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项目区气候属于温带大陆性干旱气候，热量丰富，日照充足，昼夜温差大，四季分明，雨量稀少，气候干燥，日照长，蒸发量大，晴天天气多，春季升温迅速，秋季降温较快，适宜于农业生产发展。 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3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交通条件。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本次施工采用公路运输作为项目实施的交通运输方式，项目区内外道路纵横交错，村村相通，交通便利，对外交通较为完善，为项目区建设的各类机械运输提供了便利条件。 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outlineLvl w:val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其他条件。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项目区内通讯设备较好，无线电通讯覆盖全项目区，对外联系方便快捷，有移动、联通等通讯网点。为工程实施提供了良好的通讯条件。施工用水可临近接通，施工用电采用农村电网和施工单位自备柴油发电机结合利用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outlineLvl w:val="0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3.施工设计（设计或技术方案）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3.1项目设计（技术依据）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  <w:t>《民用建筑设计统一标准》GB50352-2019;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  <w:t>《建筑给水排水设计标准》GB50015-2019;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  <w:t>《室外排水设计标准》GB50014-2021: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  <w:t>《给排水管道工程施工及验收规范》GB50268-2008: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  <w:t>《给排水构筑物工程施工及验收规范》GB50141-2008.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  <w:t>埋地聚乙烯排水管管道工程技术规程(PE)》;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  <w:t>埋地排水用钢带增强聚乙烯螺旋波纹管道工程技术规程》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  <w:t>《埋地用聚乙烯(PE)结构壁管道系统第2部分:聚乙烯缠绕结构壁管管材》;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highlight w:val="none"/>
          <w:lang w:val="en-US" w:eastAsia="zh-CN" w:bidi="ar"/>
        </w:rPr>
        <w:t>GB 50052《供配电系统设计规范》；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highlight w:val="none"/>
          <w:lang w:val="en-US" w:eastAsia="zh-CN" w:bidi="ar"/>
        </w:rPr>
        <w:t>GB 50054《低压配电设计规范》；</w:t>
      </w:r>
    </w:p>
    <w:p>
      <w:pPr>
        <w:keepNext w:val="0"/>
        <w:keepLines w:val="0"/>
        <w:widowControl/>
        <w:suppressLineNumbers w:val="0"/>
        <w:jc w:val="left"/>
        <w:rPr>
          <w:rFonts w:ascii="方正仿宋_GBK" w:hAnsi="方正仿宋_GBK" w:eastAsia="方正仿宋_GBK" w:cs="方正仿宋_GBK"/>
          <w:color w:val="000000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highlight w:val="none"/>
          <w:lang w:val="en-US" w:eastAsia="zh-CN" w:bidi="ar"/>
        </w:rPr>
        <w:t>GB 50096《住宅设计规范》；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highlight w:val="none"/>
          <w:lang w:val="en-US" w:eastAsia="zh-CN" w:bidi="ar"/>
        </w:rPr>
        <w:t>GB 50180《城市居住区规划设计标准》；</w:t>
      </w:r>
    </w:p>
    <w:p>
      <w:pPr>
        <w:keepNext w:val="0"/>
        <w:keepLines w:val="0"/>
        <w:widowControl/>
        <w:suppressLineNumbers w:val="0"/>
        <w:jc w:val="left"/>
        <w:rPr>
          <w:rFonts w:ascii="方正仿宋_GBK" w:hAnsi="方正仿宋_GBK" w:eastAsia="方正仿宋_GBK" w:cs="方正仿宋_GBK"/>
          <w:color w:val="000000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highlight w:val="none"/>
          <w:lang w:val="en-US" w:eastAsia="zh-CN" w:bidi="ar"/>
        </w:rPr>
        <w:t>CJJ 37《城市道路工程设计规范》；</w:t>
      </w:r>
    </w:p>
    <w:p>
      <w:pPr>
        <w:keepNext w:val="0"/>
        <w:keepLines w:val="0"/>
        <w:widowControl/>
        <w:suppressLineNumbers w:val="0"/>
        <w:jc w:val="left"/>
        <w:rPr>
          <w:highlight w:val="none"/>
        </w:rPr>
      </w:pPr>
      <w:r>
        <w:rPr>
          <w:rFonts w:ascii="方正仿宋_GBK" w:hAnsi="方正仿宋_GBK" w:eastAsia="方正仿宋_GBK" w:cs="方正仿宋_GBK"/>
          <w:color w:val="000000"/>
          <w:kern w:val="0"/>
          <w:sz w:val="30"/>
          <w:szCs w:val="30"/>
          <w:highlight w:val="none"/>
          <w:lang w:val="en-US" w:eastAsia="zh-CN" w:bidi="ar"/>
        </w:rPr>
        <w:t>《公路水泥混凝土路面施工技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highlight w:val="none"/>
          <w:lang w:val="en-US" w:eastAsia="zh-CN" w:bidi="ar"/>
        </w:rPr>
        <w:t>术规范》。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highlight w:val="none"/>
        </w:rPr>
        <w:t xml:space="preserve"> 其他国家、地方相关法规、规范。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3.2建设内容、规模、标准、投资设计等明细资料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建设沥青道路5466平方米、混凝土路面985平方米、砂砾路面4348平方米;建设给水管道PPR管(DN110)3690米、PPR管(DN25)800米、PPR管(DN20)530米；建设排水管道HDPE管(DN300)1040米、HDPE管(DN200)1966米、PVC-U管(DN100)530米；500kva变压器1台，线缆JLYJ-4*95电缆1050米、YJVHD-3*16电缆4650米、YJVHD-5*16电缆2330米、400kva变压器1台及配套电缆3000米;土地平整12000立方米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outlineLvl w:val="0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4.投资概算和资金筹措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4.1项目总投资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本项目计划总投资为820万元，其中:工程费用732.17万元、工程建设其他费用71.75万元、基本预备费16.08万元。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28"/>
          <w:szCs w:val="28"/>
          <w:lang w:val="en-US" w:eastAsia="zh-C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28"/>
          <w:szCs w:val="28"/>
          <w:highlight w:val="none"/>
          <w:lang w:val="en-US" w:eastAsia="zh-CN"/>
        </w:rPr>
        <w:t>项目总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28"/>
          <w:szCs w:val="28"/>
          <w:highlight w:val="none"/>
        </w:rPr>
        <w:t>投资估算表</w:t>
      </w:r>
    </w:p>
    <w:tbl>
      <w:tblPr>
        <w:tblStyle w:val="8"/>
        <w:tblW w:w="98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905"/>
        <w:gridCol w:w="1335"/>
        <w:gridCol w:w="975"/>
        <w:gridCol w:w="1095"/>
        <w:gridCol w:w="975"/>
        <w:gridCol w:w="1140"/>
        <w:gridCol w:w="13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6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0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工程项目或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费用名称</w:t>
            </w:r>
          </w:p>
        </w:tc>
        <w:tc>
          <w:tcPr>
            <w:tcW w:w="133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工程费</w:t>
            </w:r>
          </w:p>
        </w:tc>
        <w:tc>
          <w:tcPr>
            <w:tcW w:w="97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购置费</w:t>
            </w:r>
          </w:p>
        </w:tc>
        <w:tc>
          <w:tcPr>
            <w:tcW w:w="109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工程费</w:t>
            </w:r>
          </w:p>
        </w:tc>
        <w:tc>
          <w:tcPr>
            <w:tcW w:w="97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费用</w:t>
            </w:r>
          </w:p>
        </w:tc>
        <w:tc>
          <w:tcPr>
            <w:tcW w:w="114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36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占总投资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比例（%）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6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工程费用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520.8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211.37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732.17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74.76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131.01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道路工程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41.93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41.93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电气设备安装工程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56.24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市政管网工程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市政土石方工程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601.16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道路工程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172.19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172.19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电气设备安装工程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155.13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市政管网工程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33.97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33.97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市政土石方工程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152.75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152.75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场地回填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设备购置费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工程建设其他费用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71.75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71.75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三类费用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16.08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预备费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16.08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基本预备费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16.08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价差预备费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固定资产投资方向调节税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建设期贷款利息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铺底流动资金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静态总投资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动态总投资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建设项目概算总投资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</w:tbl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outlineLvl w:val="1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highlight w:val="none"/>
        </w:rPr>
        <w:t>4.2资金筹措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资金来源为自治区财政衔接推进乡村振兴补助资金(巩固拓展脱贫攻坚成果和乡村振兴任务)。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highlight w:val="none"/>
        </w:rPr>
        <w:t>4.3资金使用和管理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衔接资金使用和管理应按照《中央财政衔接推进乡村振兴补助资金管理办法》（财农〔2021〕19号）、《新疆维吾尔自治区财政资金衔接推进乡村振兴补助资金（巩固拓展脱贫攻坚成果和乡村振兴任务）项目管理办法（暂行）》（新乡振〔2021〕32号）、《新疆维吾尔自治区财政衔接推进乡村振兴补助资金管理办法》（新财规〔2021〕11号）等相关文件要求。项目实施单位依据项目计划和实施进度,提出支付申请并提供相关真实、合规的证明材料，制定资金使用计划，经审核后按照国库集中支付管理制度的规定和程序及时支付资金。从国库直接支付到衔接资金项目承担的企业、商户或脱贫户、监测对象个人。严格执行专款专用，杜绝挤占、挪用项目资金，严禁虚列支出、以拨代支虚增项目进度。项目资金支付后,在审计或检查中发现资金使用存在违法违规问题的，应及时追回、收回。对资金使用严格监管，防止资金使用不精准、虚报冒领。为加快资金支出进度，衔接资金项目可实行预付款制，预付资金总额合计原则上不超过应付该项目资金总额的50%，其中:基础建设类项目预付资金原则上不超过合同金额的30%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outlineLvl w:val="0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5.项目实施保障措施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jc w:val="both"/>
        <w:textAlignment w:val="auto"/>
        <w:outlineLvl w:val="1"/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32"/>
          <w:szCs w:val="32"/>
          <w:highlight w:val="none"/>
          <w:lang w:val="en-US" w:eastAsia="zh-CN"/>
        </w:rPr>
      </w:pPr>
      <w:bookmarkStart w:id="0" w:name="_Toc12124"/>
      <w:bookmarkStart w:id="1" w:name="_Toc13444"/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32"/>
          <w:szCs w:val="32"/>
          <w:highlight w:val="none"/>
          <w:lang w:val="en-US" w:eastAsia="zh-CN"/>
        </w:rPr>
        <w:t>5.1项目管理、监督检查制度</w:t>
      </w:r>
      <w:bookmarkEnd w:id="0"/>
      <w:bookmarkEnd w:id="1"/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根据《关于印发&lt;新疆维吾尔自治区财政衔接推进乡村振兴补助资金(巩固拓展脱贫攻坚成果和乡村振兴任务)项目管理办法(暂行)&gt;的通知》（新乡振〔2021〕32号）文件要求，为保质保量按时完成该项目，需实行目标管理责任制，在实施过程中严格按照进行管理和监督，确保保质保量的完成工作。领导小组是项目管理的第一责任主体，组长是第一责任人，全面负责资金和项目管理、绩效评价、监督检查等各项工作，为保质保量按时完成该项目，实行目标管理责任制，明确领导小组各成员的职责，全面推行项目建设责任制、项目法人责任制，建立健全扶贫资产公开公示、定期巡查、绩效考核、结果反馈等检查机制，对项目经营运行、收益分配、后期管护等环节进行全程监督，保障扶贫资产安全有效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jc w:val="both"/>
        <w:textAlignment w:val="auto"/>
        <w:outlineLvl w:val="1"/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32"/>
          <w:szCs w:val="32"/>
          <w:highlight w:val="none"/>
          <w:lang w:val="en-US" w:eastAsia="zh-CN"/>
        </w:rPr>
        <w:t>5.2验收管理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遵照属地管理、“谁审批、谁验收”的原则，一是先由项目施工方向巴扎结米镇人民政府申请；二是由巴扎结米镇人民政府邀请相关单位对项目建设内容进行验收；三是建立并完善项目档案。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jc w:val="both"/>
        <w:textAlignment w:val="auto"/>
        <w:outlineLvl w:val="1"/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32"/>
          <w:szCs w:val="32"/>
          <w:highlight w:val="none"/>
          <w:lang w:val="en-US" w:eastAsia="zh-CN"/>
        </w:rPr>
        <w:t>5.3运营模式和运营管理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按照“谁使用、谁管理、谁负责”的原则，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项目建成后，固定资产归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古勒巴格村、阔什艾肯村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所有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，并督促其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制定项目资产后期管护制度，明确项目后期管护主体和工作责任。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outlineLvl w:val="0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6.项目实施进度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6.1项目实施进度计划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项目实施期为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个月，即202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月-202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月，实施进度如下：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202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1月-3月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编制完成项目实施方案，完成项目立项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项目招投标；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202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-2026年7月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完成项目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实施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内容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2026年8月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完成竣工验收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成审核结算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kern w:val="2"/>
          <w:sz w:val="32"/>
          <w:szCs w:val="32"/>
          <w:highlight w:val="none"/>
        </w:rPr>
        <w:t>完成项目档案整理归档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6.2招标方案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保证工程质量，由项目涉及乡镇按公开招标方式招标，坚持公开、公平、公正和诚实信用的原则，严格执行有关法律、法规及规定，确定中标施工单位、监理单位。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jc w:val="both"/>
        <w:textAlignment w:val="auto"/>
        <w:outlineLvl w:val="1"/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sz w:val="32"/>
          <w:szCs w:val="32"/>
          <w:highlight w:val="none"/>
          <w:lang w:val="en-US" w:eastAsia="zh-CN"/>
        </w:rPr>
        <w:t>6.3项目公告公示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根据《关于印发&lt;</w:t>
      </w:r>
      <w:bookmarkStart w:id="2" w:name="_GoBack"/>
      <w:bookmarkEnd w:id="2"/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新疆维吾尔自治区财政衔接推进乡村振兴补助资金(巩固拓展脱贫攻坚成果和乡村振兴任务)项目管理办法(暂行)&gt;的通知》（新乡振〔2021〕32号）文件要求，按事前、事中、事后在乡、村以书面形式进行公示公告，接受群众监督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outlineLvl w:val="0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7.项目绩效目标及效益分析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7.1年度目标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7.1.1项目覆盖情况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本项目总投资为820万元，主要用于巴扎结米镇古勒巴格（1）村、阔什艾肯（15）村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实施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新建配套沥青道路5466平方米、混凝土路面985平方米、砂砾路面4348平方米；给水管网PPR管（DN110）3690米、PPR管（DN25）800米、PPR管（DN20）530米；排水管网HDPE管（DN300）1040米、HDPE管（DN200）1966米、PVC-U管（DN100）530米；500kva变压器1台，线缆JKLYJ-4*95电缆1050米、YJVHD-3*16电缆4650米、YJVHD-5*16电缆2330米、400kva变压器1台及配套电缆3000米；土地平整12000立方米。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项目的实施解决新建人员水、电、路等关键问题，改善项目区农村生活条件保障，提高生活幸福指标，人员满意度可达100%。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</w:rPr>
        <w:t>7.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</w:rPr>
        <w:t>社会效益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该项目收益涉及1230户4632人，其中：受益巩固脱贫人口1063人。配套水、电、路等设施不断提升乡村综合治理，改善人员幸福感、安全感、获得感，通过社区组织的各种活动，如文化节、志愿者服务等，促进居民之间的交流与合作，形成新的村文化和凝聚力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7.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可持续性影响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本项目实施所产生的社会效益是巨大的，为城乡规划做出一定社会价值，并且通过一系列的社会活动不断促进村级文化和凝聚力。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outlineLvl w:val="0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8.风险分析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８.1主要风险因素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工程建设期和运行期发生的主要危险情况有：机械伤害、火灾、电气伤害、雷击伤害等；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8.2.1 交通安全措施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施工期施工单位应加强交通安全管理，进行交通安全教育，防止交通安全 事故的发生。针对运行管理人员正常运行管理期间的交通安全，在临水侧及施工区周边设置安全警示牌。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8.2.2 防电气伤害安全措施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（1）施工照明及线路应符合下列要求： 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（2）露天施工现场宜采用大功率、高效能、便于集中管理、不经常移动的投光照明设备； 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（3）行灯电压不得超过 36V。行灯必须带有防护网罩；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（4）在发电机储油间，照明设备必须采取防爆措施；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（5）在脚手架上安装临时照明线路时，竹木脚手架上应加绝缘子，金属脚手架上应设木横担。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（6）未经相关负责人许可，不得任意将自己的工作交给别人，更不得随 意操作别人的机械设备； 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（7）施工设备供电线路应使用绝缘电线或电缆，不得使用裸电线。并应使 用具有保护功能的开关设备进行控制。 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（8）当发生雷雨时，不要在离电源、大树和电杆较近的地方避雨，应远离 树木、桅杆，尽量降低身体的高度，在空旷场地不要将金属骨架的雨伞扛在肩 上，以避免雷击惨剧发生；雷雨时，危险场所应停止工作，人员撤出。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8.2.3 防火防爆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主要针对施工期，结合消防安全，每个房间配置1个ABC干粉灭火器。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8.2.4 防机械伤害、防坠落伤害安全措施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施工期应做好安全教育工作，设专职安全员，配备必要的劳动保护设备、设施，确保劳动者人身安全，做到安全施工、文明施工。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8.3其他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本工程施工期所用的机械设备应保证防护安全距离、防护罩和防护屏的安 全要求，以及设备安全卫生要求，应符合有关标准的规定。吊车起吊施工时等 应符合《起重机械安全规程》（GB6067-2010）的有关规定。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3520" w:firstLineChars="11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3520" w:firstLineChars="11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3520" w:firstLineChars="11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3520" w:firstLineChars="11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3520" w:firstLineChars="11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麦盖提县巴扎结米镇人民政府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 w:firstLine="4800" w:firstLineChars="15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2025年8月14日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outlineLvl w:val="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outlineLvl w:val="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outlineLvl w:val="0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984" w:right="1531" w:bottom="1701" w:left="1531" w:header="851" w:footer="992" w:gutter="0"/>
      <w:cols w:space="425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Yb2gj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4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xOGZiY2U3ODYyN2FlZjRhMWMxNjA5Njc5MmEzNGQifQ=="/>
  </w:docVars>
  <w:rsids>
    <w:rsidRoot w:val="00DC3189"/>
    <w:rsid w:val="00036ACC"/>
    <w:rsid w:val="00096F1A"/>
    <w:rsid w:val="001C0158"/>
    <w:rsid w:val="00286DB6"/>
    <w:rsid w:val="00290EF7"/>
    <w:rsid w:val="0036566E"/>
    <w:rsid w:val="00407F2D"/>
    <w:rsid w:val="004B669C"/>
    <w:rsid w:val="00577A4A"/>
    <w:rsid w:val="0092513B"/>
    <w:rsid w:val="00A0692A"/>
    <w:rsid w:val="00A06F97"/>
    <w:rsid w:val="00A21A15"/>
    <w:rsid w:val="00A400FD"/>
    <w:rsid w:val="00B24B29"/>
    <w:rsid w:val="00DC3189"/>
    <w:rsid w:val="00E165F2"/>
    <w:rsid w:val="00E732BA"/>
    <w:rsid w:val="01DA7019"/>
    <w:rsid w:val="020E7EB7"/>
    <w:rsid w:val="04E62892"/>
    <w:rsid w:val="091B02D8"/>
    <w:rsid w:val="09EC4F9A"/>
    <w:rsid w:val="0A136190"/>
    <w:rsid w:val="0B311EF8"/>
    <w:rsid w:val="0BE2157B"/>
    <w:rsid w:val="0CD1749B"/>
    <w:rsid w:val="112E74FD"/>
    <w:rsid w:val="149A59CD"/>
    <w:rsid w:val="1888740D"/>
    <w:rsid w:val="18F50162"/>
    <w:rsid w:val="19AE21E0"/>
    <w:rsid w:val="1A584B63"/>
    <w:rsid w:val="1C3A2FFF"/>
    <w:rsid w:val="1CFF0AC4"/>
    <w:rsid w:val="1D9B5E5C"/>
    <w:rsid w:val="1E1660C5"/>
    <w:rsid w:val="1E6E30FE"/>
    <w:rsid w:val="202B280E"/>
    <w:rsid w:val="209020F7"/>
    <w:rsid w:val="220D2D56"/>
    <w:rsid w:val="22AF5101"/>
    <w:rsid w:val="24F133E8"/>
    <w:rsid w:val="256B1667"/>
    <w:rsid w:val="261A0C88"/>
    <w:rsid w:val="26E648B6"/>
    <w:rsid w:val="28264C38"/>
    <w:rsid w:val="29A11F55"/>
    <w:rsid w:val="2D156380"/>
    <w:rsid w:val="2D18026F"/>
    <w:rsid w:val="2DC66C82"/>
    <w:rsid w:val="303625F7"/>
    <w:rsid w:val="31182AC7"/>
    <w:rsid w:val="31F44517"/>
    <w:rsid w:val="328C0773"/>
    <w:rsid w:val="351B005A"/>
    <w:rsid w:val="36E57249"/>
    <w:rsid w:val="37E071AC"/>
    <w:rsid w:val="3873256A"/>
    <w:rsid w:val="38E33841"/>
    <w:rsid w:val="3A2B2D7A"/>
    <w:rsid w:val="3B306CE4"/>
    <w:rsid w:val="3C8D220B"/>
    <w:rsid w:val="3CEC23BE"/>
    <w:rsid w:val="3D1A1485"/>
    <w:rsid w:val="3D230B61"/>
    <w:rsid w:val="3DF26BEC"/>
    <w:rsid w:val="3EE0082F"/>
    <w:rsid w:val="3F544847"/>
    <w:rsid w:val="3FAC311E"/>
    <w:rsid w:val="4436276D"/>
    <w:rsid w:val="457658EF"/>
    <w:rsid w:val="4A3C32E7"/>
    <w:rsid w:val="4BD25714"/>
    <w:rsid w:val="4C2E58E4"/>
    <w:rsid w:val="502C71D2"/>
    <w:rsid w:val="51BB3A2E"/>
    <w:rsid w:val="52AF6CEC"/>
    <w:rsid w:val="54297B73"/>
    <w:rsid w:val="58254B7B"/>
    <w:rsid w:val="58B57CAD"/>
    <w:rsid w:val="5AAC3199"/>
    <w:rsid w:val="622D0D14"/>
    <w:rsid w:val="64CA03E9"/>
    <w:rsid w:val="674555B8"/>
    <w:rsid w:val="677024A6"/>
    <w:rsid w:val="6784366C"/>
    <w:rsid w:val="6B176681"/>
    <w:rsid w:val="6BDF417C"/>
    <w:rsid w:val="6D012174"/>
    <w:rsid w:val="6EF308E2"/>
    <w:rsid w:val="6FB8461B"/>
    <w:rsid w:val="6FF73669"/>
    <w:rsid w:val="71B65570"/>
    <w:rsid w:val="71E46B34"/>
    <w:rsid w:val="73CB6F53"/>
    <w:rsid w:val="78387037"/>
    <w:rsid w:val="79761D02"/>
    <w:rsid w:val="7AF5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黑体" w:cs="Arial"/>
      <w:b/>
      <w:bCs/>
      <w:kern w:val="44"/>
      <w:sz w:val="28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570" w:lineRule="exact"/>
      <w:ind w:firstLine="880" w:firstLineChars="200"/>
      <w:outlineLvl w:val="1"/>
    </w:pPr>
    <w:rPr>
      <w:rFonts w:ascii="Cambria" w:hAnsi="Cambria" w:eastAsia="方正楷体_GBK" w:cs="Times New Roman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2"/>
    </w:pPr>
    <w:rPr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HYb2gj" w:hAnsi="Times New Roman" w:eastAsia="HYb2gj" w:cs="HYb2gj"/>
      <w:color w:val="000000"/>
      <w:sz w:val="24"/>
      <w:szCs w:val="24"/>
      <w:lang w:val="en-US" w:eastAsia="zh-CN" w:bidi="ar-SA"/>
    </w:rPr>
  </w:style>
  <w:style w:type="character" w:customStyle="1" w:styleId="12">
    <w:name w:val="标题 1 字符"/>
    <w:basedOn w:val="10"/>
    <w:link w:val="3"/>
    <w:qFormat/>
    <w:uiPriority w:val="9"/>
    <w:rPr>
      <w:rFonts w:ascii="Times New Roman" w:hAnsi="Times New Roman" w:eastAsia="黑体" w:cs="Arial"/>
      <w:b/>
      <w:bCs/>
      <w:kern w:val="44"/>
      <w:sz w:val="28"/>
      <w:szCs w:val="44"/>
    </w:rPr>
  </w:style>
  <w:style w:type="paragraph" w:customStyle="1" w:styleId="13">
    <w:name w:val="列表段落1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5"/>
    <w:qFormat/>
    <w:uiPriority w:val="99"/>
    <w:rPr>
      <w:sz w:val="18"/>
      <w:szCs w:val="18"/>
    </w:rPr>
  </w:style>
  <w:style w:type="paragraph" w:customStyle="1" w:styleId="16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3540</Words>
  <Characters>4344</Characters>
  <Lines>21</Lines>
  <Paragraphs>6</Paragraphs>
  <TotalTime>1</TotalTime>
  <ScaleCrop>false</ScaleCrop>
  <LinksUpToDate>false</LinksUpToDate>
  <CharactersWithSpaces>4466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2020-01-26T00:42:00Z</dcterms:created>
  <dc:creator>ThinkPad</dc:creator>
  <cp:lastModifiedBy>Administrator</cp:lastModifiedBy>
  <cp:lastPrinted>2026-08-18T06:05:00Z</cp:lastPrinted>
  <dcterms:modified xsi:type="dcterms:W3CDTF">2026-08-19T11:51:57Z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3781C8D9E39B48B8A9EFBE51EB3204CB_13</vt:lpwstr>
  </property>
  <property fmtid="{D5CDD505-2E9C-101B-9397-08002B2CF9AE}" pid="4" name="KSOTemplateDocerSaveRecord">
    <vt:lpwstr>eyJoZGlkIjoiNWU1ZjgwZDYzOTRkZGFiN2UyNjdmNjM5MmI3MTdkYjQifQ==</vt:lpwstr>
  </property>
</Properties>
</file>